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2B93B"/>
          <w:left w:val="single" w:sz="4" w:space="0" w:color="A2B93B"/>
          <w:bottom w:val="single" w:sz="4" w:space="0" w:color="A2B93B"/>
          <w:right w:val="single" w:sz="4" w:space="0" w:color="A2B93B"/>
          <w:insideH w:val="single" w:sz="4" w:space="0" w:color="A2B93B"/>
          <w:insideV w:val="single" w:sz="4" w:space="0" w:color="A2B93B"/>
        </w:tblBorders>
        <w:tblCellMar>
          <w:top w:w="142" w:type="dxa"/>
          <w:left w:w="142" w:type="dxa"/>
          <w:bottom w:w="142" w:type="dxa"/>
          <w:right w:w="142" w:type="dxa"/>
        </w:tblCellMar>
        <w:tblLook w:val="0480" w:firstRow="0" w:lastRow="0" w:firstColumn="1" w:lastColumn="0" w:noHBand="0" w:noVBand="1"/>
      </w:tblPr>
      <w:tblGrid>
        <w:gridCol w:w="3397"/>
        <w:gridCol w:w="6797"/>
      </w:tblGrid>
      <w:tr w:rsidR="00701076" w:rsidRPr="006D612A" w14:paraId="5A37B239" w14:textId="77777777" w:rsidTr="7F93B5E4">
        <w:trPr>
          <w:trHeight w:val="850"/>
        </w:trPr>
        <w:tc>
          <w:tcPr>
            <w:tcW w:w="1666" w:type="pct"/>
            <w:shd w:val="clear" w:color="auto" w:fill="auto"/>
            <w:vAlign w:val="center"/>
          </w:tcPr>
          <w:p w14:paraId="76422245" w14:textId="77777777" w:rsidR="00701076" w:rsidRPr="006D612A" w:rsidRDefault="00701076" w:rsidP="005F4D22">
            <w:pPr>
              <w:spacing w:after="0" w:line="240" w:lineRule="auto"/>
              <w:jc w:val="center"/>
              <w:rPr>
                <w:rFonts w:ascii="Franklin Gothic Medium" w:hAnsi="Franklin Gothic Medium"/>
                <w:color w:val="024987"/>
              </w:rPr>
            </w:pPr>
            <w:bookmarkStart w:id="0" w:name="_Toc60744133"/>
            <w:bookmarkStart w:id="1" w:name="_Toc60745695"/>
            <w:bookmarkStart w:id="2" w:name="_Toc61255150"/>
            <w:bookmarkStart w:id="3" w:name="_Toc61616472"/>
            <w:bookmarkStart w:id="4" w:name="_Toc62299519"/>
            <w:bookmarkStart w:id="5" w:name="_Toc62299583"/>
            <w:r>
              <w:rPr>
                <w:rFonts w:ascii="Franklin Gothic Medium" w:hAnsi="Franklin Gothic Medium"/>
                <w:color w:val="024987"/>
              </w:rPr>
              <w:t>Titre</w:t>
            </w:r>
          </w:p>
        </w:tc>
        <w:tc>
          <w:tcPr>
            <w:tcW w:w="3334" w:type="pct"/>
            <w:shd w:val="clear" w:color="auto" w:fill="auto"/>
            <w:vAlign w:val="center"/>
          </w:tcPr>
          <w:p w14:paraId="62299D30" w14:textId="77777777" w:rsidR="00701076" w:rsidRPr="006D612A" w:rsidRDefault="00701076" w:rsidP="005F4D22">
            <w:pPr>
              <w:spacing w:after="0" w:line="240" w:lineRule="auto"/>
              <w:jc w:val="left"/>
              <w:rPr>
                <w:b/>
                <w:bCs/>
                <w:color w:val="002060"/>
                <w:sz w:val="24"/>
                <w:szCs w:val="24"/>
              </w:rPr>
            </w:pPr>
            <w:r>
              <w:rPr>
                <w:b/>
                <w:color w:val="002060"/>
                <w:sz w:val="24"/>
              </w:rPr>
              <w:t>Projet de Boîte à outils visant à prévenir les pratiques illicites en matière d’adoption internationale et à y remédier</w:t>
            </w:r>
            <w:r>
              <w:rPr>
                <w:b/>
                <w:color w:val="002060"/>
                <w:sz w:val="24"/>
              </w:rPr>
              <w:br/>
              <w:t>PARTIE IV – PROCÉDURE TYPE VISANT À RÉPONDRE AUX PRATIQUES ILLICITES</w:t>
            </w:r>
          </w:p>
          <w:p w14:paraId="71801878" w14:textId="77777777" w:rsidR="00701076" w:rsidRPr="006D612A" w:rsidRDefault="00701076" w:rsidP="005F4D22">
            <w:pPr>
              <w:spacing w:after="0" w:line="240" w:lineRule="auto"/>
              <w:jc w:val="left"/>
              <w:rPr>
                <w:b/>
                <w:i/>
                <w:iCs/>
                <w:color w:val="002060"/>
                <w:sz w:val="24"/>
                <w:szCs w:val="24"/>
              </w:rPr>
            </w:pPr>
          </w:p>
        </w:tc>
      </w:tr>
      <w:tr w:rsidR="00701076" w:rsidRPr="006D612A" w14:paraId="76295E1B" w14:textId="77777777" w:rsidTr="7F93B5E4">
        <w:trPr>
          <w:trHeight w:val="850"/>
        </w:trPr>
        <w:tc>
          <w:tcPr>
            <w:tcW w:w="1666" w:type="pct"/>
            <w:shd w:val="clear" w:color="auto" w:fill="auto"/>
            <w:vAlign w:val="center"/>
          </w:tcPr>
          <w:p w14:paraId="25BD0DA6" w14:textId="77777777" w:rsidR="00701076" w:rsidRPr="006D612A" w:rsidRDefault="00701076" w:rsidP="005F4D22">
            <w:pPr>
              <w:spacing w:after="0" w:line="240" w:lineRule="auto"/>
              <w:jc w:val="center"/>
              <w:rPr>
                <w:rFonts w:ascii="Franklin Gothic Medium" w:hAnsi="Franklin Gothic Medium"/>
                <w:color w:val="024987"/>
              </w:rPr>
            </w:pPr>
            <w:r>
              <w:rPr>
                <w:rFonts w:ascii="Franklin Gothic Medium" w:hAnsi="Franklin Gothic Medium"/>
                <w:color w:val="024987"/>
              </w:rPr>
              <w:t>Document</w:t>
            </w:r>
          </w:p>
        </w:tc>
        <w:tc>
          <w:tcPr>
            <w:tcW w:w="3334" w:type="pct"/>
            <w:shd w:val="clear" w:color="auto" w:fill="auto"/>
            <w:vAlign w:val="center"/>
          </w:tcPr>
          <w:p w14:paraId="60C16415" w14:textId="77777777" w:rsidR="00701076" w:rsidRPr="006D612A" w:rsidRDefault="00701076" w:rsidP="005F4D22">
            <w:pPr>
              <w:spacing w:after="0" w:line="240" w:lineRule="auto"/>
              <w:jc w:val="left"/>
            </w:pPr>
            <w:bookmarkStart w:id="6" w:name="PrelDoc_Info"/>
            <w:r w:rsidRPr="00EB2478">
              <w:rPr>
                <w:b/>
                <w:bCs/>
                <w:color w:val="002060"/>
                <w:sz w:val="24"/>
              </w:rPr>
              <w:t>Doc. prél. No 6D REV de janvier 2022</w:t>
            </w:r>
            <w:bookmarkEnd w:id="6"/>
          </w:p>
        </w:tc>
      </w:tr>
      <w:tr w:rsidR="00701076" w:rsidRPr="006D612A" w14:paraId="2E6E19BD" w14:textId="77777777" w:rsidTr="7F93B5E4">
        <w:trPr>
          <w:trHeight w:val="850"/>
        </w:trPr>
        <w:tc>
          <w:tcPr>
            <w:tcW w:w="1666" w:type="pct"/>
            <w:shd w:val="clear" w:color="auto" w:fill="auto"/>
            <w:vAlign w:val="center"/>
          </w:tcPr>
          <w:p w14:paraId="2C0C21E7" w14:textId="77777777" w:rsidR="00701076" w:rsidRPr="006D612A" w:rsidRDefault="00701076" w:rsidP="005F4D22">
            <w:pPr>
              <w:spacing w:after="0" w:line="240" w:lineRule="auto"/>
              <w:jc w:val="center"/>
              <w:rPr>
                <w:rFonts w:ascii="Franklin Gothic Medium" w:hAnsi="Franklin Gothic Medium"/>
                <w:color w:val="024987"/>
              </w:rPr>
            </w:pPr>
            <w:r>
              <w:rPr>
                <w:rFonts w:ascii="Franklin Gothic Medium" w:hAnsi="Franklin Gothic Medium"/>
                <w:color w:val="024987"/>
              </w:rPr>
              <w:t>Auteur</w:t>
            </w:r>
          </w:p>
        </w:tc>
        <w:tc>
          <w:tcPr>
            <w:tcW w:w="3334" w:type="pct"/>
            <w:shd w:val="clear" w:color="auto" w:fill="auto"/>
            <w:vAlign w:val="center"/>
          </w:tcPr>
          <w:p w14:paraId="687D6A91" w14:textId="77777777" w:rsidR="00701076" w:rsidRPr="006D612A" w:rsidRDefault="00701076" w:rsidP="005F4D22">
            <w:pPr>
              <w:spacing w:after="0" w:line="240" w:lineRule="auto"/>
              <w:jc w:val="left"/>
              <w:rPr>
                <w:color w:val="808080"/>
              </w:rPr>
            </w:pPr>
            <w:r>
              <w:rPr>
                <w:color w:val="002060"/>
              </w:rPr>
              <w:t>Groupe de travail sur la prévention des pratiques illicites en matière d’adoption internationale et la manière d’y remédier (Groupe de travail), avec l’appui du Bureau Permanent (BP) de la HCCH</w:t>
            </w:r>
          </w:p>
        </w:tc>
      </w:tr>
      <w:tr w:rsidR="00701076" w:rsidRPr="006D612A" w14:paraId="0C8844E7" w14:textId="77777777" w:rsidTr="7F93B5E4">
        <w:trPr>
          <w:trHeight w:val="745"/>
        </w:trPr>
        <w:tc>
          <w:tcPr>
            <w:tcW w:w="1666" w:type="pct"/>
            <w:shd w:val="clear" w:color="auto" w:fill="auto"/>
            <w:vAlign w:val="center"/>
          </w:tcPr>
          <w:p w14:paraId="50DE3210" w14:textId="77777777" w:rsidR="00701076" w:rsidRPr="006D612A" w:rsidRDefault="00701076" w:rsidP="005F4D22">
            <w:pPr>
              <w:spacing w:after="0" w:line="240" w:lineRule="auto"/>
              <w:jc w:val="center"/>
              <w:rPr>
                <w:rFonts w:ascii="Franklin Gothic Medium" w:hAnsi="Franklin Gothic Medium"/>
                <w:color w:val="024987"/>
              </w:rPr>
            </w:pPr>
            <w:r>
              <w:rPr>
                <w:rFonts w:ascii="Franklin Gothic Medium" w:hAnsi="Franklin Gothic Medium"/>
                <w:color w:val="024987"/>
              </w:rPr>
              <w:t>Point de l’ordre du jour</w:t>
            </w:r>
          </w:p>
        </w:tc>
        <w:tc>
          <w:tcPr>
            <w:tcW w:w="3334" w:type="pct"/>
            <w:shd w:val="clear" w:color="auto" w:fill="auto"/>
            <w:vAlign w:val="center"/>
          </w:tcPr>
          <w:p w14:paraId="773377CF" w14:textId="35BB1725" w:rsidR="00701076" w:rsidRPr="006D612A" w:rsidRDefault="00701076" w:rsidP="7F93B5E4">
            <w:pPr>
              <w:spacing w:after="0" w:line="240" w:lineRule="auto"/>
              <w:jc w:val="left"/>
              <w:rPr>
                <w:color w:val="002060"/>
              </w:rPr>
            </w:pPr>
            <w:r w:rsidRPr="7F93B5E4">
              <w:rPr>
                <w:color w:val="002060"/>
              </w:rPr>
              <w:t>Point 6</w:t>
            </w:r>
          </w:p>
        </w:tc>
      </w:tr>
      <w:tr w:rsidR="00701076" w:rsidRPr="006D612A" w14:paraId="24352BAC" w14:textId="77777777" w:rsidTr="7F93B5E4">
        <w:trPr>
          <w:trHeight w:val="689"/>
        </w:trPr>
        <w:tc>
          <w:tcPr>
            <w:tcW w:w="1666" w:type="pct"/>
            <w:shd w:val="clear" w:color="auto" w:fill="auto"/>
            <w:vAlign w:val="center"/>
          </w:tcPr>
          <w:p w14:paraId="62C7F967" w14:textId="77777777" w:rsidR="00701076" w:rsidRPr="006D612A" w:rsidRDefault="00701076" w:rsidP="005F4D22">
            <w:pPr>
              <w:spacing w:after="0" w:line="240" w:lineRule="auto"/>
              <w:jc w:val="center"/>
              <w:rPr>
                <w:rFonts w:ascii="Franklin Gothic Medium" w:hAnsi="Franklin Gothic Medium"/>
                <w:color w:val="024987"/>
              </w:rPr>
            </w:pPr>
            <w:r>
              <w:rPr>
                <w:rFonts w:ascii="Franklin Gothic Medium" w:hAnsi="Franklin Gothic Medium"/>
                <w:color w:val="024987"/>
              </w:rPr>
              <w:t>Mandat(s)</w:t>
            </w:r>
          </w:p>
        </w:tc>
        <w:tc>
          <w:tcPr>
            <w:tcW w:w="3334" w:type="pct"/>
            <w:shd w:val="clear" w:color="auto" w:fill="auto"/>
            <w:vAlign w:val="center"/>
          </w:tcPr>
          <w:p w14:paraId="2CB7DA0F" w14:textId="77777777" w:rsidR="00701076" w:rsidRPr="006D612A" w:rsidRDefault="00701076" w:rsidP="005F4D22">
            <w:pPr>
              <w:spacing w:after="0" w:line="240" w:lineRule="auto"/>
              <w:rPr>
                <w:i/>
                <w:iCs/>
                <w:color w:val="808080"/>
              </w:rPr>
            </w:pPr>
            <w:r>
              <w:rPr>
                <w:color w:val="002060"/>
              </w:rPr>
              <w:t>C&amp;R No 24 du CAGP du 2017</w:t>
            </w:r>
          </w:p>
        </w:tc>
      </w:tr>
      <w:tr w:rsidR="00701076" w:rsidRPr="006D612A" w14:paraId="443B4E7A" w14:textId="77777777" w:rsidTr="7F93B5E4">
        <w:trPr>
          <w:trHeight w:val="850"/>
        </w:trPr>
        <w:tc>
          <w:tcPr>
            <w:tcW w:w="1666" w:type="pct"/>
            <w:shd w:val="clear" w:color="auto" w:fill="auto"/>
            <w:vAlign w:val="center"/>
          </w:tcPr>
          <w:p w14:paraId="26D91E22" w14:textId="77777777" w:rsidR="00701076" w:rsidRPr="006D612A" w:rsidRDefault="00701076" w:rsidP="005F4D22">
            <w:pPr>
              <w:spacing w:after="0" w:line="240" w:lineRule="auto"/>
              <w:jc w:val="center"/>
              <w:rPr>
                <w:rFonts w:ascii="Franklin Gothic Medium" w:hAnsi="Franklin Gothic Medium"/>
                <w:color w:val="024987"/>
              </w:rPr>
            </w:pPr>
            <w:r>
              <w:rPr>
                <w:rFonts w:ascii="Franklin Gothic Medium" w:hAnsi="Franklin Gothic Medium"/>
                <w:color w:val="024987"/>
              </w:rPr>
              <w:t>Objectif</w:t>
            </w:r>
          </w:p>
        </w:tc>
        <w:tc>
          <w:tcPr>
            <w:tcW w:w="3334" w:type="pct"/>
            <w:shd w:val="clear" w:color="auto" w:fill="auto"/>
            <w:vAlign w:val="center"/>
          </w:tcPr>
          <w:p w14:paraId="7265BE1D" w14:textId="77777777" w:rsidR="00701076" w:rsidRPr="006D612A" w:rsidRDefault="00701076" w:rsidP="005F4D22">
            <w:pPr>
              <w:spacing w:after="0" w:line="240" w:lineRule="auto"/>
              <w:jc w:val="left"/>
              <w:rPr>
                <w:color w:val="002060"/>
              </w:rPr>
            </w:pPr>
            <w:r>
              <w:rPr>
                <w:color w:val="002060"/>
              </w:rPr>
              <w:t>Discuter des principales questions en suspens concernant le projet de Boîte à outils lors de la réunion de la Commission spéciale, en vue d’obtenir l’approbation de la Commission spéciale</w:t>
            </w:r>
          </w:p>
        </w:tc>
      </w:tr>
      <w:tr w:rsidR="00701076" w:rsidRPr="006D612A" w14:paraId="3E6B31E8" w14:textId="77777777" w:rsidTr="7F93B5E4">
        <w:trPr>
          <w:trHeight w:val="850"/>
        </w:trPr>
        <w:tc>
          <w:tcPr>
            <w:tcW w:w="1666" w:type="pct"/>
            <w:shd w:val="clear" w:color="auto" w:fill="auto"/>
            <w:vAlign w:val="center"/>
          </w:tcPr>
          <w:p w14:paraId="323E868C" w14:textId="77777777" w:rsidR="00701076" w:rsidRPr="006D612A" w:rsidRDefault="00701076" w:rsidP="005F4D22">
            <w:pPr>
              <w:spacing w:after="0" w:line="240" w:lineRule="auto"/>
              <w:jc w:val="center"/>
              <w:rPr>
                <w:rFonts w:ascii="Franklin Gothic Medium" w:hAnsi="Franklin Gothic Medium"/>
                <w:color w:val="024987"/>
              </w:rPr>
            </w:pPr>
            <w:r>
              <w:rPr>
                <w:rFonts w:ascii="Franklin Gothic Medium" w:hAnsi="Franklin Gothic Medium"/>
                <w:color w:val="024987"/>
              </w:rPr>
              <w:t>Mesures à prendre</w:t>
            </w:r>
          </w:p>
        </w:tc>
        <w:tc>
          <w:tcPr>
            <w:tcW w:w="3334" w:type="pct"/>
            <w:shd w:val="clear" w:color="auto" w:fill="auto"/>
            <w:vAlign w:val="center"/>
          </w:tcPr>
          <w:p w14:paraId="23BC75BD" w14:textId="77777777" w:rsidR="00701076" w:rsidRPr="006D612A" w:rsidRDefault="00701076" w:rsidP="005F4D22">
            <w:pPr>
              <w:tabs>
                <w:tab w:val="left" w:pos="2325"/>
              </w:tabs>
              <w:spacing w:after="0" w:line="240" w:lineRule="auto"/>
              <w:jc w:val="left"/>
              <w:rPr>
                <w:color w:val="002060"/>
              </w:rPr>
            </w:pPr>
            <w:r>
              <w:rPr>
                <w:color w:val="002060"/>
              </w:rPr>
              <w:t>Pour décision</w:t>
            </w:r>
            <w:r>
              <w:rPr>
                <w:color w:val="002060"/>
              </w:rPr>
              <w:tab/>
            </w:r>
            <w:r>
              <w:rPr>
                <w:color w:val="002060"/>
              </w:rPr>
              <w:tab/>
            </w:r>
            <w:r>
              <w:rPr>
                <w:rFonts w:ascii="MS Gothic" w:hAnsi="MS Gothic"/>
                <w:color w:val="002060"/>
              </w:rPr>
              <w:t>☐</w:t>
            </w:r>
            <w:r>
              <w:rPr>
                <w:color w:val="002060"/>
              </w:rPr>
              <w:t xml:space="preserve"> </w:t>
            </w:r>
          </w:p>
          <w:p w14:paraId="0FFD9513" w14:textId="77777777" w:rsidR="00701076" w:rsidRPr="006D612A" w:rsidRDefault="00701076" w:rsidP="005F4D22">
            <w:pPr>
              <w:tabs>
                <w:tab w:val="left" w:pos="2325"/>
              </w:tabs>
              <w:spacing w:after="0" w:line="240" w:lineRule="auto"/>
              <w:jc w:val="left"/>
              <w:rPr>
                <w:color w:val="002060"/>
              </w:rPr>
            </w:pPr>
            <w:r>
              <w:rPr>
                <w:color w:val="002060"/>
              </w:rPr>
              <w:t>Pour approbation</w:t>
            </w:r>
            <w:r>
              <w:rPr>
                <w:color w:val="002060"/>
              </w:rPr>
              <w:tab/>
            </w:r>
            <w:r>
              <w:rPr>
                <w:color w:val="002060"/>
              </w:rPr>
              <w:tab/>
            </w:r>
            <w:r>
              <w:rPr>
                <w:rFonts w:ascii="MS Gothic" w:hAnsi="MS Gothic"/>
                <w:color w:val="002060"/>
              </w:rPr>
              <w:t>☐</w:t>
            </w:r>
          </w:p>
          <w:p w14:paraId="0E4CC356" w14:textId="38155BC7" w:rsidR="00701076" w:rsidRPr="006D612A" w:rsidRDefault="00701076" w:rsidP="005F4D22">
            <w:pPr>
              <w:tabs>
                <w:tab w:val="left" w:pos="2325"/>
              </w:tabs>
              <w:spacing w:after="0" w:line="240" w:lineRule="auto"/>
              <w:jc w:val="left"/>
              <w:rPr>
                <w:color w:val="002060"/>
              </w:rPr>
            </w:pPr>
            <w:r>
              <w:rPr>
                <w:color w:val="002060"/>
              </w:rPr>
              <w:t>Pour discussion</w:t>
            </w:r>
            <w:r>
              <w:rPr>
                <w:color w:val="002060"/>
              </w:rPr>
              <w:tab/>
            </w:r>
            <w:r>
              <w:rPr>
                <w:color w:val="002060"/>
              </w:rPr>
              <w:tab/>
            </w:r>
            <w:r>
              <w:rPr>
                <w:rFonts w:ascii="MS Gothic" w:hAnsi="MS Gothic"/>
                <w:color w:val="002060"/>
              </w:rPr>
              <w:t>☒</w:t>
            </w:r>
          </w:p>
          <w:p w14:paraId="31EE6E05" w14:textId="77777777" w:rsidR="00701076" w:rsidRPr="006D612A" w:rsidRDefault="00701076" w:rsidP="005F4D22">
            <w:pPr>
              <w:tabs>
                <w:tab w:val="left" w:pos="2325"/>
              </w:tabs>
              <w:spacing w:after="0" w:line="240" w:lineRule="auto"/>
              <w:jc w:val="left"/>
              <w:rPr>
                <w:color w:val="002060"/>
              </w:rPr>
            </w:pPr>
            <w:r>
              <w:rPr>
                <w:color w:val="002060"/>
              </w:rPr>
              <w:t>Pour action / achèvement</w:t>
            </w:r>
            <w:r>
              <w:rPr>
                <w:color w:val="002060"/>
              </w:rPr>
              <w:tab/>
            </w:r>
            <w:r>
              <w:rPr>
                <w:rFonts w:ascii="MS Gothic" w:hAnsi="MS Gothic"/>
                <w:color w:val="002060"/>
              </w:rPr>
              <w:t>☐</w:t>
            </w:r>
          </w:p>
          <w:p w14:paraId="22FF7D00" w14:textId="77777777" w:rsidR="00701076" w:rsidRPr="006D612A" w:rsidRDefault="00701076" w:rsidP="005F4D22">
            <w:pPr>
              <w:tabs>
                <w:tab w:val="left" w:pos="2325"/>
              </w:tabs>
              <w:spacing w:after="0" w:line="240" w:lineRule="auto"/>
              <w:jc w:val="left"/>
            </w:pPr>
            <w:r>
              <w:rPr>
                <w:color w:val="002060"/>
              </w:rPr>
              <w:t>Pour information</w:t>
            </w:r>
            <w:r>
              <w:rPr>
                <w:color w:val="002060"/>
              </w:rPr>
              <w:tab/>
            </w:r>
            <w:r>
              <w:rPr>
                <w:color w:val="002060"/>
              </w:rPr>
              <w:tab/>
              <w:t>☐</w:t>
            </w:r>
          </w:p>
        </w:tc>
      </w:tr>
      <w:tr w:rsidR="00701076" w:rsidRPr="006D612A" w14:paraId="1C53B3FA" w14:textId="77777777" w:rsidTr="7F93B5E4">
        <w:trPr>
          <w:trHeight w:val="233"/>
        </w:trPr>
        <w:tc>
          <w:tcPr>
            <w:tcW w:w="1666" w:type="pct"/>
            <w:shd w:val="clear" w:color="auto" w:fill="auto"/>
            <w:vAlign w:val="center"/>
          </w:tcPr>
          <w:p w14:paraId="31666102" w14:textId="77777777" w:rsidR="00701076" w:rsidRPr="006D612A" w:rsidRDefault="00701076" w:rsidP="005F4D22">
            <w:pPr>
              <w:spacing w:after="0" w:line="240" w:lineRule="auto"/>
              <w:jc w:val="center"/>
              <w:rPr>
                <w:rFonts w:ascii="Franklin Gothic Medium" w:hAnsi="Franklin Gothic Medium"/>
                <w:color w:val="024987"/>
              </w:rPr>
            </w:pPr>
            <w:r>
              <w:rPr>
                <w:rFonts w:ascii="Franklin Gothic Medium" w:hAnsi="Franklin Gothic Medium"/>
                <w:color w:val="024987"/>
              </w:rPr>
              <w:t>Annexes</w:t>
            </w:r>
          </w:p>
        </w:tc>
        <w:tc>
          <w:tcPr>
            <w:tcW w:w="3334" w:type="pct"/>
            <w:shd w:val="clear" w:color="auto" w:fill="auto"/>
            <w:vAlign w:val="center"/>
          </w:tcPr>
          <w:p w14:paraId="3FA44765" w14:textId="77777777" w:rsidR="00701076" w:rsidRPr="006D612A" w:rsidRDefault="00701076" w:rsidP="005F4D22">
            <w:pPr>
              <w:spacing w:after="0" w:line="240" w:lineRule="auto"/>
            </w:pPr>
            <w:r>
              <w:rPr>
                <w:color w:val="002060"/>
              </w:rPr>
              <w:t>S.O.</w:t>
            </w:r>
          </w:p>
        </w:tc>
      </w:tr>
      <w:tr w:rsidR="00701076" w:rsidRPr="006D612A" w14:paraId="0FA01C37" w14:textId="77777777" w:rsidTr="7F93B5E4">
        <w:trPr>
          <w:trHeight w:val="850"/>
        </w:trPr>
        <w:tc>
          <w:tcPr>
            <w:tcW w:w="1666" w:type="pct"/>
            <w:shd w:val="clear" w:color="auto" w:fill="auto"/>
            <w:vAlign w:val="center"/>
          </w:tcPr>
          <w:p w14:paraId="522C3FD5" w14:textId="77777777" w:rsidR="00701076" w:rsidRPr="006D612A" w:rsidRDefault="00701076" w:rsidP="005F4D22">
            <w:pPr>
              <w:spacing w:after="0" w:line="240" w:lineRule="auto"/>
              <w:jc w:val="center"/>
              <w:rPr>
                <w:rFonts w:ascii="Franklin Gothic Medium" w:hAnsi="Franklin Gothic Medium"/>
                <w:color w:val="024987"/>
              </w:rPr>
            </w:pPr>
            <w:r>
              <w:rPr>
                <w:rFonts w:ascii="Franklin Gothic Medium" w:hAnsi="Franklin Gothic Medium"/>
                <w:color w:val="024987"/>
              </w:rPr>
              <w:t>Document(s) connexe(s)</w:t>
            </w:r>
          </w:p>
        </w:tc>
        <w:tc>
          <w:tcPr>
            <w:tcW w:w="3334" w:type="pct"/>
            <w:shd w:val="clear" w:color="auto" w:fill="auto"/>
            <w:vAlign w:val="center"/>
          </w:tcPr>
          <w:p w14:paraId="0699A932" w14:textId="77777777" w:rsidR="00701076" w:rsidRPr="006D612A" w:rsidRDefault="00701076" w:rsidP="005F4D22">
            <w:pPr>
              <w:spacing w:after="0" w:line="240" w:lineRule="auto"/>
              <w:jc w:val="left"/>
            </w:pPr>
            <w:r>
              <w:rPr>
                <w:color w:val="002060"/>
              </w:rPr>
              <w:t xml:space="preserve">Rapport du Groupe de travail </w:t>
            </w:r>
            <w:r>
              <w:t>(</w:t>
            </w:r>
            <w:hyperlink r:id="rId11" w:history="1">
              <w:r>
                <w:rPr>
                  <w:rStyle w:val="Hyperlink"/>
                </w:rPr>
                <w:t>réunions de septembre et novembre 2021</w:t>
              </w:r>
            </w:hyperlink>
            <w:r>
              <w:t>)</w:t>
            </w:r>
          </w:p>
          <w:p w14:paraId="4FFC9C55" w14:textId="77777777" w:rsidR="00701076" w:rsidRPr="006D612A" w:rsidRDefault="00701076" w:rsidP="005F4D22">
            <w:pPr>
              <w:spacing w:after="0" w:line="240" w:lineRule="auto"/>
              <w:jc w:val="left"/>
              <w:rPr>
                <w:color w:val="002060"/>
              </w:rPr>
            </w:pPr>
            <w:r>
              <w:rPr>
                <w:color w:val="002060"/>
              </w:rPr>
              <w:t xml:space="preserve">Rapport du Groupe de travail </w:t>
            </w:r>
            <w:r>
              <w:t>(</w:t>
            </w:r>
            <w:hyperlink r:id="rId12" w:history="1">
              <w:r>
                <w:rPr>
                  <w:rStyle w:val="Hyperlink"/>
                </w:rPr>
                <w:t>réunion du 8 au 10 juillet 2020</w:t>
              </w:r>
            </w:hyperlink>
            <w:r>
              <w:t>)</w:t>
            </w:r>
          </w:p>
          <w:p w14:paraId="2906596C" w14:textId="77777777" w:rsidR="00701076" w:rsidRPr="006D612A" w:rsidRDefault="00701076" w:rsidP="005F4D22">
            <w:pPr>
              <w:spacing w:after="0" w:line="240" w:lineRule="auto"/>
              <w:jc w:val="left"/>
            </w:pPr>
            <w:r>
              <w:rPr>
                <w:color w:val="002060"/>
              </w:rPr>
              <w:t xml:space="preserve">Conclusions et Recommandations du Groupe de travail </w:t>
            </w:r>
            <w:r>
              <w:t>(</w:t>
            </w:r>
            <w:hyperlink r:id="rId13" w:history="1">
              <w:r>
                <w:rPr>
                  <w:rStyle w:val="Hyperlink"/>
                </w:rPr>
                <w:t>réunion du 21 au 23 mai 2019</w:t>
              </w:r>
            </w:hyperlink>
            <w:r>
              <w:t xml:space="preserve">) </w:t>
            </w:r>
          </w:p>
          <w:p w14:paraId="73A15754" w14:textId="77777777" w:rsidR="00701076" w:rsidRPr="006D612A" w:rsidRDefault="00701076" w:rsidP="005F4D22">
            <w:pPr>
              <w:spacing w:after="0" w:line="240" w:lineRule="auto"/>
              <w:jc w:val="left"/>
            </w:pPr>
            <w:r>
              <w:rPr>
                <w:color w:val="002060"/>
              </w:rPr>
              <w:t xml:space="preserve">Conclusions et Recommandations du Groupe de travail </w:t>
            </w:r>
            <w:r>
              <w:t>(</w:t>
            </w:r>
            <w:hyperlink r:id="rId14" w:history="1">
              <w:r>
                <w:rPr>
                  <w:rStyle w:val="Hyperlink"/>
                </w:rPr>
                <w:t>réunion du 13 au 15 octobre 2016</w:t>
              </w:r>
            </w:hyperlink>
            <w:r>
              <w:t>)</w:t>
            </w:r>
          </w:p>
        </w:tc>
      </w:tr>
    </w:tbl>
    <w:p w14:paraId="0C6736A3" w14:textId="77777777" w:rsidR="00701076" w:rsidRPr="009519B1" w:rsidRDefault="00701076" w:rsidP="00701076">
      <w:pPr>
        <w:tabs>
          <w:tab w:val="left" w:pos="8040"/>
        </w:tabs>
        <w:sectPr w:rsidR="00701076" w:rsidRPr="009519B1" w:rsidSect="00430BD2">
          <w:headerReference w:type="even" r:id="rId15"/>
          <w:headerReference w:type="default" r:id="rId16"/>
          <w:footerReference w:type="even" r:id="rId17"/>
          <w:footerReference w:type="default" r:id="rId18"/>
          <w:headerReference w:type="first" r:id="rId19"/>
          <w:footerReference w:type="first" r:id="rId20"/>
          <w:pgSz w:w="11906" w:h="16838"/>
          <w:pgMar w:top="2835" w:right="851" w:bottom="851" w:left="851" w:header="709" w:footer="709" w:gutter="0"/>
          <w:cols w:space="708"/>
          <w:docGrid w:linePitch="360"/>
        </w:sectPr>
      </w:pPr>
    </w:p>
    <w:p w14:paraId="6EA7B7B8" w14:textId="3286FAB5" w:rsidR="00701076" w:rsidRPr="001E6974" w:rsidRDefault="003A6205" w:rsidP="00701076">
      <w:pPr>
        <w:pStyle w:val="TOCHeading"/>
        <w:rPr>
          <w:color w:val="002060"/>
        </w:rPr>
      </w:pPr>
      <w:bookmarkStart w:id="7" w:name="_Toc44606104"/>
      <w:bookmarkStart w:id="8" w:name="_Toc44605845"/>
      <w:r>
        <w:rPr>
          <w:color w:val="002060"/>
        </w:rPr>
        <w:lastRenderedPageBreak/>
        <w:t>Table des matières</w:t>
      </w:r>
    </w:p>
    <w:p w14:paraId="33400A00" w14:textId="77777777" w:rsidR="00701076" w:rsidRPr="00EB2478" w:rsidRDefault="00701076" w:rsidP="00701076">
      <w:pPr>
        <w:pStyle w:val="TOC1"/>
        <w:rPr>
          <w:rFonts w:eastAsiaTheme="minorEastAsia"/>
          <w:color w:val="002060"/>
        </w:rPr>
      </w:pPr>
      <w:r w:rsidRPr="00EB2478">
        <w:rPr>
          <w:color w:val="002060"/>
        </w:rPr>
        <w:fldChar w:fldCharType="begin"/>
      </w:r>
      <w:r w:rsidRPr="00EB2478">
        <w:rPr>
          <w:color w:val="002060"/>
        </w:rPr>
        <w:instrText xml:space="preserve"> TOC \o "1-3" \h \z \u </w:instrText>
      </w:r>
      <w:r w:rsidRPr="00EB2478">
        <w:rPr>
          <w:color w:val="002060"/>
        </w:rPr>
        <w:fldChar w:fldCharType="separate"/>
      </w:r>
      <w:hyperlink w:anchor="_Toc100936022" w:history="1">
        <w:r w:rsidRPr="00EB2478">
          <w:rPr>
            <w:rStyle w:val="Hyperlink"/>
            <w:color w:val="002060"/>
          </w:rPr>
          <w:t>PARTIE IV : PROCÉDURE TYPE VISANT À RÉPONDRE AUX CAS PRÉSUMÉS ET AVÉRÉS DE PRATIQUES ILLICITES</w:t>
        </w:r>
        <w:r w:rsidRPr="00EB2478">
          <w:rPr>
            <w:webHidden/>
            <w:color w:val="002060"/>
          </w:rPr>
          <w:tab/>
        </w:r>
        <w:r w:rsidRPr="00EB2478">
          <w:rPr>
            <w:webHidden/>
            <w:color w:val="002060"/>
          </w:rPr>
          <w:fldChar w:fldCharType="begin"/>
        </w:r>
        <w:r w:rsidRPr="00EB2478">
          <w:rPr>
            <w:webHidden/>
            <w:color w:val="002060"/>
          </w:rPr>
          <w:instrText xml:space="preserve"> PAGEREF _Toc100936022 \h </w:instrText>
        </w:r>
        <w:r w:rsidRPr="00EB2478">
          <w:rPr>
            <w:webHidden/>
            <w:color w:val="002060"/>
          </w:rPr>
        </w:r>
        <w:r w:rsidRPr="00EB2478">
          <w:rPr>
            <w:webHidden/>
            <w:color w:val="002060"/>
          </w:rPr>
          <w:fldChar w:fldCharType="separate"/>
        </w:r>
        <w:r w:rsidRPr="00EB2478">
          <w:rPr>
            <w:webHidden/>
            <w:color w:val="002060"/>
          </w:rPr>
          <w:t>3</w:t>
        </w:r>
        <w:r w:rsidRPr="00EB2478">
          <w:rPr>
            <w:webHidden/>
            <w:color w:val="002060"/>
          </w:rPr>
          <w:fldChar w:fldCharType="end"/>
        </w:r>
      </w:hyperlink>
    </w:p>
    <w:p w14:paraId="3ACC7B17" w14:textId="77777777" w:rsidR="00701076" w:rsidRPr="00EB2478" w:rsidRDefault="00E278A8" w:rsidP="00701076">
      <w:pPr>
        <w:pStyle w:val="TOC2"/>
        <w:rPr>
          <w:rFonts w:eastAsiaTheme="minorEastAsia"/>
          <w:color w:val="002060"/>
        </w:rPr>
      </w:pPr>
      <w:hyperlink w:anchor="_Toc100936023" w:history="1">
        <w:r w:rsidR="00701076" w:rsidRPr="00EB2478">
          <w:rPr>
            <w:rStyle w:val="Hyperlink"/>
            <w:color w:val="002060"/>
          </w:rPr>
          <w:t>1.</w:t>
        </w:r>
        <w:r w:rsidR="00701076" w:rsidRPr="00EB2478">
          <w:rPr>
            <w:rFonts w:eastAsiaTheme="minorEastAsia"/>
            <w:color w:val="002060"/>
          </w:rPr>
          <w:tab/>
        </w:r>
        <w:r w:rsidR="00701076" w:rsidRPr="00EB2478">
          <w:rPr>
            <w:rStyle w:val="Hyperlink"/>
            <w:color w:val="002060"/>
          </w:rPr>
          <w:t>ÉTAPE 1 : DIVULGATION ET ENREGISTREMENT DES CAS PRÉSUMÉS DE PRATIQUES ILLICITES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_Toc100936023 \h </w:instrText>
        </w:r>
        <w:r w:rsidR="00701076" w:rsidRPr="00EB2478">
          <w:rPr>
            <w:webHidden/>
            <w:color w:val="002060"/>
          </w:rPr>
        </w:r>
        <w:r w:rsidR="00701076" w:rsidRPr="00EB2478">
          <w:rPr>
            <w:webHidden/>
            <w:color w:val="002060"/>
          </w:rPr>
          <w:fldChar w:fldCharType="separate"/>
        </w:r>
        <w:r w:rsidR="00701076" w:rsidRPr="00EB2478">
          <w:rPr>
            <w:webHidden/>
            <w:color w:val="002060"/>
          </w:rPr>
          <w:t>5</w:t>
        </w:r>
        <w:r w:rsidR="00701076" w:rsidRPr="00EB2478">
          <w:rPr>
            <w:webHidden/>
            <w:color w:val="002060"/>
          </w:rPr>
          <w:fldChar w:fldCharType="end"/>
        </w:r>
      </w:hyperlink>
    </w:p>
    <w:p w14:paraId="519AFA12" w14:textId="77777777" w:rsidR="00701076" w:rsidRPr="00EB2478" w:rsidRDefault="00E278A8" w:rsidP="00EB2478">
      <w:pPr>
        <w:pStyle w:val="TOC3"/>
        <w:rPr>
          <w:rFonts w:eastAsiaTheme="minorEastAsia"/>
          <w:color w:val="002060"/>
        </w:rPr>
      </w:pPr>
      <w:hyperlink w:anchor="_Toc100936024" w:history="1">
        <w:r w:rsidR="00701076" w:rsidRPr="00EB2478">
          <w:rPr>
            <w:rStyle w:val="Hyperlink"/>
            <w:color w:val="002060"/>
          </w:rPr>
          <w:t>1,1.</w:t>
        </w:r>
        <w:r w:rsidR="00701076" w:rsidRPr="00EB2478">
          <w:rPr>
            <w:rFonts w:eastAsiaTheme="minorEastAsia"/>
            <w:color w:val="002060"/>
          </w:rPr>
          <w:tab/>
        </w:r>
        <w:r w:rsidR="00701076" w:rsidRPr="00EB2478">
          <w:rPr>
            <w:rStyle w:val="Hyperlink"/>
            <w:color w:val="002060"/>
          </w:rPr>
          <w:t>Comment peuvent se manifester les soupçons de pratiques illicites ?</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_Toc100936024 \h </w:instrText>
        </w:r>
        <w:r w:rsidR="00701076" w:rsidRPr="00EB2478">
          <w:rPr>
            <w:webHidden/>
            <w:color w:val="002060"/>
          </w:rPr>
        </w:r>
        <w:r w:rsidR="00701076" w:rsidRPr="00EB2478">
          <w:rPr>
            <w:webHidden/>
            <w:color w:val="002060"/>
          </w:rPr>
          <w:fldChar w:fldCharType="separate"/>
        </w:r>
        <w:r w:rsidR="00701076" w:rsidRPr="00EB2478">
          <w:rPr>
            <w:webHidden/>
            <w:color w:val="002060"/>
          </w:rPr>
          <w:t>5</w:t>
        </w:r>
        <w:r w:rsidR="00701076" w:rsidRPr="00EB2478">
          <w:rPr>
            <w:webHidden/>
            <w:color w:val="002060"/>
          </w:rPr>
          <w:fldChar w:fldCharType="end"/>
        </w:r>
      </w:hyperlink>
    </w:p>
    <w:p w14:paraId="417860C7" w14:textId="77777777" w:rsidR="00701076" w:rsidRPr="00EB2478" w:rsidRDefault="00E278A8" w:rsidP="00EB2478">
      <w:pPr>
        <w:pStyle w:val="TOC3"/>
        <w:rPr>
          <w:rFonts w:eastAsiaTheme="minorEastAsia"/>
          <w:color w:val="002060"/>
        </w:rPr>
      </w:pPr>
      <w:hyperlink w:anchor="_Toc100936025" w:history="1">
        <w:r w:rsidR="00701076" w:rsidRPr="00EB2478">
          <w:rPr>
            <w:rStyle w:val="Hyperlink"/>
            <w:color w:val="002060"/>
          </w:rPr>
          <w:t>1.2.</w:t>
        </w:r>
        <w:r w:rsidR="00701076" w:rsidRPr="00EB2478">
          <w:rPr>
            <w:rFonts w:eastAsiaTheme="minorEastAsia"/>
            <w:color w:val="002060"/>
          </w:rPr>
          <w:tab/>
        </w:r>
        <w:r w:rsidR="00701076" w:rsidRPr="00EB2478">
          <w:rPr>
            <w:rStyle w:val="Hyperlink"/>
            <w:color w:val="002060"/>
          </w:rPr>
          <w:t>Quelle autorité doit enregistrer les cas présumés de pratiques illicites ?</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_Toc100936025 \h </w:instrText>
        </w:r>
        <w:r w:rsidR="00701076" w:rsidRPr="00EB2478">
          <w:rPr>
            <w:webHidden/>
            <w:color w:val="002060"/>
          </w:rPr>
        </w:r>
        <w:r w:rsidR="00701076" w:rsidRPr="00EB2478">
          <w:rPr>
            <w:webHidden/>
            <w:color w:val="002060"/>
          </w:rPr>
          <w:fldChar w:fldCharType="separate"/>
        </w:r>
        <w:r w:rsidR="00701076" w:rsidRPr="00EB2478">
          <w:rPr>
            <w:webHidden/>
            <w:color w:val="002060"/>
          </w:rPr>
          <w:t>5</w:t>
        </w:r>
        <w:r w:rsidR="00701076" w:rsidRPr="00EB2478">
          <w:rPr>
            <w:webHidden/>
            <w:color w:val="002060"/>
          </w:rPr>
          <w:fldChar w:fldCharType="end"/>
        </w:r>
      </w:hyperlink>
    </w:p>
    <w:p w14:paraId="42257CC6" w14:textId="77777777" w:rsidR="00701076" w:rsidRPr="00EB2478" w:rsidRDefault="00E278A8" w:rsidP="00EB2478">
      <w:pPr>
        <w:pStyle w:val="TOC3"/>
        <w:rPr>
          <w:rFonts w:eastAsiaTheme="minorEastAsia"/>
          <w:color w:val="002060"/>
        </w:rPr>
      </w:pPr>
      <w:hyperlink w:anchor="_Toc100936026" w:history="1">
        <w:r w:rsidR="00701076" w:rsidRPr="00EB2478">
          <w:rPr>
            <w:rStyle w:val="Hyperlink"/>
            <w:color w:val="002060"/>
          </w:rPr>
          <w:t>1.3.</w:t>
        </w:r>
        <w:r w:rsidR="00701076" w:rsidRPr="00EB2478">
          <w:rPr>
            <w:rFonts w:eastAsiaTheme="minorEastAsia"/>
            <w:color w:val="002060"/>
          </w:rPr>
          <w:tab/>
        </w:r>
        <w:r w:rsidR="00701076" w:rsidRPr="00EB2478">
          <w:rPr>
            <w:rStyle w:val="Hyperlink"/>
            <w:color w:val="002060"/>
          </w:rPr>
          <w:t>Quelles mesures les États peuvent-ils prendre pour faciliter la divulgation des pratiques illicites ?</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_Toc100936026 \h </w:instrText>
        </w:r>
        <w:r w:rsidR="00701076" w:rsidRPr="00EB2478">
          <w:rPr>
            <w:webHidden/>
            <w:color w:val="002060"/>
          </w:rPr>
        </w:r>
        <w:r w:rsidR="00701076" w:rsidRPr="00EB2478">
          <w:rPr>
            <w:webHidden/>
            <w:color w:val="002060"/>
          </w:rPr>
          <w:fldChar w:fldCharType="separate"/>
        </w:r>
        <w:r w:rsidR="00701076" w:rsidRPr="00EB2478">
          <w:rPr>
            <w:webHidden/>
            <w:color w:val="002060"/>
          </w:rPr>
          <w:t>6</w:t>
        </w:r>
        <w:r w:rsidR="00701076" w:rsidRPr="00EB2478">
          <w:rPr>
            <w:webHidden/>
            <w:color w:val="002060"/>
          </w:rPr>
          <w:fldChar w:fldCharType="end"/>
        </w:r>
      </w:hyperlink>
    </w:p>
    <w:p w14:paraId="33308089" w14:textId="77777777" w:rsidR="00701076" w:rsidRPr="00EB2478" w:rsidRDefault="00E278A8" w:rsidP="00701076">
      <w:pPr>
        <w:pStyle w:val="TOC2"/>
        <w:rPr>
          <w:rFonts w:eastAsiaTheme="minorEastAsia"/>
          <w:color w:val="002060"/>
        </w:rPr>
      </w:pPr>
      <w:hyperlink w:anchor="_Toc100936027" w:history="1">
        <w:r w:rsidR="00701076" w:rsidRPr="00EB2478">
          <w:rPr>
            <w:rStyle w:val="Hyperlink"/>
            <w:color w:val="002060"/>
          </w:rPr>
          <w:t xml:space="preserve">2. </w:t>
        </w:r>
        <w:r w:rsidR="00701076" w:rsidRPr="00EB2478">
          <w:rPr>
            <w:rFonts w:eastAsiaTheme="minorEastAsia"/>
            <w:color w:val="002060"/>
          </w:rPr>
          <w:tab/>
        </w:r>
        <w:r w:rsidR="00701076" w:rsidRPr="00EB2478">
          <w:rPr>
            <w:rStyle w:val="Hyperlink"/>
            <w:color w:val="002060"/>
          </w:rPr>
          <w:t>LE CAS ÉCHÉANT : CONSIDÉRATIONS RELATIVES AUX MESURES PROVISOIRES DE PROTECTION DE L’ENFANT</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_Toc100936027 \h </w:instrText>
        </w:r>
        <w:r w:rsidR="00701076" w:rsidRPr="00EB2478">
          <w:rPr>
            <w:webHidden/>
            <w:color w:val="002060"/>
          </w:rPr>
        </w:r>
        <w:r w:rsidR="00701076" w:rsidRPr="00EB2478">
          <w:rPr>
            <w:webHidden/>
            <w:color w:val="002060"/>
          </w:rPr>
          <w:fldChar w:fldCharType="separate"/>
        </w:r>
        <w:r w:rsidR="00701076" w:rsidRPr="00EB2478">
          <w:rPr>
            <w:webHidden/>
            <w:color w:val="002060"/>
          </w:rPr>
          <w:t>7</w:t>
        </w:r>
        <w:r w:rsidR="00701076" w:rsidRPr="00EB2478">
          <w:rPr>
            <w:webHidden/>
            <w:color w:val="002060"/>
          </w:rPr>
          <w:fldChar w:fldCharType="end"/>
        </w:r>
      </w:hyperlink>
    </w:p>
    <w:p w14:paraId="66BFE1FB" w14:textId="77777777" w:rsidR="00701076" w:rsidRPr="00EB2478" w:rsidRDefault="00E278A8" w:rsidP="00EB2478">
      <w:pPr>
        <w:pStyle w:val="TOC3"/>
        <w:rPr>
          <w:rFonts w:eastAsiaTheme="minorEastAsia"/>
          <w:color w:val="002060"/>
        </w:rPr>
      </w:pPr>
      <w:hyperlink w:anchor="_Toc100936028" w:history="1">
        <w:r w:rsidR="00701076" w:rsidRPr="00EB2478">
          <w:rPr>
            <w:rStyle w:val="Hyperlink"/>
            <w:color w:val="002060"/>
          </w:rPr>
          <w:t>2.1.</w:t>
        </w:r>
        <w:r w:rsidR="00701076" w:rsidRPr="00EB2478">
          <w:rPr>
            <w:rFonts w:eastAsiaTheme="minorEastAsia"/>
            <w:color w:val="002060"/>
          </w:rPr>
          <w:tab/>
        </w:r>
        <w:r w:rsidR="00701076" w:rsidRPr="00EB2478">
          <w:rPr>
            <w:rStyle w:val="Hyperlink"/>
            <w:color w:val="002060"/>
          </w:rPr>
          <w:t>Mesures provisoires de protection de l’enfant en matière de procédures d’adoption en cours et déjà menées à terme</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_Toc100936028 \h </w:instrText>
        </w:r>
        <w:r w:rsidR="00701076" w:rsidRPr="00EB2478">
          <w:rPr>
            <w:webHidden/>
            <w:color w:val="002060"/>
          </w:rPr>
        </w:r>
        <w:r w:rsidR="00701076" w:rsidRPr="00EB2478">
          <w:rPr>
            <w:webHidden/>
            <w:color w:val="002060"/>
          </w:rPr>
          <w:fldChar w:fldCharType="separate"/>
        </w:r>
        <w:r w:rsidR="00701076" w:rsidRPr="00EB2478">
          <w:rPr>
            <w:webHidden/>
            <w:color w:val="002060"/>
          </w:rPr>
          <w:t>7</w:t>
        </w:r>
        <w:r w:rsidR="00701076" w:rsidRPr="00EB2478">
          <w:rPr>
            <w:webHidden/>
            <w:color w:val="002060"/>
          </w:rPr>
          <w:fldChar w:fldCharType="end"/>
        </w:r>
      </w:hyperlink>
    </w:p>
    <w:p w14:paraId="6A4D4EB2" w14:textId="77777777" w:rsidR="00701076" w:rsidRPr="00EB2478" w:rsidRDefault="00E278A8" w:rsidP="00EB2478">
      <w:pPr>
        <w:pStyle w:val="TOC3"/>
        <w:rPr>
          <w:rFonts w:eastAsiaTheme="minorEastAsia"/>
          <w:color w:val="002060"/>
        </w:rPr>
      </w:pPr>
      <w:hyperlink w:anchor="_Toc100936029" w:history="1">
        <w:r w:rsidR="00701076" w:rsidRPr="00EB2478">
          <w:rPr>
            <w:rStyle w:val="Hyperlink"/>
            <w:color w:val="002060"/>
          </w:rPr>
          <w:t>2.2.</w:t>
        </w:r>
        <w:r w:rsidR="00701076" w:rsidRPr="00EB2478">
          <w:rPr>
            <w:rFonts w:eastAsiaTheme="minorEastAsia"/>
            <w:color w:val="002060"/>
          </w:rPr>
          <w:tab/>
        </w:r>
        <w:r w:rsidR="00701076" w:rsidRPr="00EB2478">
          <w:rPr>
            <w:rStyle w:val="Hyperlink"/>
            <w:color w:val="002060"/>
          </w:rPr>
          <w:t>Considérations supplémentaires concernant les procédures d’adoption en cours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_Toc100936029 \h </w:instrText>
        </w:r>
        <w:r w:rsidR="00701076" w:rsidRPr="00EB2478">
          <w:rPr>
            <w:webHidden/>
            <w:color w:val="002060"/>
          </w:rPr>
        </w:r>
        <w:r w:rsidR="00701076" w:rsidRPr="00EB2478">
          <w:rPr>
            <w:webHidden/>
            <w:color w:val="002060"/>
          </w:rPr>
          <w:fldChar w:fldCharType="separate"/>
        </w:r>
        <w:r w:rsidR="00701076" w:rsidRPr="00EB2478">
          <w:rPr>
            <w:webHidden/>
            <w:color w:val="002060"/>
          </w:rPr>
          <w:t>7</w:t>
        </w:r>
        <w:r w:rsidR="00701076" w:rsidRPr="00EB2478">
          <w:rPr>
            <w:webHidden/>
            <w:color w:val="002060"/>
          </w:rPr>
          <w:fldChar w:fldCharType="end"/>
        </w:r>
      </w:hyperlink>
    </w:p>
    <w:p w14:paraId="32D0EDD0" w14:textId="77777777" w:rsidR="00701076" w:rsidRPr="00EB2478" w:rsidRDefault="00E278A8" w:rsidP="00701076">
      <w:pPr>
        <w:pStyle w:val="TOC2"/>
        <w:rPr>
          <w:rFonts w:eastAsiaTheme="minorEastAsia"/>
          <w:color w:val="002060"/>
        </w:rPr>
      </w:pPr>
      <w:hyperlink w:anchor="_Toc100936030" w:history="1">
        <w:r w:rsidR="00701076" w:rsidRPr="00EB2478">
          <w:rPr>
            <w:rStyle w:val="Hyperlink"/>
            <w:color w:val="002060"/>
          </w:rPr>
          <w:t>3.</w:t>
        </w:r>
        <w:r w:rsidR="00701076" w:rsidRPr="00EB2478">
          <w:rPr>
            <w:rFonts w:eastAsiaTheme="minorEastAsia"/>
            <w:color w:val="002060"/>
          </w:rPr>
          <w:tab/>
        </w:r>
        <w:r w:rsidR="00701076" w:rsidRPr="00EB2478">
          <w:rPr>
            <w:rStyle w:val="Hyperlink"/>
            <w:color w:val="002060"/>
          </w:rPr>
          <w:t>ÉTAPE CONTINUE : SERVICES DESTINÉS AUX PERSONNES TOUCHÉES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_Toc100936030 \h </w:instrText>
        </w:r>
        <w:r w:rsidR="00701076" w:rsidRPr="00EB2478">
          <w:rPr>
            <w:webHidden/>
            <w:color w:val="002060"/>
          </w:rPr>
        </w:r>
        <w:r w:rsidR="00701076" w:rsidRPr="00EB2478">
          <w:rPr>
            <w:webHidden/>
            <w:color w:val="002060"/>
          </w:rPr>
          <w:fldChar w:fldCharType="separate"/>
        </w:r>
        <w:r w:rsidR="00701076" w:rsidRPr="00EB2478">
          <w:rPr>
            <w:webHidden/>
            <w:color w:val="002060"/>
          </w:rPr>
          <w:t>9</w:t>
        </w:r>
        <w:r w:rsidR="00701076" w:rsidRPr="00EB2478">
          <w:rPr>
            <w:webHidden/>
            <w:color w:val="002060"/>
          </w:rPr>
          <w:fldChar w:fldCharType="end"/>
        </w:r>
      </w:hyperlink>
    </w:p>
    <w:p w14:paraId="144014AA" w14:textId="77777777" w:rsidR="00701076" w:rsidRPr="00EB2478" w:rsidRDefault="00E278A8" w:rsidP="00701076">
      <w:pPr>
        <w:pStyle w:val="TOC2"/>
        <w:rPr>
          <w:rFonts w:eastAsiaTheme="minorEastAsia"/>
          <w:color w:val="002060"/>
        </w:rPr>
      </w:pPr>
      <w:hyperlink w:anchor="_Toc100936031" w:history="1">
        <w:r w:rsidR="00701076" w:rsidRPr="00EB2478">
          <w:rPr>
            <w:rStyle w:val="Hyperlink"/>
            <w:color w:val="002060"/>
          </w:rPr>
          <w:t>4.</w:t>
        </w:r>
        <w:r w:rsidR="00701076" w:rsidRPr="00EB2478">
          <w:rPr>
            <w:rFonts w:eastAsiaTheme="minorEastAsia"/>
            <w:color w:val="002060"/>
          </w:rPr>
          <w:tab/>
        </w:r>
        <w:r w:rsidR="00701076" w:rsidRPr="00EB2478">
          <w:rPr>
            <w:rStyle w:val="Hyperlink"/>
            <w:color w:val="002060"/>
          </w:rPr>
          <w:t>ÉTAPE 2 : ENQUÊTE</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_Toc100936031 \h </w:instrText>
        </w:r>
        <w:r w:rsidR="00701076" w:rsidRPr="00EB2478">
          <w:rPr>
            <w:webHidden/>
            <w:color w:val="002060"/>
          </w:rPr>
        </w:r>
        <w:r w:rsidR="00701076" w:rsidRPr="00EB2478">
          <w:rPr>
            <w:webHidden/>
            <w:color w:val="002060"/>
          </w:rPr>
          <w:fldChar w:fldCharType="separate"/>
        </w:r>
        <w:r w:rsidR="00701076" w:rsidRPr="00EB2478">
          <w:rPr>
            <w:webHidden/>
            <w:color w:val="002060"/>
          </w:rPr>
          <w:t>12</w:t>
        </w:r>
        <w:r w:rsidR="00701076" w:rsidRPr="00EB2478">
          <w:rPr>
            <w:webHidden/>
            <w:color w:val="002060"/>
          </w:rPr>
          <w:fldChar w:fldCharType="end"/>
        </w:r>
      </w:hyperlink>
    </w:p>
    <w:p w14:paraId="796577E6" w14:textId="77777777" w:rsidR="00701076" w:rsidRPr="00EB2478" w:rsidRDefault="00E278A8" w:rsidP="00EB2478">
      <w:pPr>
        <w:pStyle w:val="TOC3"/>
        <w:rPr>
          <w:rFonts w:eastAsiaTheme="minorEastAsia"/>
          <w:color w:val="002060"/>
        </w:rPr>
      </w:pPr>
      <w:hyperlink w:anchor="_Toc100936032" w:history="1">
        <w:r w:rsidR="00701076" w:rsidRPr="00EB2478">
          <w:rPr>
            <w:rStyle w:val="Hyperlink"/>
            <w:color w:val="002060"/>
          </w:rPr>
          <w:t>4.1.</w:t>
        </w:r>
        <w:r w:rsidR="00701076" w:rsidRPr="00EB2478">
          <w:rPr>
            <w:rFonts w:eastAsiaTheme="minorEastAsia"/>
            <w:color w:val="002060"/>
          </w:rPr>
          <w:tab/>
        </w:r>
        <w:r w:rsidR="00701076" w:rsidRPr="00EB2478">
          <w:rPr>
            <w:rStyle w:val="Hyperlink"/>
            <w:color w:val="002060"/>
          </w:rPr>
          <w:t>Différents aspects de l’enquête</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_Toc100936032 \h </w:instrText>
        </w:r>
        <w:r w:rsidR="00701076" w:rsidRPr="00EB2478">
          <w:rPr>
            <w:webHidden/>
            <w:color w:val="002060"/>
          </w:rPr>
        </w:r>
        <w:r w:rsidR="00701076" w:rsidRPr="00EB2478">
          <w:rPr>
            <w:webHidden/>
            <w:color w:val="002060"/>
          </w:rPr>
          <w:fldChar w:fldCharType="separate"/>
        </w:r>
        <w:r w:rsidR="00701076" w:rsidRPr="00EB2478">
          <w:rPr>
            <w:webHidden/>
            <w:color w:val="002060"/>
          </w:rPr>
          <w:t>12</w:t>
        </w:r>
        <w:r w:rsidR="00701076" w:rsidRPr="00EB2478">
          <w:rPr>
            <w:webHidden/>
            <w:color w:val="002060"/>
          </w:rPr>
          <w:fldChar w:fldCharType="end"/>
        </w:r>
      </w:hyperlink>
    </w:p>
    <w:p w14:paraId="44B5B0F5" w14:textId="65DAF102" w:rsidR="00701076" w:rsidRPr="00EB2478" w:rsidRDefault="00E278A8" w:rsidP="00EB2478">
      <w:pPr>
        <w:pStyle w:val="TOC3"/>
        <w:rPr>
          <w:rFonts w:eastAsiaTheme="minorEastAsia"/>
          <w:color w:val="002060"/>
        </w:rPr>
      </w:pPr>
      <w:hyperlink w:anchor="_Toc100936033" w:history="1">
        <w:r w:rsidR="00701076" w:rsidRPr="00EB2478">
          <w:rPr>
            <w:rStyle w:val="Hyperlink"/>
            <w:color w:val="002060"/>
          </w:rPr>
          <w:t>4.2.</w:t>
        </w:r>
        <w:r w:rsidR="00701076" w:rsidRPr="00EB2478">
          <w:rPr>
            <w:rFonts w:eastAsiaTheme="minorEastAsia"/>
            <w:color w:val="002060"/>
          </w:rPr>
          <w:tab/>
        </w:r>
        <w:r w:rsidR="00701076" w:rsidRPr="00EB2478">
          <w:rPr>
            <w:rStyle w:val="Hyperlink"/>
            <w:color w:val="002060"/>
          </w:rPr>
          <w:t>Détection de la pratique illicite potentielle et évaluation de sa nature et de sa gravité</w:t>
        </w:r>
        <w:r w:rsidR="00701076" w:rsidRPr="00EB2478">
          <w:rPr>
            <w:webHidden/>
            <w:color w:val="002060"/>
          </w:rPr>
          <w:tab/>
        </w:r>
        <w:r w:rsidR="00EB2478"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_Toc100936033 \h </w:instrText>
        </w:r>
        <w:r w:rsidR="00701076" w:rsidRPr="00EB2478">
          <w:rPr>
            <w:webHidden/>
            <w:color w:val="002060"/>
          </w:rPr>
        </w:r>
        <w:r w:rsidR="00701076" w:rsidRPr="00EB2478">
          <w:rPr>
            <w:webHidden/>
            <w:color w:val="002060"/>
          </w:rPr>
          <w:fldChar w:fldCharType="separate"/>
        </w:r>
        <w:r w:rsidR="00701076" w:rsidRPr="00EB2478">
          <w:rPr>
            <w:webHidden/>
            <w:color w:val="002060"/>
          </w:rPr>
          <w:t>14</w:t>
        </w:r>
        <w:r w:rsidR="00701076" w:rsidRPr="00EB2478">
          <w:rPr>
            <w:webHidden/>
            <w:color w:val="002060"/>
          </w:rPr>
          <w:fldChar w:fldCharType="end"/>
        </w:r>
      </w:hyperlink>
    </w:p>
    <w:p w14:paraId="09529155" w14:textId="77777777" w:rsidR="00701076" w:rsidRPr="00EB2478" w:rsidRDefault="00E278A8" w:rsidP="00701076">
      <w:pPr>
        <w:pStyle w:val="TOC2"/>
        <w:rPr>
          <w:rFonts w:eastAsiaTheme="minorEastAsia"/>
          <w:color w:val="002060"/>
        </w:rPr>
      </w:pPr>
      <w:hyperlink w:anchor="_Toc100936034" w:history="1">
        <w:r w:rsidR="00701076" w:rsidRPr="00EB2478">
          <w:rPr>
            <w:rStyle w:val="Hyperlink"/>
            <w:color w:val="002060"/>
          </w:rPr>
          <w:t>5.</w:t>
        </w:r>
        <w:r w:rsidR="00701076" w:rsidRPr="00EB2478">
          <w:rPr>
            <w:rFonts w:eastAsiaTheme="minorEastAsia"/>
            <w:color w:val="002060"/>
          </w:rPr>
          <w:tab/>
        </w:r>
        <w:r w:rsidR="00701076" w:rsidRPr="00EB2478">
          <w:rPr>
            <w:rStyle w:val="Hyperlink"/>
            <w:color w:val="002060"/>
          </w:rPr>
          <w:t>AU MOMENT OPPORTUN : INFORMATION des autorités, organismes et personnes concernés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_Toc100936034 \h </w:instrText>
        </w:r>
        <w:r w:rsidR="00701076" w:rsidRPr="00EB2478">
          <w:rPr>
            <w:webHidden/>
            <w:color w:val="002060"/>
          </w:rPr>
        </w:r>
        <w:r w:rsidR="00701076" w:rsidRPr="00EB2478">
          <w:rPr>
            <w:webHidden/>
            <w:color w:val="002060"/>
          </w:rPr>
          <w:fldChar w:fldCharType="separate"/>
        </w:r>
        <w:r w:rsidR="00701076" w:rsidRPr="00EB2478">
          <w:rPr>
            <w:webHidden/>
            <w:color w:val="002060"/>
          </w:rPr>
          <w:t>15</w:t>
        </w:r>
        <w:r w:rsidR="00701076" w:rsidRPr="00EB2478">
          <w:rPr>
            <w:webHidden/>
            <w:color w:val="002060"/>
          </w:rPr>
          <w:fldChar w:fldCharType="end"/>
        </w:r>
      </w:hyperlink>
    </w:p>
    <w:p w14:paraId="3F9E13B0" w14:textId="77777777" w:rsidR="00701076" w:rsidRPr="00EB2478" w:rsidRDefault="00E278A8" w:rsidP="00EB2478">
      <w:pPr>
        <w:pStyle w:val="TOC3"/>
        <w:rPr>
          <w:rFonts w:eastAsiaTheme="minorEastAsia"/>
          <w:color w:val="002060"/>
        </w:rPr>
      </w:pPr>
      <w:hyperlink w:anchor="_Toc100936035" w:history="1">
        <w:r w:rsidR="00701076" w:rsidRPr="00EB2478">
          <w:rPr>
            <w:rStyle w:val="Hyperlink"/>
            <w:color w:val="002060"/>
          </w:rPr>
          <w:t>5.1.</w:t>
        </w:r>
        <w:r w:rsidR="00701076" w:rsidRPr="00EB2478">
          <w:rPr>
            <w:rFonts w:eastAsiaTheme="minorEastAsia"/>
            <w:color w:val="002060"/>
          </w:rPr>
          <w:tab/>
        </w:r>
        <w:r w:rsidR="00701076" w:rsidRPr="00EB2478">
          <w:rPr>
            <w:rStyle w:val="Hyperlink"/>
            <w:color w:val="002060"/>
          </w:rPr>
          <w:t>Échange d’informations entre Autorités centrales des différents États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_Toc100936035 \h </w:instrText>
        </w:r>
        <w:r w:rsidR="00701076" w:rsidRPr="00EB2478">
          <w:rPr>
            <w:webHidden/>
            <w:color w:val="002060"/>
          </w:rPr>
        </w:r>
        <w:r w:rsidR="00701076" w:rsidRPr="00EB2478">
          <w:rPr>
            <w:webHidden/>
            <w:color w:val="002060"/>
          </w:rPr>
          <w:fldChar w:fldCharType="separate"/>
        </w:r>
        <w:r w:rsidR="00701076" w:rsidRPr="00EB2478">
          <w:rPr>
            <w:webHidden/>
            <w:color w:val="002060"/>
          </w:rPr>
          <w:t>15</w:t>
        </w:r>
        <w:r w:rsidR="00701076" w:rsidRPr="00EB2478">
          <w:rPr>
            <w:webHidden/>
            <w:color w:val="002060"/>
          </w:rPr>
          <w:fldChar w:fldCharType="end"/>
        </w:r>
      </w:hyperlink>
    </w:p>
    <w:p w14:paraId="2E662E6A" w14:textId="77777777" w:rsidR="00701076" w:rsidRPr="00EB2478" w:rsidRDefault="00E278A8" w:rsidP="00EB2478">
      <w:pPr>
        <w:pStyle w:val="TOC3"/>
        <w:rPr>
          <w:rFonts w:eastAsiaTheme="minorEastAsia"/>
          <w:color w:val="002060"/>
        </w:rPr>
      </w:pPr>
      <w:hyperlink w:anchor="_Toc100936036" w:history="1">
        <w:r w:rsidR="00701076" w:rsidRPr="00EB2478">
          <w:rPr>
            <w:rStyle w:val="Hyperlink"/>
            <w:color w:val="002060"/>
          </w:rPr>
          <w:t>5.2.</w:t>
        </w:r>
        <w:r w:rsidR="00701076" w:rsidRPr="00EB2478">
          <w:rPr>
            <w:rFonts w:eastAsiaTheme="minorEastAsia"/>
            <w:color w:val="002060"/>
          </w:rPr>
          <w:tab/>
        </w:r>
        <w:r w:rsidR="00701076" w:rsidRPr="00EB2478">
          <w:rPr>
            <w:rStyle w:val="Hyperlink"/>
            <w:color w:val="002060"/>
          </w:rPr>
          <w:t>Information des personnes concernées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_Toc100936036 \h </w:instrText>
        </w:r>
        <w:r w:rsidR="00701076" w:rsidRPr="00EB2478">
          <w:rPr>
            <w:webHidden/>
            <w:color w:val="002060"/>
          </w:rPr>
        </w:r>
        <w:r w:rsidR="00701076" w:rsidRPr="00EB2478">
          <w:rPr>
            <w:webHidden/>
            <w:color w:val="002060"/>
          </w:rPr>
          <w:fldChar w:fldCharType="separate"/>
        </w:r>
        <w:r w:rsidR="00701076" w:rsidRPr="00EB2478">
          <w:rPr>
            <w:webHidden/>
            <w:color w:val="002060"/>
          </w:rPr>
          <w:t>16</w:t>
        </w:r>
        <w:r w:rsidR="00701076" w:rsidRPr="00EB2478">
          <w:rPr>
            <w:webHidden/>
            <w:color w:val="002060"/>
          </w:rPr>
          <w:fldChar w:fldCharType="end"/>
        </w:r>
      </w:hyperlink>
    </w:p>
    <w:p w14:paraId="210F6C6E" w14:textId="77777777" w:rsidR="00701076" w:rsidRPr="00EB2478" w:rsidRDefault="00E278A8" w:rsidP="00701076">
      <w:pPr>
        <w:pStyle w:val="TOC2"/>
        <w:rPr>
          <w:rFonts w:eastAsiaTheme="minorEastAsia"/>
          <w:color w:val="002060"/>
        </w:rPr>
      </w:pPr>
      <w:hyperlink w:anchor="_Toc100936037" w:history="1">
        <w:r w:rsidR="00701076" w:rsidRPr="00EB2478">
          <w:rPr>
            <w:rStyle w:val="Hyperlink"/>
            <w:color w:val="002060"/>
          </w:rPr>
          <w:t>6.</w:t>
        </w:r>
        <w:r w:rsidR="00701076" w:rsidRPr="00EB2478">
          <w:rPr>
            <w:rFonts w:eastAsiaTheme="minorEastAsia"/>
            <w:color w:val="002060"/>
          </w:rPr>
          <w:tab/>
        </w:r>
        <w:r w:rsidR="00701076" w:rsidRPr="00EB2478">
          <w:rPr>
            <w:rStyle w:val="Hyperlink"/>
            <w:color w:val="002060"/>
          </w:rPr>
          <w:t>ÉTAPE 3 : MESURES POSSIBLES À LA SUITE DE L’ENQUÊTE</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_Toc100936037 \h </w:instrText>
        </w:r>
        <w:r w:rsidR="00701076" w:rsidRPr="00EB2478">
          <w:rPr>
            <w:webHidden/>
            <w:color w:val="002060"/>
          </w:rPr>
        </w:r>
        <w:r w:rsidR="00701076" w:rsidRPr="00EB2478">
          <w:rPr>
            <w:webHidden/>
            <w:color w:val="002060"/>
          </w:rPr>
          <w:fldChar w:fldCharType="separate"/>
        </w:r>
        <w:r w:rsidR="00701076" w:rsidRPr="00EB2478">
          <w:rPr>
            <w:webHidden/>
            <w:color w:val="002060"/>
          </w:rPr>
          <w:t>17</w:t>
        </w:r>
        <w:r w:rsidR="00701076" w:rsidRPr="00EB2478">
          <w:rPr>
            <w:webHidden/>
            <w:color w:val="002060"/>
          </w:rPr>
          <w:fldChar w:fldCharType="end"/>
        </w:r>
      </w:hyperlink>
    </w:p>
    <w:p w14:paraId="67BF7C38" w14:textId="77777777" w:rsidR="00701076" w:rsidRPr="00EB2478" w:rsidRDefault="00E278A8" w:rsidP="00EB2478">
      <w:pPr>
        <w:pStyle w:val="TOC3"/>
        <w:rPr>
          <w:rFonts w:eastAsiaTheme="minorEastAsia"/>
          <w:color w:val="002060"/>
        </w:rPr>
      </w:pPr>
      <w:hyperlink w:anchor="_Toc100936038" w:history="1">
        <w:r w:rsidR="00701076" w:rsidRPr="00EB2478">
          <w:rPr>
            <w:rStyle w:val="Hyperlink"/>
            <w:color w:val="002060"/>
          </w:rPr>
          <w:t>6.1.</w:t>
        </w:r>
        <w:r w:rsidR="00701076" w:rsidRPr="00EB2478">
          <w:rPr>
            <w:rFonts w:eastAsiaTheme="minorEastAsia"/>
            <w:color w:val="002060"/>
          </w:rPr>
          <w:tab/>
        </w:r>
        <w:r w:rsidR="00701076" w:rsidRPr="00EB2478">
          <w:rPr>
            <w:rStyle w:val="Hyperlink"/>
            <w:color w:val="002060"/>
          </w:rPr>
          <w:t>Mesures concernant l’adopté (ou enfant adoptable) et les familles dans un cas particulier</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_Toc100936038 \h </w:instrText>
        </w:r>
        <w:r w:rsidR="00701076" w:rsidRPr="00EB2478">
          <w:rPr>
            <w:webHidden/>
            <w:color w:val="002060"/>
          </w:rPr>
        </w:r>
        <w:r w:rsidR="00701076" w:rsidRPr="00EB2478">
          <w:rPr>
            <w:webHidden/>
            <w:color w:val="002060"/>
          </w:rPr>
          <w:fldChar w:fldCharType="separate"/>
        </w:r>
        <w:r w:rsidR="00701076" w:rsidRPr="00EB2478">
          <w:rPr>
            <w:webHidden/>
            <w:color w:val="002060"/>
          </w:rPr>
          <w:t>17</w:t>
        </w:r>
        <w:r w:rsidR="00701076" w:rsidRPr="00EB2478">
          <w:rPr>
            <w:webHidden/>
            <w:color w:val="002060"/>
          </w:rPr>
          <w:fldChar w:fldCharType="end"/>
        </w:r>
      </w:hyperlink>
    </w:p>
    <w:p w14:paraId="380D5C64" w14:textId="77777777" w:rsidR="00701076" w:rsidRPr="00EB2478" w:rsidRDefault="00E278A8" w:rsidP="00EB2478">
      <w:pPr>
        <w:pStyle w:val="TOC3"/>
        <w:rPr>
          <w:rFonts w:eastAsiaTheme="minorEastAsia"/>
          <w:color w:val="002060"/>
        </w:rPr>
      </w:pPr>
      <w:hyperlink w:anchor="_Toc100936039" w:history="1">
        <w:r w:rsidR="00701076" w:rsidRPr="00EB2478">
          <w:rPr>
            <w:rStyle w:val="Hyperlink"/>
            <w:color w:val="002060"/>
          </w:rPr>
          <w:t>6.1.1.</w:t>
        </w:r>
        <w:r w:rsidR="00701076" w:rsidRPr="00EB2478">
          <w:rPr>
            <w:rFonts w:eastAsiaTheme="minorEastAsia"/>
            <w:color w:val="002060"/>
          </w:rPr>
          <w:tab/>
        </w:r>
        <w:r w:rsidR="00701076" w:rsidRPr="00EB2478">
          <w:rPr>
            <w:rStyle w:val="Hyperlink"/>
            <w:color w:val="002060"/>
          </w:rPr>
          <w:t>Si l’adoption n’a pas encore été finalisée</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_Toc100936039 \h </w:instrText>
        </w:r>
        <w:r w:rsidR="00701076" w:rsidRPr="00EB2478">
          <w:rPr>
            <w:webHidden/>
            <w:color w:val="002060"/>
          </w:rPr>
        </w:r>
        <w:r w:rsidR="00701076" w:rsidRPr="00EB2478">
          <w:rPr>
            <w:webHidden/>
            <w:color w:val="002060"/>
          </w:rPr>
          <w:fldChar w:fldCharType="separate"/>
        </w:r>
        <w:r w:rsidR="00701076" w:rsidRPr="00EB2478">
          <w:rPr>
            <w:webHidden/>
            <w:color w:val="002060"/>
          </w:rPr>
          <w:t>17</w:t>
        </w:r>
        <w:r w:rsidR="00701076" w:rsidRPr="00EB2478">
          <w:rPr>
            <w:webHidden/>
            <w:color w:val="002060"/>
          </w:rPr>
          <w:fldChar w:fldCharType="end"/>
        </w:r>
      </w:hyperlink>
    </w:p>
    <w:p w14:paraId="739E3F51" w14:textId="77777777" w:rsidR="00701076" w:rsidRPr="00EB2478" w:rsidRDefault="00E278A8" w:rsidP="00EB2478">
      <w:pPr>
        <w:pStyle w:val="TOC3"/>
        <w:rPr>
          <w:rFonts w:eastAsiaTheme="minorEastAsia"/>
          <w:color w:val="002060"/>
        </w:rPr>
      </w:pPr>
      <w:hyperlink w:anchor="_Toc100936040" w:history="1">
        <w:r w:rsidR="00701076" w:rsidRPr="00EB2478">
          <w:rPr>
            <w:rStyle w:val="Hyperlink"/>
            <w:color w:val="002060"/>
          </w:rPr>
          <w:t>6.1.2.</w:t>
        </w:r>
        <w:r w:rsidR="00701076" w:rsidRPr="00EB2478">
          <w:rPr>
            <w:rFonts w:eastAsiaTheme="minorEastAsia"/>
            <w:color w:val="002060"/>
          </w:rPr>
          <w:tab/>
        </w:r>
        <w:r w:rsidR="00701076" w:rsidRPr="00EB2478">
          <w:rPr>
            <w:rStyle w:val="Hyperlink"/>
            <w:color w:val="002060"/>
          </w:rPr>
          <w:t>Si l’adoption a déjà été finalisée</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_Toc100936040 \h </w:instrText>
        </w:r>
        <w:r w:rsidR="00701076" w:rsidRPr="00EB2478">
          <w:rPr>
            <w:webHidden/>
            <w:color w:val="002060"/>
          </w:rPr>
        </w:r>
        <w:r w:rsidR="00701076" w:rsidRPr="00EB2478">
          <w:rPr>
            <w:webHidden/>
            <w:color w:val="002060"/>
          </w:rPr>
          <w:fldChar w:fldCharType="separate"/>
        </w:r>
        <w:r w:rsidR="00701076" w:rsidRPr="00EB2478">
          <w:rPr>
            <w:webHidden/>
            <w:color w:val="002060"/>
          </w:rPr>
          <w:t>18</w:t>
        </w:r>
        <w:r w:rsidR="00701076" w:rsidRPr="00EB2478">
          <w:rPr>
            <w:webHidden/>
            <w:color w:val="002060"/>
          </w:rPr>
          <w:fldChar w:fldCharType="end"/>
        </w:r>
      </w:hyperlink>
    </w:p>
    <w:p w14:paraId="18F00236" w14:textId="77777777" w:rsidR="00701076" w:rsidRPr="00EB2478" w:rsidRDefault="00E278A8" w:rsidP="00EB2478">
      <w:pPr>
        <w:pStyle w:val="TOC3"/>
        <w:rPr>
          <w:rFonts w:eastAsiaTheme="minorEastAsia"/>
          <w:color w:val="002060"/>
        </w:rPr>
      </w:pPr>
      <w:hyperlink w:anchor="_Toc100936041" w:history="1">
        <w:r w:rsidR="00701076" w:rsidRPr="00EB2478">
          <w:rPr>
            <w:rStyle w:val="Hyperlink"/>
            <w:color w:val="002060"/>
          </w:rPr>
          <w:t>6.1.2.1.</w:t>
        </w:r>
        <w:r w:rsidR="00701076" w:rsidRPr="00EB2478">
          <w:rPr>
            <w:rFonts w:eastAsiaTheme="minorEastAsia"/>
            <w:color w:val="002060"/>
          </w:rPr>
          <w:tab/>
        </w:r>
        <w:r w:rsidR="00701076" w:rsidRPr="00EB2478">
          <w:rPr>
            <w:rStyle w:val="Hyperlink"/>
            <w:color w:val="002060"/>
          </w:rPr>
          <w:t>Considérations concernant la non-délivrance du certificat de conformité visé à l’article 23</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_Toc100936041 \h </w:instrText>
        </w:r>
        <w:r w:rsidR="00701076" w:rsidRPr="00EB2478">
          <w:rPr>
            <w:webHidden/>
            <w:color w:val="002060"/>
          </w:rPr>
        </w:r>
        <w:r w:rsidR="00701076" w:rsidRPr="00EB2478">
          <w:rPr>
            <w:webHidden/>
            <w:color w:val="002060"/>
          </w:rPr>
          <w:fldChar w:fldCharType="separate"/>
        </w:r>
        <w:r w:rsidR="00701076" w:rsidRPr="00EB2478">
          <w:rPr>
            <w:webHidden/>
            <w:color w:val="002060"/>
          </w:rPr>
          <w:t>19</w:t>
        </w:r>
        <w:r w:rsidR="00701076" w:rsidRPr="00EB2478">
          <w:rPr>
            <w:webHidden/>
            <w:color w:val="002060"/>
          </w:rPr>
          <w:fldChar w:fldCharType="end"/>
        </w:r>
      </w:hyperlink>
    </w:p>
    <w:p w14:paraId="4A9187CA" w14:textId="77777777" w:rsidR="00701076" w:rsidRPr="00EB2478" w:rsidRDefault="00E278A8" w:rsidP="00EB2478">
      <w:pPr>
        <w:pStyle w:val="TOC3"/>
        <w:rPr>
          <w:rFonts w:eastAsiaTheme="minorEastAsia"/>
          <w:color w:val="002060"/>
        </w:rPr>
      </w:pPr>
      <w:hyperlink w:anchor="_Toc100936042" w:history="1">
        <w:r w:rsidR="00701076" w:rsidRPr="00EB2478">
          <w:rPr>
            <w:rStyle w:val="Hyperlink"/>
            <w:color w:val="002060"/>
          </w:rPr>
          <w:t>6.1.2.2.</w:t>
        </w:r>
        <w:r w:rsidR="00701076" w:rsidRPr="00EB2478">
          <w:rPr>
            <w:rFonts w:eastAsiaTheme="minorEastAsia"/>
            <w:color w:val="002060"/>
          </w:rPr>
          <w:tab/>
        </w:r>
        <w:r w:rsidR="00701076" w:rsidRPr="00EB2478">
          <w:rPr>
            <w:rStyle w:val="Hyperlink"/>
            <w:color w:val="002060"/>
          </w:rPr>
          <w:t>Considérations relatives aux éventuels problèmes de protection de l’enfant lorsque l’adopté est encore un enfant</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_Toc100936042 \h </w:instrText>
        </w:r>
        <w:r w:rsidR="00701076" w:rsidRPr="00EB2478">
          <w:rPr>
            <w:webHidden/>
            <w:color w:val="002060"/>
          </w:rPr>
        </w:r>
        <w:r w:rsidR="00701076" w:rsidRPr="00EB2478">
          <w:rPr>
            <w:webHidden/>
            <w:color w:val="002060"/>
          </w:rPr>
          <w:fldChar w:fldCharType="separate"/>
        </w:r>
        <w:r w:rsidR="00701076" w:rsidRPr="00EB2478">
          <w:rPr>
            <w:webHidden/>
            <w:color w:val="002060"/>
          </w:rPr>
          <w:t>19</w:t>
        </w:r>
        <w:r w:rsidR="00701076" w:rsidRPr="00EB2478">
          <w:rPr>
            <w:webHidden/>
            <w:color w:val="002060"/>
          </w:rPr>
          <w:fldChar w:fldCharType="end"/>
        </w:r>
      </w:hyperlink>
    </w:p>
    <w:p w14:paraId="4C1336BC" w14:textId="77777777" w:rsidR="00701076" w:rsidRPr="00EB2478" w:rsidRDefault="00E278A8" w:rsidP="00EB2478">
      <w:pPr>
        <w:pStyle w:val="TOC3"/>
        <w:rPr>
          <w:rFonts w:eastAsiaTheme="minorEastAsia"/>
          <w:color w:val="002060"/>
        </w:rPr>
      </w:pPr>
      <w:hyperlink w:anchor="_Toc100936043" w:history="1">
        <w:r w:rsidR="00701076" w:rsidRPr="00EB2478">
          <w:rPr>
            <w:rStyle w:val="Hyperlink"/>
            <w:color w:val="002060"/>
          </w:rPr>
          <w:t>6.1.2.3.</w:t>
        </w:r>
        <w:r w:rsidR="00701076" w:rsidRPr="00EB2478">
          <w:rPr>
            <w:rFonts w:eastAsiaTheme="minorEastAsia"/>
            <w:color w:val="002060"/>
          </w:rPr>
          <w:tab/>
        </w:r>
        <w:r w:rsidR="00701076" w:rsidRPr="00EB2478">
          <w:rPr>
            <w:rStyle w:val="Hyperlink"/>
            <w:color w:val="002060"/>
          </w:rPr>
          <w:t>Considérations relatives à la révocation ou à l’annulation de l’adoption</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_Toc100936043 \h </w:instrText>
        </w:r>
        <w:r w:rsidR="00701076" w:rsidRPr="00EB2478">
          <w:rPr>
            <w:webHidden/>
            <w:color w:val="002060"/>
          </w:rPr>
        </w:r>
        <w:r w:rsidR="00701076" w:rsidRPr="00EB2478">
          <w:rPr>
            <w:webHidden/>
            <w:color w:val="002060"/>
          </w:rPr>
          <w:fldChar w:fldCharType="separate"/>
        </w:r>
        <w:r w:rsidR="00701076" w:rsidRPr="00EB2478">
          <w:rPr>
            <w:webHidden/>
            <w:color w:val="002060"/>
          </w:rPr>
          <w:t>20</w:t>
        </w:r>
        <w:r w:rsidR="00701076" w:rsidRPr="00EB2478">
          <w:rPr>
            <w:webHidden/>
            <w:color w:val="002060"/>
          </w:rPr>
          <w:fldChar w:fldCharType="end"/>
        </w:r>
      </w:hyperlink>
    </w:p>
    <w:p w14:paraId="1827A8C9" w14:textId="77777777" w:rsidR="00701076" w:rsidRPr="00EB2478" w:rsidRDefault="00E278A8" w:rsidP="00EB2478">
      <w:pPr>
        <w:pStyle w:val="TOC3"/>
        <w:rPr>
          <w:rFonts w:eastAsiaTheme="minorEastAsia"/>
          <w:color w:val="002060"/>
        </w:rPr>
      </w:pPr>
      <w:hyperlink w:anchor="_Toc100936044" w:history="1">
        <w:r w:rsidR="00701076" w:rsidRPr="00EB2478">
          <w:rPr>
            <w:rStyle w:val="Hyperlink"/>
            <w:color w:val="002060"/>
          </w:rPr>
          <w:t>6.1.2.4.</w:t>
        </w:r>
        <w:r w:rsidR="00701076" w:rsidRPr="00EB2478">
          <w:rPr>
            <w:rFonts w:eastAsiaTheme="minorEastAsia"/>
            <w:color w:val="002060"/>
          </w:rPr>
          <w:tab/>
        </w:r>
        <w:r w:rsidR="00701076" w:rsidRPr="00EB2478">
          <w:rPr>
            <w:rStyle w:val="Hyperlink"/>
            <w:color w:val="002060"/>
          </w:rPr>
          <w:t>Considérations relatives à la non-reconnaissance de l’adoption</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_Toc100936044 \h </w:instrText>
        </w:r>
        <w:r w:rsidR="00701076" w:rsidRPr="00EB2478">
          <w:rPr>
            <w:webHidden/>
            <w:color w:val="002060"/>
          </w:rPr>
        </w:r>
        <w:r w:rsidR="00701076" w:rsidRPr="00EB2478">
          <w:rPr>
            <w:webHidden/>
            <w:color w:val="002060"/>
          </w:rPr>
          <w:fldChar w:fldCharType="separate"/>
        </w:r>
        <w:r w:rsidR="00701076" w:rsidRPr="00EB2478">
          <w:rPr>
            <w:webHidden/>
            <w:color w:val="002060"/>
          </w:rPr>
          <w:t>20</w:t>
        </w:r>
        <w:r w:rsidR="00701076" w:rsidRPr="00EB2478">
          <w:rPr>
            <w:webHidden/>
            <w:color w:val="002060"/>
          </w:rPr>
          <w:fldChar w:fldCharType="end"/>
        </w:r>
      </w:hyperlink>
    </w:p>
    <w:p w14:paraId="4482DC5E" w14:textId="77777777" w:rsidR="00701076" w:rsidRPr="00EB2478" w:rsidRDefault="00E278A8" w:rsidP="00EB2478">
      <w:pPr>
        <w:pStyle w:val="TOC3"/>
        <w:rPr>
          <w:rFonts w:eastAsiaTheme="minorEastAsia"/>
          <w:color w:val="002060"/>
        </w:rPr>
      </w:pPr>
      <w:hyperlink w:anchor="_Toc100936045" w:history="1">
        <w:r w:rsidR="00701076" w:rsidRPr="00EB2478">
          <w:rPr>
            <w:rStyle w:val="Hyperlink"/>
            <w:color w:val="002060"/>
          </w:rPr>
          <w:t>6.2.</w:t>
        </w:r>
        <w:r w:rsidR="00701076" w:rsidRPr="00EB2478">
          <w:rPr>
            <w:rFonts w:eastAsiaTheme="minorEastAsia"/>
            <w:color w:val="002060"/>
          </w:rPr>
          <w:tab/>
        </w:r>
        <w:r w:rsidR="00701076" w:rsidRPr="00EB2478">
          <w:rPr>
            <w:rStyle w:val="Hyperlink"/>
            <w:color w:val="002060"/>
          </w:rPr>
          <w:t>Mesures visant d’autres acteurs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_Toc100936045 \h </w:instrText>
        </w:r>
        <w:r w:rsidR="00701076" w:rsidRPr="00EB2478">
          <w:rPr>
            <w:webHidden/>
            <w:color w:val="002060"/>
          </w:rPr>
        </w:r>
        <w:r w:rsidR="00701076" w:rsidRPr="00EB2478">
          <w:rPr>
            <w:webHidden/>
            <w:color w:val="002060"/>
          </w:rPr>
          <w:fldChar w:fldCharType="separate"/>
        </w:r>
        <w:r w:rsidR="00701076" w:rsidRPr="00EB2478">
          <w:rPr>
            <w:webHidden/>
            <w:color w:val="002060"/>
          </w:rPr>
          <w:t>21</w:t>
        </w:r>
        <w:r w:rsidR="00701076" w:rsidRPr="00EB2478">
          <w:rPr>
            <w:webHidden/>
            <w:color w:val="002060"/>
          </w:rPr>
          <w:fldChar w:fldCharType="end"/>
        </w:r>
      </w:hyperlink>
    </w:p>
    <w:p w14:paraId="6B4CE893" w14:textId="77777777" w:rsidR="00701076" w:rsidRPr="00EB2478" w:rsidRDefault="00E278A8" w:rsidP="00EB2478">
      <w:pPr>
        <w:pStyle w:val="TOC3"/>
        <w:rPr>
          <w:rFonts w:eastAsiaTheme="minorEastAsia"/>
          <w:color w:val="002060"/>
        </w:rPr>
      </w:pPr>
      <w:hyperlink w:anchor="_Toc100936046" w:history="1">
        <w:r w:rsidR="00701076" w:rsidRPr="00EB2478">
          <w:rPr>
            <w:rStyle w:val="Hyperlink"/>
            <w:color w:val="002060"/>
          </w:rPr>
          <w:t>6.2.1.</w:t>
        </w:r>
        <w:r w:rsidR="00701076" w:rsidRPr="00EB2478">
          <w:rPr>
            <w:rFonts w:eastAsiaTheme="minorEastAsia"/>
            <w:color w:val="002060"/>
          </w:rPr>
          <w:tab/>
        </w:r>
        <w:r w:rsidR="00701076" w:rsidRPr="00EB2478">
          <w:rPr>
            <w:rStyle w:val="Hyperlink"/>
            <w:color w:val="002060"/>
          </w:rPr>
          <w:t>Autorités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_Toc100936046 \h </w:instrText>
        </w:r>
        <w:r w:rsidR="00701076" w:rsidRPr="00EB2478">
          <w:rPr>
            <w:webHidden/>
            <w:color w:val="002060"/>
          </w:rPr>
        </w:r>
        <w:r w:rsidR="00701076" w:rsidRPr="00EB2478">
          <w:rPr>
            <w:webHidden/>
            <w:color w:val="002060"/>
          </w:rPr>
          <w:fldChar w:fldCharType="separate"/>
        </w:r>
        <w:r w:rsidR="00701076" w:rsidRPr="00EB2478">
          <w:rPr>
            <w:webHidden/>
            <w:color w:val="002060"/>
          </w:rPr>
          <w:t>21</w:t>
        </w:r>
        <w:r w:rsidR="00701076" w:rsidRPr="00EB2478">
          <w:rPr>
            <w:webHidden/>
            <w:color w:val="002060"/>
          </w:rPr>
          <w:fldChar w:fldCharType="end"/>
        </w:r>
      </w:hyperlink>
    </w:p>
    <w:p w14:paraId="008334DC" w14:textId="79CE0CDA" w:rsidR="00701076" w:rsidRPr="00EB2478" w:rsidRDefault="00E278A8" w:rsidP="00EB2478">
      <w:pPr>
        <w:pStyle w:val="TOC3"/>
        <w:rPr>
          <w:rFonts w:eastAsiaTheme="minorEastAsia"/>
          <w:color w:val="002060"/>
        </w:rPr>
      </w:pPr>
      <w:hyperlink w:anchor="_Toc100936047" w:history="1">
        <w:r w:rsidR="00701076" w:rsidRPr="00EB2478">
          <w:rPr>
            <w:rStyle w:val="Hyperlink"/>
            <w:color w:val="002060"/>
          </w:rPr>
          <w:t>6.2.2.</w:t>
        </w:r>
        <w:r w:rsidR="00701076" w:rsidRPr="00EB2478">
          <w:rPr>
            <w:rFonts w:eastAsiaTheme="minorEastAsia"/>
            <w:color w:val="002060"/>
          </w:rPr>
          <w:tab/>
        </w:r>
        <w:r w:rsidR="00701076" w:rsidRPr="00EB2478">
          <w:rPr>
            <w:rStyle w:val="Hyperlink"/>
            <w:color w:val="002060"/>
          </w:rPr>
          <w:t>OAA</w:t>
        </w:r>
        <w:r w:rsidR="00EB2478" w:rsidRPr="00EB2478">
          <w:rPr>
            <w:webHidden/>
            <w:color w:val="002060"/>
          </w:rPr>
          <w:t xml:space="preserve"> </w:t>
        </w:r>
        <w:r w:rsidR="00EB2478" w:rsidRPr="00EB2478">
          <w:rPr>
            <w:webHidden/>
            <w:color w:val="002060"/>
          </w:rPr>
          <w:tab/>
        </w:r>
        <w:r w:rsidR="00EB2478"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_Toc100936047 \h </w:instrText>
        </w:r>
        <w:r w:rsidR="00701076" w:rsidRPr="00EB2478">
          <w:rPr>
            <w:webHidden/>
            <w:color w:val="002060"/>
          </w:rPr>
        </w:r>
        <w:r w:rsidR="00701076" w:rsidRPr="00EB2478">
          <w:rPr>
            <w:webHidden/>
            <w:color w:val="002060"/>
          </w:rPr>
          <w:fldChar w:fldCharType="separate"/>
        </w:r>
        <w:r w:rsidR="00701076" w:rsidRPr="00EB2478">
          <w:rPr>
            <w:webHidden/>
            <w:color w:val="002060"/>
          </w:rPr>
          <w:t>21</w:t>
        </w:r>
        <w:r w:rsidR="00701076" w:rsidRPr="00EB2478">
          <w:rPr>
            <w:webHidden/>
            <w:color w:val="002060"/>
          </w:rPr>
          <w:fldChar w:fldCharType="end"/>
        </w:r>
      </w:hyperlink>
    </w:p>
    <w:p w14:paraId="448F8D4D" w14:textId="77777777" w:rsidR="00701076" w:rsidRPr="00EB2478" w:rsidRDefault="00E278A8" w:rsidP="00EB2478">
      <w:pPr>
        <w:pStyle w:val="TOC3"/>
        <w:rPr>
          <w:rFonts w:eastAsiaTheme="minorEastAsia"/>
          <w:color w:val="002060"/>
        </w:rPr>
      </w:pPr>
      <w:hyperlink w:anchor="_Toc100936048" w:history="1">
        <w:r w:rsidR="00701076" w:rsidRPr="00EB2478">
          <w:rPr>
            <w:rStyle w:val="Hyperlink"/>
            <w:color w:val="002060"/>
          </w:rPr>
          <w:t>6.2.3.</w:t>
        </w:r>
        <w:r w:rsidR="00701076" w:rsidRPr="00EB2478">
          <w:rPr>
            <w:rFonts w:eastAsiaTheme="minorEastAsia"/>
            <w:color w:val="002060"/>
          </w:rPr>
          <w:tab/>
        </w:r>
        <w:r w:rsidR="00701076" w:rsidRPr="00EB2478">
          <w:rPr>
            <w:rStyle w:val="Hyperlink"/>
            <w:color w:val="002060"/>
          </w:rPr>
          <w:t>Institutions pour enfants, professionnels indépendants et autres acteurs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_Toc100936048 \h </w:instrText>
        </w:r>
        <w:r w:rsidR="00701076" w:rsidRPr="00EB2478">
          <w:rPr>
            <w:webHidden/>
            <w:color w:val="002060"/>
          </w:rPr>
        </w:r>
        <w:r w:rsidR="00701076" w:rsidRPr="00EB2478">
          <w:rPr>
            <w:webHidden/>
            <w:color w:val="002060"/>
          </w:rPr>
          <w:fldChar w:fldCharType="separate"/>
        </w:r>
        <w:r w:rsidR="00701076" w:rsidRPr="00EB2478">
          <w:rPr>
            <w:webHidden/>
            <w:color w:val="002060"/>
          </w:rPr>
          <w:t>21</w:t>
        </w:r>
        <w:r w:rsidR="00701076" w:rsidRPr="00EB2478">
          <w:rPr>
            <w:webHidden/>
            <w:color w:val="002060"/>
          </w:rPr>
          <w:fldChar w:fldCharType="end"/>
        </w:r>
      </w:hyperlink>
    </w:p>
    <w:p w14:paraId="522C9159" w14:textId="77777777" w:rsidR="00701076" w:rsidRPr="00EB2478" w:rsidRDefault="00E278A8" w:rsidP="00EB2478">
      <w:pPr>
        <w:pStyle w:val="TOC3"/>
        <w:rPr>
          <w:rFonts w:eastAsiaTheme="minorEastAsia"/>
          <w:color w:val="002060"/>
        </w:rPr>
      </w:pPr>
      <w:hyperlink w:anchor="_Toc100936049" w:history="1">
        <w:r w:rsidR="00701076" w:rsidRPr="00EB2478">
          <w:rPr>
            <w:rStyle w:val="Hyperlink"/>
            <w:color w:val="002060"/>
          </w:rPr>
          <w:t>6.3.</w:t>
        </w:r>
        <w:r w:rsidR="00701076" w:rsidRPr="00EB2478">
          <w:rPr>
            <w:rFonts w:eastAsiaTheme="minorEastAsia"/>
            <w:color w:val="002060"/>
          </w:rPr>
          <w:tab/>
        </w:r>
        <w:r w:rsidR="00701076" w:rsidRPr="00EB2478">
          <w:rPr>
            <w:rStyle w:val="Hyperlink"/>
            <w:color w:val="002060"/>
          </w:rPr>
          <w:t>Autres mesures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_Toc100936049 \h </w:instrText>
        </w:r>
        <w:r w:rsidR="00701076" w:rsidRPr="00EB2478">
          <w:rPr>
            <w:webHidden/>
            <w:color w:val="002060"/>
          </w:rPr>
        </w:r>
        <w:r w:rsidR="00701076" w:rsidRPr="00EB2478">
          <w:rPr>
            <w:webHidden/>
            <w:color w:val="002060"/>
          </w:rPr>
          <w:fldChar w:fldCharType="separate"/>
        </w:r>
        <w:r w:rsidR="00701076" w:rsidRPr="00EB2478">
          <w:rPr>
            <w:webHidden/>
            <w:color w:val="002060"/>
          </w:rPr>
          <w:t>22</w:t>
        </w:r>
        <w:r w:rsidR="00701076" w:rsidRPr="00EB2478">
          <w:rPr>
            <w:webHidden/>
            <w:color w:val="002060"/>
          </w:rPr>
          <w:fldChar w:fldCharType="end"/>
        </w:r>
      </w:hyperlink>
    </w:p>
    <w:p w14:paraId="12D0E87D" w14:textId="77777777" w:rsidR="00701076" w:rsidRPr="00EB2478" w:rsidRDefault="00E278A8" w:rsidP="00EB2478">
      <w:pPr>
        <w:pStyle w:val="TOC3"/>
        <w:rPr>
          <w:rFonts w:eastAsiaTheme="minorEastAsia"/>
          <w:color w:val="002060"/>
        </w:rPr>
      </w:pPr>
      <w:hyperlink w:anchor="_Toc100936050" w:history="1">
        <w:r w:rsidR="00701076" w:rsidRPr="00EB2478">
          <w:rPr>
            <w:rStyle w:val="Hyperlink"/>
            <w:color w:val="002060"/>
          </w:rPr>
          <w:t>6.3.1.</w:t>
        </w:r>
        <w:r w:rsidR="00701076" w:rsidRPr="00EB2478">
          <w:rPr>
            <w:rFonts w:eastAsiaTheme="minorEastAsia"/>
            <w:color w:val="002060"/>
          </w:rPr>
          <w:tab/>
        </w:r>
        <w:r w:rsidR="00701076" w:rsidRPr="00EB2478">
          <w:rPr>
            <w:rStyle w:val="Hyperlink"/>
            <w:color w:val="002060"/>
          </w:rPr>
          <w:t>Poursuites pénales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_Toc100936050 \h </w:instrText>
        </w:r>
        <w:r w:rsidR="00701076" w:rsidRPr="00EB2478">
          <w:rPr>
            <w:webHidden/>
            <w:color w:val="002060"/>
          </w:rPr>
        </w:r>
        <w:r w:rsidR="00701076" w:rsidRPr="00EB2478">
          <w:rPr>
            <w:webHidden/>
            <w:color w:val="002060"/>
          </w:rPr>
          <w:fldChar w:fldCharType="separate"/>
        </w:r>
        <w:r w:rsidR="00701076" w:rsidRPr="00EB2478">
          <w:rPr>
            <w:webHidden/>
            <w:color w:val="002060"/>
          </w:rPr>
          <w:t>22</w:t>
        </w:r>
        <w:r w:rsidR="00701076" w:rsidRPr="00EB2478">
          <w:rPr>
            <w:webHidden/>
            <w:color w:val="002060"/>
          </w:rPr>
          <w:fldChar w:fldCharType="end"/>
        </w:r>
      </w:hyperlink>
    </w:p>
    <w:p w14:paraId="7373BF20" w14:textId="77777777" w:rsidR="00701076" w:rsidRPr="00EB2478" w:rsidRDefault="00E278A8" w:rsidP="00EB2478">
      <w:pPr>
        <w:pStyle w:val="TOC3"/>
        <w:rPr>
          <w:rFonts w:eastAsiaTheme="minorEastAsia"/>
          <w:color w:val="002060"/>
        </w:rPr>
      </w:pPr>
      <w:hyperlink w:anchor="_Toc100936051" w:history="1">
        <w:r w:rsidR="00701076" w:rsidRPr="00EB2478">
          <w:rPr>
            <w:rStyle w:val="Hyperlink"/>
            <w:color w:val="002060"/>
          </w:rPr>
          <w:t>6.3.2.</w:t>
        </w:r>
        <w:r w:rsidR="00701076" w:rsidRPr="00EB2478">
          <w:rPr>
            <w:rFonts w:eastAsiaTheme="minorEastAsia"/>
            <w:color w:val="002060"/>
          </w:rPr>
          <w:tab/>
        </w:r>
        <w:r w:rsidR="00701076" w:rsidRPr="00EB2478">
          <w:rPr>
            <w:rStyle w:val="Hyperlink"/>
            <w:color w:val="002060"/>
          </w:rPr>
          <w:t>Procédure civile</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_Toc100936051 \h </w:instrText>
        </w:r>
        <w:r w:rsidR="00701076" w:rsidRPr="00EB2478">
          <w:rPr>
            <w:webHidden/>
            <w:color w:val="002060"/>
          </w:rPr>
        </w:r>
        <w:r w:rsidR="00701076" w:rsidRPr="00EB2478">
          <w:rPr>
            <w:webHidden/>
            <w:color w:val="002060"/>
          </w:rPr>
          <w:fldChar w:fldCharType="separate"/>
        </w:r>
        <w:r w:rsidR="00701076" w:rsidRPr="00EB2478">
          <w:rPr>
            <w:webHidden/>
            <w:color w:val="002060"/>
          </w:rPr>
          <w:t>22</w:t>
        </w:r>
        <w:r w:rsidR="00701076" w:rsidRPr="00EB2478">
          <w:rPr>
            <w:webHidden/>
            <w:color w:val="002060"/>
          </w:rPr>
          <w:fldChar w:fldCharType="end"/>
        </w:r>
      </w:hyperlink>
    </w:p>
    <w:p w14:paraId="3A7825E9" w14:textId="1FDE2CDB" w:rsidR="00701076" w:rsidRPr="00EB2478" w:rsidRDefault="00E278A8" w:rsidP="00EB2478">
      <w:pPr>
        <w:pStyle w:val="TOC3"/>
        <w:rPr>
          <w:rFonts w:eastAsiaTheme="minorEastAsia"/>
          <w:color w:val="002060"/>
        </w:rPr>
      </w:pPr>
      <w:hyperlink w:anchor="_Toc100936052" w:history="1">
        <w:r w:rsidR="00701076" w:rsidRPr="00EB2478">
          <w:rPr>
            <w:rStyle w:val="Hyperlink"/>
            <w:color w:val="002060"/>
          </w:rPr>
          <w:t>6.3.3.</w:t>
        </w:r>
        <w:r w:rsidR="00701076" w:rsidRPr="00EB2478">
          <w:rPr>
            <w:rFonts w:eastAsiaTheme="minorEastAsia"/>
            <w:color w:val="002060"/>
          </w:rPr>
          <w:tab/>
        </w:r>
        <w:r w:rsidR="00701076" w:rsidRPr="00EB2478">
          <w:rPr>
            <w:rStyle w:val="Hyperlink"/>
            <w:color w:val="002060"/>
          </w:rPr>
          <w:t>Tribunaux internationaux et régionaux et autres mécanismes internationaux</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_Toc100936052 \h </w:instrText>
        </w:r>
        <w:r w:rsidR="00701076" w:rsidRPr="00EB2478">
          <w:rPr>
            <w:webHidden/>
            <w:color w:val="002060"/>
          </w:rPr>
        </w:r>
        <w:r w:rsidR="00701076" w:rsidRPr="00EB2478">
          <w:rPr>
            <w:webHidden/>
            <w:color w:val="002060"/>
          </w:rPr>
          <w:fldChar w:fldCharType="separate"/>
        </w:r>
        <w:r w:rsidR="00701076" w:rsidRPr="00EB2478">
          <w:rPr>
            <w:webHidden/>
            <w:color w:val="002060"/>
          </w:rPr>
          <w:t>23</w:t>
        </w:r>
        <w:r w:rsidR="00701076" w:rsidRPr="00EB2478">
          <w:rPr>
            <w:webHidden/>
            <w:color w:val="002060"/>
          </w:rPr>
          <w:fldChar w:fldCharType="end"/>
        </w:r>
      </w:hyperlink>
    </w:p>
    <w:p w14:paraId="2E533C14" w14:textId="296B88E7" w:rsidR="00701076" w:rsidRPr="00EB2478" w:rsidRDefault="00E278A8" w:rsidP="00EB2478">
      <w:pPr>
        <w:pStyle w:val="TOC3"/>
        <w:rPr>
          <w:rFonts w:eastAsiaTheme="minorEastAsia"/>
          <w:color w:val="002060"/>
        </w:rPr>
      </w:pPr>
      <w:hyperlink w:anchor="_Toc100936053" w:history="1">
        <w:r w:rsidR="00701076" w:rsidRPr="00EB2478">
          <w:rPr>
            <w:rStyle w:val="Hyperlink"/>
            <w:color w:val="002060"/>
          </w:rPr>
          <w:t>6.3.4.</w:t>
        </w:r>
        <w:r w:rsidR="00701076" w:rsidRPr="00EB2478">
          <w:rPr>
            <w:rFonts w:eastAsiaTheme="minorEastAsia"/>
            <w:color w:val="002060"/>
          </w:rPr>
          <w:tab/>
        </w:r>
        <w:r w:rsidR="00701076" w:rsidRPr="00EB2478">
          <w:rPr>
            <w:rStyle w:val="Hyperlink"/>
            <w:color w:val="002060"/>
          </w:rPr>
          <w:t>Autres mesures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_Toc100936053 \h </w:instrText>
        </w:r>
        <w:r w:rsidR="00701076" w:rsidRPr="00EB2478">
          <w:rPr>
            <w:webHidden/>
            <w:color w:val="002060"/>
          </w:rPr>
        </w:r>
        <w:r w:rsidR="00701076" w:rsidRPr="00EB2478">
          <w:rPr>
            <w:webHidden/>
            <w:color w:val="002060"/>
          </w:rPr>
          <w:fldChar w:fldCharType="separate"/>
        </w:r>
        <w:r w:rsidR="00701076" w:rsidRPr="00EB2478">
          <w:rPr>
            <w:webHidden/>
            <w:color w:val="002060"/>
          </w:rPr>
          <w:t>23</w:t>
        </w:r>
        <w:r w:rsidR="00701076" w:rsidRPr="00EB2478">
          <w:rPr>
            <w:webHidden/>
            <w:color w:val="002060"/>
          </w:rPr>
          <w:fldChar w:fldCharType="end"/>
        </w:r>
      </w:hyperlink>
    </w:p>
    <w:p w14:paraId="4A349C56" w14:textId="24B070A5" w:rsidR="00701076" w:rsidRPr="00EB2478" w:rsidRDefault="00E278A8" w:rsidP="00EB2478">
      <w:pPr>
        <w:pStyle w:val="TOC3"/>
        <w:rPr>
          <w:rFonts w:eastAsiaTheme="minorEastAsia"/>
          <w:color w:val="002060"/>
        </w:rPr>
      </w:pPr>
      <w:hyperlink w:anchor="_Toc100936054" w:history="1">
        <w:r w:rsidR="00701076" w:rsidRPr="00EB2478">
          <w:rPr>
            <w:rStyle w:val="Hyperlink"/>
            <w:color w:val="002060"/>
          </w:rPr>
          <w:t>6.4.</w:t>
        </w:r>
        <w:r w:rsidR="00701076" w:rsidRPr="00EB2478">
          <w:rPr>
            <w:rFonts w:eastAsiaTheme="minorEastAsia"/>
            <w:color w:val="002060"/>
          </w:rPr>
          <w:tab/>
        </w:r>
        <w:r w:rsidR="00701076" w:rsidRPr="00EB2478">
          <w:rPr>
            <w:rStyle w:val="Hyperlink"/>
            <w:color w:val="002060"/>
          </w:rPr>
          <w:t xml:space="preserve">Mesures visant à renforcer le CADRE JURIDIQUE et à traiter des facteurs </w:t>
        </w:r>
        <w:r w:rsidR="00EB2478">
          <w:rPr>
            <w:rStyle w:val="Hyperlink"/>
            <w:color w:val="002060"/>
          </w:rPr>
          <w:t xml:space="preserve">   </w:t>
        </w:r>
        <w:r w:rsidR="00701076" w:rsidRPr="00EB2478">
          <w:rPr>
            <w:rStyle w:val="Hyperlink"/>
            <w:color w:val="002060"/>
          </w:rPr>
          <w:t>propices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_Toc100936054 \h </w:instrText>
        </w:r>
        <w:r w:rsidR="00701076" w:rsidRPr="00EB2478">
          <w:rPr>
            <w:webHidden/>
            <w:color w:val="002060"/>
          </w:rPr>
        </w:r>
        <w:r w:rsidR="00701076" w:rsidRPr="00EB2478">
          <w:rPr>
            <w:webHidden/>
            <w:color w:val="002060"/>
          </w:rPr>
          <w:fldChar w:fldCharType="separate"/>
        </w:r>
        <w:r w:rsidR="00701076" w:rsidRPr="00EB2478">
          <w:rPr>
            <w:webHidden/>
            <w:color w:val="002060"/>
          </w:rPr>
          <w:t>24</w:t>
        </w:r>
        <w:r w:rsidR="00701076" w:rsidRPr="00EB2478">
          <w:rPr>
            <w:webHidden/>
            <w:color w:val="002060"/>
          </w:rPr>
          <w:fldChar w:fldCharType="end"/>
        </w:r>
      </w:hyperlink>
    </w:p>
    <w:p w14:paraId="5F5E7D9C" w14:textId="77777777" w:rsidR="00701076" w:rsidRPr="00EB2478" w:rsidRDefault="00E278A8" w:rsidP="00EB2478">
      <w:pPr>
        <w:pStyle w:val="TOC3"/>
        <w:rPr>
          <w:rFonts w:eastAsiaTheme="minorEastAsia"/>
          <w:color w:val="002060"/>
        </w:rPr>
      </w:pPr>
      <w:hyperlink w:anchor="_Toc100936055" w:history="1">
        <w:r w:rsidR="00701076" w:rsidRPr="00EB2478">
          <w:rPr>
            <w:rStyle w:val="Hyperlink"/>
            <w:color w:val="002060"/>
          </w:rPr>
          <w:t>6.5.</w:t>
        </w:r>
        <w:r w:rsidR="00701076" w:rsidRPr="00EB2478">
          <w:rPr>
            <w:rFonts w:eastAsiaTheme="minorEastAsia"/>
            <w:color w:val="002060"/>
          </w:rPr>
          <w:tab/>
        </w:r>
        <w:r w:rsidR="00701076" w:rsidRPr="00EB2478">
          <w:rPr>
            <w:rStyle w:val="Hyperlink"/>
            <w:color w:val="002060"/>
          </w:rPr>
          <w:t>Mesures concernant les autres États concernés</w:t>
        </w:r>
        <w:r w:rsidR="00701076" w:rsidRPr="00EB2478">
          <w:rPr>
            <w:webHidden/>
            <w:color w:val="002060"/>
          </w:rPr>
          <w:tab/>
        </w:r>
        <w:r w:rsidR="00701076" w:rsidRPr="00EB2478">
          <w:rPr>
            <w:webHidden/>
            <w:color w:val="002060"/>
          </w:rPr>
          <w:fldChar w:fldCharType="begin"/>
        </w:r>
        <w:r w:rsidR="00701076" w:rsidRPr="00EB2478">
          <w:rPr>
            <w:webHidden/>
            <w:color w:val="002060"/>
          </w:rPr>
          <w:instrText xml:space="preserve"> PAGEREF _Toc100936055 \h </w:instrText>
        </w:r>
        <w:r w:rsidR="00701076" w:rsidRPr="00EB2478">
          <w:rPr>
            <w:webHidden/>
            <w:color w:val="002060"/>
          </w:rPr>
        </w:r>
        <w:r w:rsidR="00701076" w:rsidRPr="00EB2478">
          <w:rPr>
            <w:webHidden/>
            <w:color w:val="002060"/>
          </w:rPr>
          <w:fldChar w:fldCharType="separate"/>
        </w:r>
        <w:r w:rsidR="00701076" w:rsidRPr="00EB2478">
          <w:rPr>
            <w:webHidden/>
            <w:color w:val="002060"/>
          </w:rPr>
          <w:t>24</w:t>
        </w:r>
        <w:r w:rsidR="00701076" w:rsidRPr="00EB2478">
          <w:rPr>
            <w:webHidden/>
            <w:color w:val="002060"/>
          </w:rPr>
          <w:fldChar w:fldCharType="end"/>
        </w:r>
      </w:hyperlink>
    </w:p>
    <w:p w14:paraId="4705B8DE" w14:textId="77777777" w:rsidR="00701076" w:rsidRPr="00EB2478" w:rsidRDefault="00701076" w:rsidP="00701076">
      <w:pPr>
        <w:rPr>
          <w:color w:val="002060"/>
        </w:rPr>
      </w:pPr>
      <w:r w:rsidRPr="00EB2478">
        <w:rPr>
          <w:b/>
          <w:color w:val="002060"/>
        </w:rPr>
        <w:fldChar w:fldCharType="end"/>
      </w:r>
    </w:p>
    <w:p w14:paraId="4191E567" w14:textId="77777777" w:rsidR="00701076" w:rsidRPr="00EB2478" w:rsidRDefault="00701076" w:rsidP="00701076">
      <w:pPr>
        <w:pStyle w:val="Title"/>
        <w:jc w:val="both"/>
        <w:rPr>
          <w:color w:val="002060"/>
        </w:rPr>
        <w:sectPr w:rsidR="00701076" w:rsidRPr="00EB2478" w:rsidSect="009801BF">
          <w:headerReference w:type="default" r:id="rId21"/>
          <w:footerReference w:type="default" r:id="rId22"/>
          <w:pgSz w:w="11906" w:h="16838" w:code="9"/>
          <w:pgMar w:top="1134" w:right="1134" w:bottom="1134" w:left="1134" w:header="709" w:footer="709" w:gutter="0"/>
          <w:pgNumType w:start="1"/>
          <w:cols w:space="708"/>
          <w:titlePg/>
          <w:docGrid w:linePitch="360"/>
        </w:sectPr>
      </w:pPr>
    </w:p>
    <w:p w14:paraId="151A8892" w14:textId="77777777" w:rsidR="00874658" w:rsidRPr="00E551A4" w:rsidRDefault="00701076" w:rsidP="00701076">
      <w:pPr>
        <w:pStyle w:val="Heading1"/>
        <w:numPr>
          <w:ilvl w:val="0"/>
          <w:numId w:val="0"/>
        </w:numPr>
        <w:ind w:left="567"/>
        <w:rPr>
          <w:color w:val="0070C0"/>
        </w:rPr>
      </w:pPr>
      <w:bookmarkStart w:id="9" w:name="_Toc64621525"/>
      <w:bookmarkStart w:id="10" w:name="_Toc90754794"/>
      <w:bookmarkStart w:id="11" w:name="_Toc100936022"/>
      <w:bookmarkEnd w:id="7"/>
      <w:bookmarkEnd w:id="8"/>
      <w:r>
        <w:rPr>
          <w:color w:val="0070C0"/>
        </w:rPr>
        <w:lastRenderedPageBreak/>
        <w:t xml:space="preserve">PARTIE IV : </w:t>
      </w:r>
      <w:r w:rsidR="00062829">
        <w:rPr>
          <w:color w:val="0070C0"/>
        </w:rPr>
        <w:t xml:space="preserve">PROCÉDURE </w:t>
      </w:r>
      <w:bookmarkEnd w:id="0"/>
      <w:bookmarkEnd w:id="1"/>
      <w:r w:rsidR="00062829">
        <w:rPr>
          <w:color w:val="0070C0"/>
        </w:rPr>
        <w:t>TYPE VISANT À RÉPONDRE AUX CAS PRÉSUMÉS ET AVÉRÉS DE PRATIQUES ILLICITES</w:t>
      </w:r>
      <w:bookmarkEnd w:id="2"/>
      <w:bookmarkEnd w:id="3"/>
      <w:bookmarkEnd w:id="4"/>
      <w:bookmarkEnd w:id="5"/>
      <w:bookmarkEnd w:id="9"/>
      <w:bookmarkEnd w:id="10"/>
      <w:bookmarkEnd w:id="11"/>
    </w:p>
    <w:p w14:paraId="35F60EF3" w14:textId="77777777" w:rsidR="00C71645" w:rsidRPr="003A6205" w:rsidRDefault="00E218A4" w:rsidP="009A3B06">
      <w:pPr>
        <w:pStyle w:val="PBParagraphNumber"/>
        <w:numPr>
          <w:ilvl w:val="0"/>
          <w:numId w:val="7"/>
        </w:numPr>
      </w:pPr>
      <w:r>
        <w:t xml:space="preserve">La présente </w:t>
      </w:r>
      <w:r w:rsidR="0044614D">
        <w:t>P</w:t>
      </w:r>
      <w:r>
        <w:t xml:space="preserve">rocédure type énonce les </w:t>
      </w:r>
      <w:r w:rsidR="00AA687A">
        <w:t>mesures</w:t>
      </w:r>
      <w:r>
        <w:t xml:space="preserve"> que les acteurs étatiques devraient envisager pour </w:t>
      </w:r>
      <w:r w:rsidR="007439CE">
        <w:t xml:space="preserve">remédier </w:t>
      </w:r>
      <w:r w:rsidDel="006E194A">
        <w:t>aux</w:t>
      </w:r>
      <w:r>
        <w:t xml:space="preserve"> </w:t>
      </w:r>
      <w:r w:rsidRPr="003A6205">
        <w:t xml:space="preserve">situations impliquant des cas présumés ou avérés de pratiques illicites </w:t>
      </w:r>
      <w:r w:rsidR="00D75A79" w:rsidRPr="003A6205">
        <w:t xml:space="preserve">dans le cadre </w:t>
      </w:r>
      <w:r w:rsidRPr="003A6205">
        <w:t xml:space="preserve">de la Convention Adoption de 1993. </w:t>
      </w:r>
    </w:p>
    <w:p w14:paraId="3BA845D0" w14:textId="77777777" w:rsidR="006B17F8" w:rsidRPr="003A6205" w:rsidRDefault="00E218A4" w:rsidP="009A3B06">
      <w:pPr>
        <w:pStyle w:val="PBParagraphNumber"/>
        <w:numPr>
          <w:ilvl w:val="0"/>
          <w:numId w:val="7"/>
        </w:numPr>
      </w:pPr>
      <w:r w:rsidRPr="003A6205">
        <w:t>Les circonstances de chaque adoption internationale sont uniques et les besoins de chaque adopté</w:t>
      </w:r>
      <w:r w:rsidR="00F0545A" w:rsidRPr="003A6205">
        <w:rPr>
          <w:rStyle w:val="FootnoteReference"/>
        </w:rPr>
        <w:footnoteReference w:id="2"/>
      </w:r>
      <w:r w:rsidRPr="003A6205">
        <w:t xml:space="preserve">, des parents </w:t>
      </w:r>
      <w:r w:rsidR="00AE1CED" w:rsidRPr="003A6205">
        <w:t xml:space="preserve">(/famille) </w:t>
      </w:r>
      <w:r w:rsidR="00701076" w:rsidRPr="003A6205">
        <w:t>d’origine et des parents (/famille) adoptifs</w:t>
      </w:r>
      <w:r w:rsidR="00701076" w:rsidRPr="003A6205">
        <w:rPr>
          <w:rStyle w:val="FootnoteReference"/>
        </w:rPr>
        <w:footnoteReference w:id="3"/>
      </w:r>
      <w:r w:rsidR="00701076" w:rsidRPr="003A6205">
        <w:t xml:space="preserve"> peuvent varier. Dans le cadre des efforts visant à remédier aux différents problèmes, il importe de se concentrer sur l’intérêt supérieur de l’enfant, qui doit être la considération primordiale</w:t>
      </w:r>
      <w:r w:rsidR="00701076" w:rsidRPr="003A6205">
        <w:rPr>
          <w:rStyle w:val="FootnoteReference"/>
        </w:rPr>
        <w:footnoteReference w:id="4"/>
      </w:r>
      <w:r w:rsidR="00701076" w:rsidRPr="003A6205">
        <w:t>, tout en restant sensible aux préoccupations des familles d’origine et des familles adoptives. Il est également important de prendre en compte « non seulement les effets à court terme[,] mais aussi ceux à long terme sur l’adopté de toute mesure prise pour lutter contre [une telle] pratique illicite ».</w:t>
      </w:r>
      <w:bookmarkStart w:id="12" w:name="_Ref94009393"/>
      <w:r w:rsidR="00701076" w:rsidRPr="003A6205">
        <w:rPr>
          <w:rStyle w:val="FootnoteReference"/>
        </w:rPr>
        <w:footnoteReference w:id="5"/>
      </w:r>
      <w:bookmarkEnd w:id="12"/>
      <w:r w:rsidRPr="003A6205">
        <w:t xml:space="preserve"> </w:t>
      </w:r>
    </w:p>
    <w:p w14:paraId="418B059E" w14:textId="77777777" w:rsidR="006314ED" w:rsidRPr="005252C1" w:rsidRDefault="00701076" w:rsidP="009A3B06">
      <w:pPr>
        <w:pStyle w:val="PBParagraphNumber"/>
        <w:numPr>
          <w:ilvl w:val="0"/>
          <w:numId w:val="7"/>
        </w:numPr>
      </w:pPr>
      <w:r w:rsidRPr="003A6205">
        <w:t>Cette procédure</w:t>
      </w:r>
      <w:r w:rsidR="00E218A4" w:rsidRPr="003A6205">
        <w:t xml:space="preserve"> type présente </w:t>
      </w:r>
      <w:r w:rsidR="00E218A4">
        <w:t xml:space="preserve">un large éventail de mesures et est délibérément rédigée en termes généraux afin d’encourager les États à élaborer leur propre procédure, inspirée de celle-ci, et </w:t>
      </w:r>
      <w:r w:rsidR="003C5BB9">
        <w:t xml:space="preserve">à </w:t>
      </w:r>
      <w:r w:rsidR="00E218A4">
        <w:t xml:space="preserve">la diffuser largement à tous les acteurs étatiques impliqués dans </w:t>
      </w:r>
      <w:r>
        <w:t>l’adoption internationale.</w:t>
      </w:r>
      <w:r w:rsidR="00E218A4">
        <w:t xml:space="preserve"> Il convient de préciser que « tous les services et mesures peuvent ne pas être disponibles dans tous les États et que chaque État peut développer sa propre procédure en fonction de son propre cadre législatif et institutionnel, ainsi que de ses ressources disponibles »</w:t>
      </w:r>
      <w:r w:rsidR="006314ED" w:rsidRPr="00FC4C0D">
        <w:rPr>
          <w:rStyle w:val="FootnoteReference"/>
        </w:rPr>
        <w:footnoteReference w:id="6"/>
      </w:r>
      <w:r w:rsidR="00E218A4">
        <w:t>.</w:t>
      </w:r>
    </w:p>
    <w:p w14:paraId="0D635C10" w14:textId="77777777" w:rsidR="00ED28FC" w:rsidRPr="00FC4C0D" w:rsidRDefault="00ED28FC" w:rsidP="009A3B06">
      <w:pPr>
        <w:pStyle w:val="PBParagraphNumber"/>
        <w:numPr>
          <w:ilvl w:val="0"/>
          <w:numId w:val="7"/>
        </w:numPr>
      </w:pPr>
      <w:r>
        <w:t xml:space="preserve">La chronologie des étapes et </w:t>
      </w:r>
      <w:r w:rsidR="008008A4">
        <w:t>mesures</w:t>
      </w:r>
      <w:r>
        <w:t xml:space="preserve"> présentées dans cette </w:t>
      </w:r>
      <w:r w:rsidR="0044614D">
        <w:t>P</w:t>
      </w:r>
      <w:r>
        <w:t xml:space="preserve">rocédure type peut nécessiter une adaptation compte tenu de la nature de l’affaire, du système national et des </w:t>
      </w:r>
      <w:r w:rsidR="0031680C">
        <w:t xml:space="preserve">divers </w:t>
      </w:r>
      <w:r>
        <w:t xml:space="preserve">autorités et organes impliqués à l’échelle nationale ou locale. À titre d’exemple, certaines </w:t>
      </w:r>
      <w:r w:rsidR="008008A4">
        <w:t>mesures</w:t>
      </w:r>
      <w:r>
        <w:t xml:space="preserve"> peuvent s’avérer pertinentes tout au long de la procédure, d’autres peuvent nécessiter d’être menées simultanément ou dans un ordre distinct. </w:t>
      </w:r>
    </w:p>
    <w:p w14:paraId="37CF873D" w14:textId="77777777" w:rsidR="00701076" w:rsidRDefault="00701076" w:rsidP="00701076">
      <w:pPr>
        <w:pStyle w:val="PBParagraphNumber"/>
        <w:numPr>
          <w:ilvl w:val="0"/>
          <w:numId w:val="1"/>
        </w:numPr>
      </w:pPr>
      <w:r>
        <w:t xml:space="preserve">Cette procédure type est conçue pour s’appliquer potentiellement à toute situation, qu’il s’agisse d’un cas isolé ou d’un problème plus général présumé (c.-à-d. lorsque la pratique illicite est systémique). Le cas échéant, des informations supplémentaires portant principalement sur la manière de remédier aux cas de pratiques illicites systémiques ont été incluses sous forme d’encadrés. </w:t>
      </w:r>
    </w:p>
    <w:p w14:paraId="2F83F632" w14:textId="77777777" w:rsidR="00701076" w:rsidRDefault="00701076" w:rsidP="00701076">
      <w:pPr>
        <w:jc w:val="left"/>
      </w:pPr>
      <w:r>
        <w:br w:type="page"/>
      </w:r>
    </w:p>
    <w:p w14:paraId="74889721" w14:textId="77777777" w:rsidR="00701076" w:rsidRPr="006D612A" w:rsidRDefault="00701076" w:rsidP="00701076">
      <w:pPr>
        <w:pStyle w:val="PBParagraph"/>
        <w:shd w:val="clear" w:color="auto" w:fill="D5E7FD"/>
        <w:spacing w:after="120"/>
        <w:ind w:left="567"/>
        <w:jc w:val="center"/>
        <w:rPr>
          <w:b/>
          <w:color w:val="024987"/>
        </w:rPr>
      </w:pPr>
    </w:p>
    <w:p w14:paraId="371ACB51" w14:textId="77777777" w:rsidR="00701076" w:rsidRPr="00621DA7" w:rsidRDefault="00701076" w:rsidP="00701076">
      <w:pPr>
        <w:pStyle w:val="PBParagraph"/>
        <w:shd w:val="clear" w:color="auto" w:fill="D5E7FD"/>
        <w:spacing w:after="120"/>
        <w:ind w:left="567"/>
        <w:jc w:val="center"/>
        <w:rPr>
          <w:b/>
          <w:color w:val="024987"/>
        </w:rPr>
      </w:pPr>
      <w:r w:rsidRPr="00621DA7">
        <w:rPr>
          <w:b/>
          <w:color w:val="024987"/>
        </w:rPr>
        <w:t>Obstacles potentiels empêchant de divulguer d’éventuelles pratiques illicites et / ou de répondre aux pratiques illicites</w:t>
      </w:r>
    </w:p>
    <w:p w14:paraId="19F6C5DC" w14:textId="08BA3091" w:rsidR="00701076" w:rsidRPr="00621DA7" w:rsidRDefault="00701076" w:rsidP="00701076">
      <w:pPr>
        <w:pStyle w:val="PBParagraphNumber"/>
        <w:numPr>
          <w:ilvl w:val="0"/>
          <w:numId w:val="0"/>
        </w:numPr>
        <w:shd w:val="clear" w:color="auto" w:fill="D5E7FD"/>
        <w:ind w:left="567"/>
      </w:pPr>
      <w:r w:rsidRPr="00621DA7">
        <w:t xml:space="preserve">Il peut s’avérer difficile de divulguer et / ou de répondre efficacement aux pratiques illicites lorsqu’elles sont présumées </w:t>
      </w:r>
      <w:r w:rsidR="00267416">
        <w:t xml:space="preserve">être survenues </w:t>
      </w:r>
      <w:r w:rsidRPr="00621DA7">
        <w:t xml:space="preserve">en raison de plusieurs facteurs, notamment : </w:t>
      </w:r>
    </w:p>
    <w:p w14:paraId="2B113DD3" w14:textId="77777777" w:rsidR="00255521" w:rsidRPr="00621DA7" w:rsidRDefault="00255521" w:rsidP="009A3B06">
      <w:pPr>
        <w:pStyle w:val="PBBulletList"/>
        <w:numPr>
          <w:ilvl w:val="0"/>
          <w:numId w:val="11"/>
        </w:numPr>
        <w:shd w:val="clear" w:color="auto" w:fill="D5E7FD"/>
      </w:pPr>
      <w:r w:rsidRPr="00621DA7">
        <w:rPr>
          <w:b/>
          <w:bCs/>
        </w:rPr>
        <w:t>absence</w:t>
      </w:r>
      <w:r w:rsidRPr="00621DA7">
        <w:t xml:space="preserve"> de </w:t>
      </w:r>
      <w:r w:rsidRPr="00621DA7">
        <w:rPr>
          <w:b/>
          <w:bCs/>
        </w:rPr>
        <w:t>ressources</w:t>
      </w:r>
      <w:r w:rsidRPr="00621DA7">
        <w:t xml:space="preserve">, de </w:t>
      </w:r>
      <w:r w:rsidRPr="00621DA7">
        <w:rPr>
          <w:b/>
          <w:bCs/>
        </w:rPr>
        <w:t>cadres</w:t>
      </w:r>
      <w:r w:rsidRPr="00621DA7">
        <w:t xml:space="preserve"> établis (à l’instar de protocoles), </w:t>
      </w:r>
      <w:r w:rsidRPr="00621DA7">
        <w:rPr>
          <w:b/>
        </w:rPr>
        <w:t>d</w:t>
      </w:r>
      <w:r w:rsidR="00263ECA" w:rsidRPr="00621DA7">
        <w:rPr>
          <w:b/>
        </w:rPr>
        <w:t>é</w:t>
      </w:r>
      <w:r w:rsidRPr="00621DA7">
        <w:rPr>
          <w:b/>
        </w:rPr>
        <w:t xml:space="preserve">ni </w:t>
      </w:r>
      <w:r w:rsidRPr="00621DA7">
        <w:t>de</w:t>
      </w:r>
      <w:r w:rsidRPr="00621DA7">
        <w:rPr>
          <w:b/>
        </w:rPr>
        <w:t xml:space="preserve"> responsabilité </w:t>
      </w:r>
      <w:r w:rsidRPr="00621DA7">
        <w:t>ou de</w:t>
      </w:r>
      <w:r w:rsidRPr="00621DA7">
        <w:rPr>
          <w:b/>
        </w:rPr>
        <w:t xml:space="preserve"> mandat, </w:t>
      </w:r>
      <w:r w:rsidRPr="00621DA7">
        <w:t xml:space="preserve">et </w:t>
      </w:r>
      <w:r w:rsidRPr="00621DA7">
        <w:rPr>
          <w:b/>
          <w:bCs/>
        </w:rPr>
        <w:t>défaut</w:t>
      </w:r>
      <w:r w:rsidRPr="00621DA7">
        <w:t xml:space="preserve"> de </w:t>
      </w:r>
      <w:r w:rsidRPr="00621DA7">
        <w:rPr>
          <w:b/>
          <w:bCs/>
        </w:rPr>
        <w:t>volonté</w:t>
      </w:r>
      <w:r w:rsidRPr="00621DA7">
        <w:t xml:space="preserve"> politique pour ce qui est </w:t>
      </w:r>
      <w:r w:rsidR="000301E6" w:rsidRPr="00621DA7">
        <w:t>d</w:t>
      </w:r>
      <w:r w:rsidR="00EF7FA3" w:rsidRPr="00621DA7">
        <w:t>’identifier</w:t>
      </w:r>
      <w:r w:rsidR="004D587F" w:rsidRPr="00621DA7">
        <w:t xml:space="preserve"> </w:t>
      </w:r>
      <w:r w:rsidRPr="00621DA7">
        <w:t>les pratiques illicites, d’y faire face, d’enquêter sur celles-ci</w:t>
      </w:r>
      <w:r w:rsidR="009F13E9" w:rsidRPr="00621DA7">
        <w:t xml:space="preserve"> et</w:t>
      </w:r>
      <w:r w:rsidR="004D587F" w:rsidRPr="00621DA7">
        <w:t xml:space="preserve"> d’y r</w:t>
      </w:r>
      <w:r w:rsidR="00CD6BEF" w:rsidRPr="00621DA7">
        <w:t>e</w:t>
      </w:r>
      <w:r w:rsidR="004D587F" w:rsidRPr="00621DA7">
        <w:t>médier</w:t>
      </w:r>
      <w:r w:rsidR="00CD6BEF" w:rsidRPr="00621DA7">
        <w:t xml:space="preserve"> </w:t>
      </w:r>
      <w:r w:rsidRPr="00621DA7">
        <w:t>;</w:t>
      </w:r>
    </w:p>
    <w:p w14:paraId="4F7D8445" w14:textId="77777777" w:rsidR="00255521" w:rsidRPr="00621DA7" w:rsidRDefault="00CD6BEF" w:rsidP="009A3B06">
      <w:pPr>
        <w:pStyle w:val="PBBulletList"/>
        <w:numPr>
          <w:ilvl w:val="0"/>
          <w:numId w:val="11"/>
        </w:numPr>
        <w:shd w:val="clear" w:color="auto" w:fill="D5E7FD"/>
      </w:pPr>
      <w:r w:rsidRPr="00621DA7">
        <w:rPr>
          <w:b/>
          <w:bCs/>
        </w:rPr>
        <w:t>absence</w:t>
      </w:r>
      <w:r w:rsidRPr="00621DA7">
        <w:t xml:space="preserve"> </w:t>
      </w:r>
      <w:r w:rsidR="00255521" w:rsidRPr="00621DA7">
        <w:t>d’</w:t>
      </w:r>
      <w:r w:rsidR="00255521" w:rsidRPr="00621DA7">
        <w:rPr>
          <w:b/>
          <w:bCs/>
        </w:rPr>
        <w:t>accès</w:t>
      </w:r>
      <w:r w:rsidR="00255521" w:rsidRPr="00621DA7">
        <w:t xml:space="preserve"> aux </w:t>
      </w:r>
      <w:r w:rsidR="00255521" w:rsidRPr="00621DA7">
        <w:rPr>
          <w:b/>
          <w:bCs/>
        </w:rPr>
        <w:t xml:space="preserve">documents </w:t>
      </w:r>
      <w:r w:rsidR="00255521" w:rsidRPr="00621DA7">
        <w:t xml:space="preserve">et aux </w:t>
      </w:r>
      <w:r w:rsidR="00A95394" w:rsidRPr="00621DA7">
        <w:rPr>
          <w:b/>
          <w:bCs/>
        </w:rPr>
        <w:t>informations</w:t>
      </w:r>
      <w:r w:rsidR="00255521" w:rsidRPr="00621DA7">
        <w:t xml:space="preserve">, en particulier lorsque les organes concernés cessent leurs activités ou refusent de coopérer ; </w:t>
      </w:r>
    </w:p>
    <w:p w14:paraId="1D4822E3" w14:textId="77777777" w:rsidR="00255521" w:rsidRPr="00621DA7" w:rsidRDefault="00255521" w:rsidP="009A3B06">
      <w:pPr>
        <w:pStyle w:val="PBBulletList"/>
        <w:numPr>
          <w:ilvl w:val="0"/>
          <w:numId w:val="11"/>
        </w:numPr>
        <w:shd w:val="clear" w:color="auto" w:fill="D5E7FD"/>
      </w:pPr>
      <w:r w:rsidRPr="00621DA7">
        <w:rPr>
          <w:b/>
          <w:bCs/>
        </w:rPr>
        <w:t>absence</w:t>
      </w:r>
      <w:r w:rsidRPr="00621DA7">
        <w:t xml:space="preserve"> de </w:t>
      </w:r>
      <w:r w:rsidRPr="00621DA7">
        <w:rPr>
          <w:b/>
          <w:bCs/>
        </w:rPr>
        <w:t xml:space="preserve">mécanismes de plaintes </w:t>
      </w:r>
      <w:r w:rsidRPr="00621DA7">
        <w:t>accessibles ;</w:t>
      </w:r>
      <w:r w:rsidRPr="00621DA7">
        <w:rPr>
          <w:b/>
        </w:rPr>
        <w:t xml:space="preserve"> </w:t>
      </w:r>
    </w:p>
    <w:p w14:paraId="736F0D71" w14:textId="77777777" w:rsidR="00701076" w:rsidRPr="00621DA7" w:rsidRDefault="00701076" w:rsidP="009A3B06">
      <w:pPr>
        <w:pStyle w:val="PBBulletList"/>
        <w:numPr>
          <w:ilvl w:val="0"/>
          <w:numId w:val="11"/>
        </w:numPr>
        <w:shd w:val="clear" w:color="auto" w:fill="D5E7FD"/>
      </w:pPr>
      <w:r w:rsidRPr="00621DA7">
        <w:rPr>
          <w:b/>
          <w:bCs/>
        </w:rPr>
        <w:t xml:space="preserve">absence </w:t>
      </w:r>
      <w:r w:rsidRPr="00621DA7">
        <w:t>de protection des</w:t>
      </w:r>
      <w:r w:rsidRPr="00621DA7">
        <w:rPr>
          <w:b/>
        </w:rPr>
        <w:t xml:space="preserve"> témoins ; </w:t>
      </w:r>
    </w:p>
    <w:p w14:paraId="0663A3FC" w14:textId="77777777" w:rsidR="00701076" w:rsidRPr="00621DA7" w:rsidRDefault="00701076" w:rsidP="009A3B06">
      <w:pPr>
        <w:pStyle w:val="PBBulletList"/>
        <w:numPr>
          <w:ilvl w:val="0"/>
          <w:numId w:val="11"/>
        </w:numPr>
        <w:shd w:val="clear" w:color="auto" w:fill="D5E7FD"/>
        <w:rPr>
          <w:bCs/>
        </w:rPr>
      </w:pPr>
      <w:r w:rsidRPr="00621DA7">
        <w:rPr>
          <w:b/>
        </w:rPr>
        <w:t>délais de prescription</w:t>
      </w:r>
      <w:bookmarkStart w:id="13" w:name="_Ref90563544"/>
      <w:r w:rsidRPr="00621DA7">
        <w:rPr>
          <w:rStyle w:val="FootnoteReference"/>
        </w:rPr>
        <w:footnoteReference w:id="7"/>
      </w:r>
      <w:bookmarkEnd w:id="13"/>
      <w:r w:rsidRPr="00621DA7">
        <w:t xml:space="preserve"> (c.-à-d., échéance du délai maximal au cours duquel une procédure judiciaire peut être intentée après un événement) ; </w:t>
      </w:r>
    </w:p>
    <w:p w14:paraId="3796BECF" w14:textId="77777777" w:rsidR="00255521" w:rsidRPr="00621DA7" w:rsidRDefault="00255521" w:rsidP="009A3B06">
      <w:pPr>
        <w:pStyle w:val="PBBulletList"/>
        <w:numPr>
          <w:ilvl w:val="0"/>
          <w:numId w:val="11"/>
        </w:numPr>
        <w:shd w:val="clear" w:color="auto" w:fill="D5E7FD"/>
      </w:pPr>
      <w:r w:rsidRPr="00621DA7">
        <w:rPr>
          <w:b/>
        </w:rPr>
        <w:t>peur</w:t>
      </w:r>
      <w:r w:rsidRPr="00621DA7">
        <w:t xml:space="preserve"> qu’une enquête puisse provoquer le </w:t>
      </w:r>
      <w:r w:rsidRPr="00621DA7">
        <w:rPr>
          <w:b/>
          <w:bCs/>
        </w:rPr>
        <w:t>retour</w:t>
      </w:r>
      <w:r w:rsidRPr="00621DA7">
        <w:t xml:space="preserve"> des </w:t>
      </w:r>
      <w:r w:rsidRPr="00621DA7">
        <w:rPr>
          <w:b/>
          <w:bCs/>
        </w:rPr>
        <w:t>enfants</w:t>
      </w:r>
      <w:r w:rsidRPr="00621DA7">
        <w:t xml:space="preserve"> dans l’État d’origine ;</w:t>
      </w:r>
    </w:p>
    <w:p w14:paraId="2D22D0E2" w14:textId="77777777" w:rsidR="00255521" w:rsidRPr="00621DA7" w:rsidRDefault="00255521" w:rsidP="009A3B06">
      <w:pPr>
        <w:pStyle w:val="PBBulletList"/>
        <w:numPr>
          <w:ilvl w:val="0"/>
          <w:numId w:val="11"/>
        </w:numPr>
        <w:shd w:val="clear" w:color="auto" w:fill="D5E7FD"/>
      </w:pPr>
      <w:r w:rsidRPr="00621DA7">
        <w:rPr>
          <w:b/>
          <w:bCs/>
        </w:rPr>
        <w:t>peur</w:t>
      </w:r>
      <w:r w:rsidRPr="00621DA7">
        <w:t xml:space="preserve"> qu’une enquête aboutisse à une </w:t>
      </w:r>
      <w:r w:rsidRPr="00621DA7">
        <w:rPr>
          <w:b/>
          <w:bCs/>
        </w:rPr>
        <w:t>action en justice ;</w:t>
      </w:r>
    </w:p>
    <w:p w14:paraId="2BB44518" w14:textId="77777777" w:rsidR="00DC37FC" w:rsidRPr="00621DA7" w:rsidRDefault="00DC37FC" w:rsidP="009A3B06">
      <w:pPr>
        <w:pStyle w:val="PBBulletList"/>
        <w:numPr>
          <w:ilvl w:val="0"/>
          <w:numId w:val="11"/>
        </w:numPr>
        <w:shd w:val="clear" w:color="auto" w:fill="D5E7FD"/>
      </w:pPr>
      <w:r w:rsidRPr="00621DA7">
        <w:t xml:space="preserve">peur que l’adoption puisse être </w:t>
      </w:r>
      <w:r w:rsidRPr="00621DA7">
        <w:rPr>
          <w:b/>
          <w:bCs/>
        </w:rPr>
        <w:t>révoquée</w:t>
      </w:r>
      <w:r w:rsidRPr="00621DA7">
        <w:t xml:space="preserve"> et que </w:t>
      </w:r>
      <w:r w:rsidR="00701076" w:rsidRPr="00621DA7">
        <w:t xml:space="preserve">l’adopté devienne </w:t>
      </w:r>
      <w:r w:rsidR="00701076" w:rsidRPr="00621DA7">
        <w:rPr>
          <w:b/>
        </w:rPr>
        <w:t>apatride</w:t>
      </w:r>
      <w:r w:rsidRPr="00621DA7">
        <w:t> ;</w:t>
      </w:r>
    </w:p>
    <w:p w14:paraId="3DCB7F23" w14:textId="77777777" w:rsidR="00255521" w:rsidRPr="00621DA7" w:rsidRDefault="00255521" w:rsidP="009A3B06">
      <w:pPr>
        <w:pStyle w:val="PBBulletList"/>
        <w:numPr>
          <w:ilvl w:val="0"/>
          <w:numId w:val="11"/>
        </w:numPr>
        <w:shd w:val="clear" w:color="auto" w:fill="D5E7FD"/>
      </w:pPr>
      <w:r w:rsidRPr="00621DA7">
        <w:rPr>
          <w:b/>
          <w:bCs/>
        </w:rPr>
        <w:t>peur</w:t>
      </w:r>
      <w:r w:rsidRPr="00621DA7">
        <w:t xml:space="preserve"> qu’une enquête puisse </w:t>
      </w:r>
      <w:r w:rsidRPr="00621DA7">
        <w:rPr>
          <w:b/>
          <w:bCs/>
        </w:rPr>
        <w:t>compromettre</w:t>
      </w:r>
      <w:r w:rsidRPr="00621DA7">
        <w:t xml:space="preserve"> les </w:t>
      </w:r>
      <w:r w:rsidRPr="00621DA7">
        <w:rPr>
          <w:b/>
          <w:bCs/>
        </w:rPr>
        <w:t>relations</w:t>
      </w:r>
      <w:r w:rsidRPr="00621DA7">
        <w:t xml:space="preserve"> entre des États en matière d’adoption internationale </w:t>
      </w:r>
      <w:r w:rsidR="005737FB" w:rsidRPr="00621DA7">
        <w:t>et / ou</w:t>
      </w:r>
      <w:r w:rsidRPr="00621DA7">
        <w:t xml:space="preserve"> aboutir à la </w:t>
      </w:r>
      <w:r w:rsidRPr="00621DA7">
        <w:rPr>
          <w:b/>
          <w:bCs/>
        </w:rPr>
        <w:t>suspension</w:t>
      </w:r>
      <w:r w:rsidRPr="00621DA7">
        <w:t xml:space="preserve"> d’un </w:t>
      </w:r>
      <w:r w:rsidRPr="00621DA7">
        <w:rPr>
          <w:b/>
          <w:bCs/>
        </w:rPr>
        <w:t>programme d’adoption</w:t>
      </w:r>
      <w:r w:rsidRPr="00621DA7">
        <w:t xml:space="preserve"> internationale entre des États (ou qu’un cas particulier soit bloqué) ;</w:t>
      </w:r>
    </w:p>
    <w:p w14:paraId="42D93E40" w14:textId="77777777" w:rsidR="00255521" w:rsidRPr="00621DA7" w:rsidRDefault="009C3FC3" w:rsidP="009A3B06">
      <w:pPr>
        <w:pStyle w:val="PBBulletList"/>
        <w:numPr>
          <w:ilvl w:val="0"/>
          <w:numId w:val="11"/>
        </w:numPr>
        <w:shd w:val="clear" w:color="auto" w:fill="D5E7FD"/>
      </w:pPr>
      <w:r w:rsidRPr="00621DA7">
        <w:rPr>
          <w:b/>
          <w:bCs/>
        </w:rPr>
        <w:t>le fait de ne pas</w:t>
      </w:r>
      <w:r w:rsidR="00255521" w:rsidRPr="00621DA7">
        <w:t xml:space="preserve"> reconnaître pleinement et à dûment mettre en œuvre un système de </w:t>
      </w:r>
      <w:r w:rsidR="00255521" w:rsidRPr="00621DA7">
        <w:rPr>
          <w:b/>
          <w:bCs/>
        </w:rPr>
        <w:t>coresponsabilité</w:t>
      </w:r>
      <w:r w:rsidR="00255521" w:rsidRPr="00621DA7">
        <w:t xml:space="preserve"> des États visant à prévenir les pratiques illicites et à y remédier ; </w:t>
      </w:r>
    </w:p>
    <w:p w14:paraId="2336039B" w14:textId="77777777" w:rsidR="00701076" w:rsidRPr="00621DA7" w:rsidRDefault="00701076" w:rsidP="009A3B06">
      <w:pPr>
        <w:pStyle w:val="PBBulletList"/>
        <w:numPr>
          <w:ilvl w:val="0"/>
          <w:numId w:val="11"/>
        </w:numPr>
        <w:shd w:val="clear" w:color="auto" w:fill="D5E7FD"/>
      </w:pPr>
      <w:r w:rsidRPr="00621DA7">
        <w:rPr>
          <w:b/>
        </w:rPr>
        <w:t xml:space="preserve">climat d’impunité ; </w:t>
      </w:r>
    </w:p>
    <w:p w14:paraId="6A35096D" w14:textId="77777777" w:rsidR="00255521" w:rsidRPr="00FC4C0D" w:rsidRDefault="00255521" w:rsidP="009A3B06">
      <w:pPr>
        <w:pStyle w:val="PBBulletList"/>
        <w:numPr>
          <w:ilvl w:val="0"/>
          <w:numId w:val="11"/>
        </w:numPr>
        <w:shd w:val="clear" w:color="auto" w:fill="D5E7FD"/>
      </w:pPr>
      <w:r w:rsidRPr="00621DA7">
        <w:rPr>
          <w:b/>
        </w:rPr>
        <w:t>déséquilibre des pouvoirs</w:t>
      </w:r>
      <w:r w:rsidRPr="00621DA7">
        <w:t xml:space="preserve"> susceptible</w:t>
      </w:r>
      <w:r>
        <w:t xml:space="preserve"> d’exister en matière d’adoption internationale, notamment la difficulté pour les familles </w:t>
      </w:r>
      <w:r w:rsidR="008008A4">
        <w:t>d’origine</w:t>
      </w:r>
      <w:r>
        <w:t xml:space="preserve"> de se faire entendre.</w:t>
      </w:r>
    </w:p>
    <w:p w14:paraId="0FB79CAD" w14:textId="77777777" w:rsidR="002758C7" w:rsidRDefault="002758C7" w:rsidP="00701076">
      <w:pPr>
        <w:pStyle w:val="PBBulletList"/>
        <w:numPr>
          <w:ilvl w:val="0"/>
          <w:numId w:val="0"/>
        </w:numPr>
        <w:shd w:val="clear" w:color="auto" w:fill="D5E7FD"/>
        <w:ind w:left="1134" w:hanging="567"/>
      </w:pPr>
    </w:p>
    <w:p w14:paraId="120258EA" w14:textId="77777777" w:rsidR="0013317C" w:rsidRDefault="0013317C" w:rsidP="00BC3871">
      <w:pPr>
        <w:pStyle w:val="PBParagraphNumber"/>
        <w:numPr>
          <w:ilvl w:val="0"/>
          <w:numId w:val="0"/>
        </w:numPr>
        <w:ind w:left="567" w:hanging="567"/>
      </w:pPr>
    </w:p>
    <w:p w14:paraId="7F19C818" w14:textId="77777777" w:rsidR="005F3990" w:rsidRPr="006D612A" w:rsidRDefault="005F3990" w:rsidP="00701076">
      <w:pPr>
        <w:pStyle w:val="PBParagraph"/>
        <w:shd w:val="clear" w:color="auto" w:fill="D5E7FD"/>
        <w:spacing w:after="120"/>
        <w:ind w:left="567"/>
        <w:jc w:val="center"/>
        <w:rPr>
          <w:b/>
          <w:color w:val="024987"/>
        </w:rPr>
      </w:pPr>
    </w:p>
    <w:p w14:paraId="1B1E3EAD" w14:textId="77777777" w:rsidR="00701076" w:rsidRPr="006D612A" w:rsidRDefault="00701076" w:rsidP="00701076">
      <w:pPr>
        <w:pStyle w:val="PBParagraph"/>
        <w:shd w:val="clear" w:color="auto" w:fill="D5E7FD"/>
        <w:spacing w:after="120"/>
        <w:ind w:left="567"/>
        <w:jc w:val="center"/>
        <w:rPr>
          <w:b/>
          <w:color w:val="024987"/>
        </w:rPr>
      </w:pPr>
      <w:r>
        <w:rPr>
          <w:b/>
          <w:color w:val="024987"/>
        </w:rPr>
        <w:t>Confidentialité et règles relatives à la vie privée</w:t>
      </w:r>
    </w:p>
    <w:p w14:paraId="7257335C" w14:textId="77777777" w:rsidR="00701076" w:rsidRPr="006D612A" w:rsidRDefault="00701076" w:rsidP="00701076">
      <w:pPr>
        <w:pStyle w:val="PBParagraph"/>
        <w:shd w:val="clear" w:color="auto" w:fill="D5E7FD"/>
        <w:spacing w:after="120"/>
        <w:ind w:left="567"/>
        <w:rPr>
          <w:bCs/>
          <w:color w:val="024987"/>
        </w:rPr>
      </w:pPr>
      <w:r>
        <w:rPr>
          <w:color w:val="024987"/>
        </w:rPr>
        <w:t xml:space="preserve">Les États doivent veiller à ce que les informations recueillies dans le cadre de la divulgation de cas présumés de pratiques illicites et au cours d’une enquête soient protégées et gérées conformément aux règles pertinentes portant sur la vie privée et le partage d’informations de l’État concerné. </w:t>
      </w:r>
    </w:p>
    <w:p w14:paraId="165A3953" w14:textId="77777777" w:rsidR="00701076" w:rsidRPr="00A35380" w:rsidRDefault="00701076" w:rsidP="00701076">
      <w:pPr>
        <w:pStyle w:val="PBParagraph"/>
        <w:shd w:val="clear" w:color="auto" w:fill="D5E7FD"/>
        <w:spacing w:after="120"/>
        <w:ind w:left="567"/>
        <w:rPr>
          <w:bCs/>
          <w:color w:val="024987"/>
        </w:rPr>
      </w:pPr>
      <w:r w:rsidRPr="00A35380">
        <w:rPr>
          <w:color w:val="024987"/>
        </w:rPr>
        <w:t>Sauf disposition contraire de la loi de l’État, le partage de toute information d’identification doit faire l’objet des consentements appropriés.</w:t>
      </w:r>
      <w:bookmarkStart w:id="14" w:name="_Ref89251736"/>
      <w:r w:rsidRPr="00A35380">
        <w:rPr>
          <w:rStyle w:val="FootnoteReference"/>
          <w:color w:val="024987"/>
        </w:rPr>
        <w:footnoteReference w:id="8"/>
      </w:r>
      <w:bookmarkEnd w:id="14"/>
      <w:r w:rsidRPr="00A35380">
        <w:rPr>
          <w:color w:val="024987"/>
        </w:rPr>
        <w:t xml:space="preserve"> Cela peut s’avérer particulièrement important lorsque l’affaire attire l’attention des médias.</w:t>
      </w:r>
      <w:r w:rsidRPr="00A35380">
        <w:rPr>
          <w:rStyle w:val="FootnoteReference"/>
          <w:color w:val="024987"/>
        </w:rPr>
        <w:t xml:space="preserve"> </w:t>
      </w:r>
      <w:r w:rsidRPr="00A35380">
        <w:rPr>
          <w:color w:val="024987"/>
        </w:rPr>
        <w:t>De plus, à moins que la loi de l’État n’en dispose autrement, la confidentialité ne doit pas servir à entraver ou empêcher une enquête.</w:t>
      </w:r>
    </w:p>
    <w:p w14:paraId="1E55E405" w14:textId="77777777" w:rsidR="00701076" w:rsidRPr="006D612A" w:rsidRDefault="00701076" w:rsidP="00701076">
      <w:pPr>
        <w:pStyle w:val="PBParagraph"/>
        <w:shd w:val="clear" w:color="auto" w:fill="D5E7FD"/>
        <w:spacing w:after="120"/>
        <w:ind w:left="567"/>
        <w:rPr>
          <w:b/>
          <w:color w:val="024987"/>
        </w:rPr>
      </w:pPr>
    </w:p>
    <w:p w14:paraId="60195680" w14:textId="77777777" w:rsidR="00701076" w:rsidRDefault="00701076" w:rsidP="00701076">
      <w:pPr>
        <w:pStyle w:val="PBParagraphNumber"/>
        <w:numPr>
          <w:ilvl w:val="0"/>
          <w:numId w:val="0"/>
        </w:numPr>
        <w:ind w:left="567" w:hanging="567"/>
      </w:pPr>
    </w:p>
    <w:p w14:paraId="47185FAA" w14:textId="77777777" w:rsidR="005F3990" w:rsidRDefault="005F3990">
      <w:pPr>
        <w:jc w:val="left"/>
      </w:pPr>
      <w:r>
        <w:br w:type="page"/>
      </w:r>
    </w:p>
    <w:p w14:paraId="0D1ADD92" w14:textId="77777777" w:rsidR="0013317C" w:rsidRPr="003969BB" w:rsidRDefault="00633B00" w:rsidP="007D72C1">
      <w:pPr>
        <w:pStyle w:val="Heading2"/>
      </w:pPr>
      <w:bookmarkStart w:id="15" w:name="_Toc61255151"/>
      <w:bookmarkStart w:id="16" w:name="_Toc61616473"/>
      <w:bookmarkStart w:id="17" w:name="_Toc62299520"/>
      <w:bookmarkStart w:id="18" w:name="_Toc62299584"/>
      <w:bookmarkStart w:id="19" w:name="_Toc64621526"/>
      <w:bookmarkStart w:id="20" w:name="_Toc90754795"/>
      <w:bookmarkStart w:id="21" w:name="_Toc100936023"/>
      <w:r>
        <w:lastRenderedPageBreak/>
        <w:t>ÉTAPE</w:t>
      </w:r>
      <w:r w:rsidR="00701076">
        <w:t> </w:t>
      </w:r>
      <w:r>
        <w:t>1 :</w:t>
      </w:r>
      <w:r w:rsidRPr="003969BB">
        <w:t xml:space="preserve"> </w:t>
      </w:r>
      <w:r w:rsidR="005F6CE6">
        <w:t>DIVULGATION</w:t>
      </w:r>
      <w:r w:rsidRPr="003969BB">
        <w:t xml:space="preserve"> ET </w:t>
      </w:r>
      <w:r>
        <w:t>ENREGISTREMENT</w:t>
      </w:r>
      <w:r w:rsidRPr="003969BB">
        <w:t xml:space="preserve"> DES CAS PRÉSUMÉS DE PRATIQUES ILLICITES</w:t>
      </w:r>
      <w:bookmarkEnd w:id="15"/>
      <w:bookmarkEnd w:id="16"/>
      <w:bookmarkEnd w:id="17"/>
      <w:bookmarkEnd w:id="18"/>
      <w:bookmarkEnd w:id="19"/>
      <w:bookmarkEnd w:id="20"/>
      <w:bookmarkEnd w:id="21"/>
    </w:p>
    <w:p w14:paraId="5AB2D13A" w14:textId="5A0546C8" w:rsidR="005F3990" w:rsidRDefault="00701076" w:rsidP="007D72C1">
      <w:pPr>
        <w:pStyle w:val="Heading3"/>
      </w:pPr>
      <w:bookmarkStart w:id="22" w:name="_Toc61255152"/>
      <w:bookmarkStart w:id="23" w:name="_Toc61616474"/>
      <w:bookmarkStart w:id="24" w:name="_Toc62299521"/>
      <w:bookmarkStart w:id="25" w:name="_Toc62299585"/>
      <w:bookmarkStart w:id="26" w:name="_Toc64621527"/>
      <w:bookmarkStart w:id="27" w:name="_Toc90754796"/>
      <w:bookmarkStart w:id="28" w:name="_Toc100936024"/>
      <w:r>
        <w:t>1</w:t>
      </w:r>
      <w:r w:rsidR="000B0895" w:rsidRPr="007D72C1">
        <w:t>.</w:t>
      </w:r>
      <w:r>
        <w:t>1.</w:t>
      </w:r>
      <w:r>
        <w:tab/>
      </w:r>
      <w:r w:rsidR="00111A62">
        <w:t>Comment peuvent se manifester les soupçons de pratiques illicites ?</w:t>
      </w:r>
      <w:bookmarkEnd w:id="22"/>
      <w:bookmarkEnd w:id="23"/>
      <w:bookmarkEnd w:id="24"/>
      <w:bookmarkEnd w:id="25"/>
      <w:bookmarkEnd w:id="26"/>
      <w:bookmarkEnd w:id="27"/>
      <w:bookmarkEnd w:id="28"/>
    </w:p>
    <w:p w14:paraId="191177D6" w14:textId="77777777" w:rsidR="00111A62" w:rsidRPr="00FC4C0D" w:rsidRDefault="00111A62" w:rsidP="009A3B06">
      <w:pPr>
        <w:pStyle w:val="PBParagraphNumber"/>
        <w:numPr>
          <w:ilvl w:val="0"/>
          <w:numId w:val="7"/>
        </w:numPr>
      </w:pPr>
      <w:r>
        <w:t>Les soupçons de pratiques illicites peuvent résulter, entre autres, des éléments suivants</w:t>
      </w:r>
      <w:r w:rsidR="000D0F7E" w:rsidRPr="00FC4C0D">
        <w:rPr>
          <w:rStyle w:val="FootnoteReference"/>
        </w:rPr>
        <w:footnoteReference w:id="9"/>
      </w:r>
      <w:r>
        <w:t xml:space="preserve"> : </w:t>
      </w:r>
    </w:p>
    <w:p w14:paraId="4E2F1772" w14:textId="77777777" w:rsidR="00111A62" w:rsidRPr="00FC4C0D" w:rsidRDefault="00111A62" w:rsidP="00111A62">
      <w:pPr>
        <w:pStyle w:val="PBBulletList"/>
      </w:pPr>
      <w:r>
        <w:t>des constats d’irrégularités dans des cas d’adoption internationale ;</w:t>
      </w:r>
    </w:p>
    <w:p w14:paraId="7FA34DEC" w14:textId="77777777" w:rsidR="00111A62" w:rsidRPr="00FC4C0D" w:rsidRDefault="00111A62" w:rsidP="00111A62">
      <w:pPr>
        <w:pStyle w:val="PBBulletList"/>
      </w:pPr>
      <w:r>
        <w:t xml:space="preserve">des commentaires d’un adopté sur </w:t>
      </w:r>
      <w:r w:rsidR="006F3B83">
        <w:t>son passé</w:t>
      </w:r>
      <w:r>
        <w:t xml:space="preserve"> ; </w:t>
      </w:r>
    </w:p>
    <w:p w14:paraId="36F14AF3" w14:textId="77777777" w:rsidR="00111A62" w:rsidRPr="003A6205" w:rsidRDefault="00111A62" w:rsidP="00111A62">
      <w:pPr>
        <w:pStyle w:val="PBBulletList"/>
      </w:pPr>
      <w:r>
        <w:t xml:space="preserve">des préoccupations </w:t>
      </w:r>
      <w:r w:rsidRPr="003A6205">
        <w:t xml:space="preserve">relatives à une adoption internationale en cours ou </w:t>
      </w:r>
      <w:r w:rsidR="008008A4" w:rsidRPr="003A6205">
        <w:t>menée à terme</w:t>
      </w:r>
      <w:r w:rsidRPr="003A6205">
        <w:t xml:space="preserve"> exprimées par un adopté, un membre de la famille </w:t>
      </w:r>
      <w:r w:rsidR="00701076" w:rsidRPr="003A6205">
        <w:t>d’origine</w:t>
      </w:r>
      <w:r w:rsidRPr="003A6205">
        <w:t>, les FPA, un membre de la famille adoptive, une autorité, un membre de la communauté ou toute personne liée à l’adoption ;</w:t>
      </w:r>
    </w:p>
    <w:p w14:paraId="61D51BA0" w14:textId="77777777" w:rsidR="00111A62" w:rsidRPr="00FC4C0D" w:rsidRDefault="00111A62" w:rsidP="00111A62">
      <w:pPr>
        <w:pStyle w:val="PBBulletList"/>
      </w:pPr>
      <w:r w:rsidRPr="003A6205">
        <w:t xml:space="preserve">des examens ou des enquêtes menés par des autorités ou organes dans l’État d’origine ou dans l’État d’accueil, des </w:t>
      </w:r>
      <w:r>
        <w:t>organisations internationales ou autre ;</w:t>
      </w:r>
    </w:p>
    <w:p w14:paraId="4791B0AD" w14:textId="77777777" w:rsidR="00111A62" w:rsidRPr="00FC4C0D" w:rsidRDefault="00111A62" w:rsidP="00111A62">
      <w:pPr>
        <w:pStyle w:val="PBBulletList"/>
      </w:pPr>
      <w:r>
        <w:t>le suivi, la supervision et l’audit d’OAA ;</w:t>
      </w:r>
    </w:p>
    <w:p w14:paraId="3B33B7BC" w14:textId="77777777" w:rsidR="00111A62" w:rsidRPr="00FC4C0D" w:rsidRDefault="00111A62" w:rsidP="00111A62">
      <w:pPr>
        <w:pStyle w:val="PBBulletList"/>
      </w:pPr>
      <w:r>
        <w:t xml:space="preserve">des </w:t>
      </w:r>
      <w:r w:rsidR="00773FCC">
        <w:t>articles de presse </w:t>
      </w:r>
      <w:r>
        <w:t>;</w:t>
      </w:r>
    </w:p>
    <w:p w14:paraId="4A1C8DCC" w14:textId="77777777" w:rsidR="00111A62" w:rsidRPr="00FC4C0D" w:rsidRDefault="00111A62" w:rsidP="00111A62">
      <w:pPr>
        <w:pStyle w:val="PBBulletList"/>
      </w:pPr>
      <w:r>
        <w:t>des procédures judiciaires ;</w:t>
      </w:r>
    </w:p>
    <w:p w14:paraId="4478B788" w14:textId="77777777" w:rsidR="00111A62" w:rsidRPr="00FC4C0D" w:rsidRDefault="00111A62" w:rsidP="00111A62">
      <w:pPr>
        <w:pStyle w:val="PBBulletList"/>
      </w:pPr>
      <w:r>
        <w:t xml:space="preserve">des activités de maintien de </w:t>
      </w:r>
      <w:r w:rsidR="00701076">
        <w:t>l’ordre</w:t>
      </w:r>
      <w:r>
        <w:t> ;</w:t>
      </w:r>
    </w:p>
    <w:p w14:paraId="6625AFE0" w14:textId="77777777" w:rsidR="00FA71B8" w:rsidRPr="00FC4C0D" w:rsidRDefault="00FA71B8" w:rsidP="00111A62">
      <w:pPr>
        <w:pStyle w:val="PBBulletList"/>
      </w:pPr>
      <w:r>
        <w:t xml:space="preserve">des tests ADN ; </w:t>
      </w:r>
    </w:p>
    <w:p w14:paraId="4ED90B8D" w14:textId="77777777" w:rsidR="00111A62" w:rsidRDefault="00111A62" w:rsidP="00111A62">
      <w:pPr>
        <w:pStyle w:val="PBBulletList"/>
      </w:pPr>
      <w:r>
        <w:t>des recherches sur les origines.</w:t>
      </w:r>
    </w:p>
    <w:p w14:paraId="779CFEA1" w14:textId="77777777" w:rsidR="00357E98" w:rsidRPr="00FC4C0D" w:rsidRDefault="00090417" w:rsidP="00FC4C0D">
      <w:pPr>
        <w:pStyle w:val="PBParagraphNumber"/>
        <w:numPr>
          <w:ilvl w:val="0"/>
          <w:numId w:val="1"/>
        </w:numPr>
      </w:pPr>
      <w:r>
        <w:t xml:space="preserve">En outre, l’existence de </w:t>
      </w:r>
      <w:r>
        <w:rPr>
          <w:b/>
          <w:bCs/>
        </w:rPr>
        <w:t>plusieurs facteurs propices</w:t>
      </w:r>
      <w:r>
        <w:t xml:space="preserve"> peut être le signe avant-coureur de soupçons de pratiques illicites.</w:t>
      </w:r>
    </w:p>
    <w:p w14:paraId="5CE16198" w14:textId="77777777" w:rsidR="00CC5F61" w:rsidRPr="006D612A" w:rsidRDefault="00CC5F61" w:rsidP="00701076">
      <w:pPr>
        <w:pStyle w:val="PBParagraphNumber"/>
        <w:numPr>
          <w:ilvl w:val="0"/>
          <w:numId w:val="0"/>
        </w:numPr>
        <w:shd w:val="clear" w:color="auto" w:fill="D5E7FD"/>
        <w:ind w:left="567"/>
        <w:jc w:val="center"/>
        <w:rPr>
          <w:b/>
          <w:color w:val="0069B4"/>
          <w:sz w:val="6"/>
          <w:szCs w:val="6"/>
        </w:rPr>
      </w:pPr>
    </w:p>
    <w:p w14:paraId="4D69EED7" w14:textId="77777777" w:rsidR="00660295" w:rsidRPr="00FC4C0D" w:rsidRDefault="00581E27" w:rsidP="00701076">
      <w:pPr>
        <w:pStyle w:val="PBParagraphNumber"/>
        <w:numPr>
          <w:ilvl w:val="0"/>
          <w:numId w:val="0"/>
        </w:numPr>
        <w:shd w:val="clear" w:color="auto" w:fill="D5E7FD"/>
        <w:ind w:left="567"/>
        <w:jc w:val="center"/>
        <w:rPr>
          <w:b/>
          <w:color w:val="0070C0"/>
        </w:rPr>
      </w:pPr>
      <w:r>
        <w:rPr>
          <w:b/>
          <w:color w:val="0070C0"/>
        </w:rPr>
        <w:t>Convention Adoption de 1993</w:t>
      </w:r>
    </w:p>
    <w:p w14:paraId="73FC9A26" w14:textId="77777777" w:rsidR="003B0CFE" w:rsidRPr="00FC4C0D" w:rsidRDefault="00660295" w:rsidP="00701076">
      <w:pPr>
        <w:pStyle w:val="PBParagraphNumber"/>
        <w:numPr>
          <w:ilvl w:val="0"/>
          <w:numId w:val="0"/>
        </w:numPr>
        <w:shd w:val="clear" w:color="auto" w:fill="D5E7FD"/>
        <w:ind w:left="567"/>
        <w:rPr>
          <w:color w:val="0070C0"/>
        </w:rPr>
      </w:pPr>
      <w:r>
        <w:rPr>
          <w:color w:val="0070C0"/>
        </w:rPr>
        <w:t>«</w:t>
      </w:r>
      <w:r w:rsidR="008008A4">
        <w:rPr>
          <w:color w:val="0070C0"/>
        </w:rPr>
        <w:t> </w:t>
      </w:r>
      <w:r>
        <w:rPr>
          <w:color w:val="0070C0"/>
        </w:rPr>
        <w:t xml:space="preserve">Toute autorité compétente qui constate </w:t>
      </w:r>
      <w:r w:rsidR="00701076">
        <w:rPr>
          <w:color w:val="0070C0"/>
        </w:rPr>
        <w:t>qu’une</w:t>
      </w:r>
      <w:r>
        <w:rPr>
          <w:color w:val="0070C0"/>
        </w:rPr>
        <w:t xml:space="preserve"> des dispositions de la </w:t>
      </w:r>
      <w:r>
        <w:rPr>
          <w:b/>
          <w:bCs/>
          <w:color w:val="0070C0"/>
        </w:rPr>
        <w:t>Convention</w:t>
      </w:r>
      <w:r>
        <w:rPr>
          <w:color w:val="0070C0"/>
        </w:rPr>
        <w:t xml:space="preserve"> a été méconnue ou risque manifestement de </w:t>
      </w:r>
      <w:r w:rsidR="00701076">
        <w:rPr>
          <w:color w:val="0070C0"/>
        </w:rPr>
        <w:t xml:space="preserve">l’être </w:t>
      </w:r>
      <w:r>
        <w:rPr>
          <w:color w:val="0070C0"/>
        </w:rPr>
        <w:t xml:space="preserve">en </w:t>
      </w:r>
      <w:r>
        <w:rPr>
          <w:b/>
          <w:bCs/>
          <w:color w:val="0070C0"/>
        </w:rPr>
        <w:t xml:space="preserve">informe aussitôt </w:t>
      </w:r>
      <w:r w:rsidR="00701076">
        <w:rPr>
          <w:b/>
          <w:color w:val="0070C0"/>
        </w:rPr>
        <w:t xml:space="preserve">l’Autorité centrale </w:t>
      </w:r>
      <w:r>
        <w:rPr>
          <w:b/>
          <w:bCs/>
          <w:color w:val="0070C0"/>
        </w:rPr>
        <w:t xml:space="preserve">de </w:t>
      </w:r>
      <w:r w:rsidR="00701076">
        <w:rPr>
          <w:b/>
          <w:color w:val="0070C0"/>
        </w:rPr>
        <w:t>l’</w:t>
      </w:r>
      <w:r w:rsidR="008008A4">
        <w:rPr>
          <w:b/>
          <w:bCs/>
          <w:color w:val="0070C0"/>
        </w:rPr>
        <w:t>[</w:t>
      </w:r>
      <w:r>
        <w:rPr>
          <w:b/>
          <w:bCs/>
          <w:color w:val="0070C0"/>
        </w:rPr>
        <w:t>É</w:t>
      </w:r>
      <w:r w:rsidR="008008A4">
        <w:rPr>
          <w:b/>
          <w:bCs/>
          <w:color w:val="0070C0"/>
        </w:rPr>
        <w:t>]</w:t>
      </w:r>
      <w:r>
        <w:rPr>
          <w:b/>
          <w:bCs/>
          <w:color w:val="0070C0"/>
        </w:rPr>
        <w:t>tat dont elle relève</w:t>
      </w:r>
      <w:r>
        <w:rPr>
          <w:color w:val="0070C0"/>
        </w:rPr>
        <w:t>. Cette Autorité centrale a la responsabilité de veiller à ce que toutes l</w:t>
      </w:r>
      <w:r w:rsidR="008008A4">
        <w:rPr>
          <w:color w:val="0070C0"/>
        </w:rPr>
        <w:t>es mesures utiles soient prises</w:t>
      </w:r>
      <w:r w:rsidR="00003D70">
        <w:rPr>
          <w:color w:val="0070C0"/>
        </w:rPr>
        <w:t>.</w:t>
      </w:r>
      <w:r w:rsidR="008008A4">
        <w:rPr>
          <w:color w:val="0070C0"/>
        </w:rPr>
        <w:t> </w:t>
      </w:r>
      <w:r>
        <w:rPr>
          <w:color w:val="0070C0"/>
        </w:rPr>
        <w:t>» (art. 33)</w:t>
      </w:r>
    </w:p>
    <w:p w14:paraId="3CB2A129" w14:textId="77777777" w:rsidR="00CC5F61" w:rsidRPr="00333844" w:rsidRDefault="00CC5F61" w:rsidP="00701076">
      <w:pPr>
        <w:pStyle w:val="PBParagraphNumber"/>
        <w:numPr>
          <w:ilvl w:val="0"/>
          <w:numId w:val="0"/>
        </w:numPr>
        <w:shd w:val="clear" w:color="auto" w:fill="D5E7FD"/>
        <w:ind w:left="567"/>
        <w:rPr>
          <w:sz w:val="6"/>
          <w:szCs w:val="6"/>
        </w:rPr>
      </w:pPr>
    </w:p>
    <w:p w14:paraId="2BDD7764" w14:textId="77777777" w:rsidR="00BE74D4" w:rsidRPr="0040337E" w:rsidRDefault="00BE74D4" w:rsidP="006A5E93">
      <w:pPr>
        <w:pStyle w:val="PBParagraphNumber"/>
        <w:numPr>
          <w:ilvl w:val="0"/>
          <w:numId w:val="0"/>
        </w:numPr>
        <w:spacing w:after="0"/>
        <w:ind w:left="567" w:hanging="567"/>
        <w:rPr>
          <w:sz w:val="10"/>
          <w:szCs w:val="10"/>
        </w:rPr>
      </w:pPr>
    </w:p>
    <w:p w14:paraId="6A39F478" w14:textId="77777777" w:rsidR="003A698E" w:rsidRPr="006D612A" w:rsidRDefault="003A698E" w:rsidP="00EC5291">
      <w:pPr>
        <w:pStyle w:val="PBParagraphNumber"/>
        <w:numPr>
          <w:ilvl w:val="0"/>
          <w:numId w:val="0"/>
        </w:numPr>
        <w:shd w:val="clear" w:color="auto" w:fill="DEE9D3"/>
        <w:ind w:left="567"/>
        <w:jc w:val="center"/>
        <w:rPr>
          <w:b/>
          <w:color w:val="515C1D"/>
          <w:sz w:val="6"/>
          <w:szCs w:val="6"/>
        </w:rPr>
      </w:pPr>
    </w:p>
    <w:p w14:paraId="4C6481D3" w14:textId="77777777" w:rsidR="00BE74D4" w:rsidRPr="00B32685" w:rsidRDefault="00BE74D4" w:rsidP="00EC5291">
      <w:pPr>
        <w:pStyle w:val="PBParagraphNumber"/>
        <w:numPr>
          <w:ilvl w:val="0"/>
          <w:numId w:val="0"/>
        </w:numPr>
        <w:shd w:val="clear" w:color="auto" w:fill="DEE9D3"/>
        <w:ind w:left="567"/>
        <w:jc w:val="center"/>
        <w:rPr>
          <w:b/>
          <w:color w:val="006600"/>
        </w:rPr>
      </w:pPr>
      <w:r>
        <w:rPr>
          <w:b/>
          <w:color w:val="006600"/>
        </w:rPr>
        <w:t xml:space="preserve">Par ailleurs, en cas de </w:t>
      </w:r>
      <w:r w:rsidR="00DF7F2E">
        <w:rPr>
          <w:b/>
          <w:color w:val="006600"/>
        </w:rPr>
        <w:t xml:space="preserve">divulgation </w:t>
      </w:r>
      <w:r>
        <w:rPr>
          <w:b/>
          <w:color w:val="006600"/>
        </w:rPr>
        <w:t>de pratiques illicites</w:t>
      </w:r>
      <w:r w:rsidR="00701076">
        <w:rPr>
          <w:b/>
          <w:color w:val="006600"/>
        </w:rPr>
        <w:t xml:space="preserve"> systémiques (présumées) </w:t>
      </w:r>
      <w:r>
        <w:rPr>
          <w:b/>
          <w:color w:val="006600"/>
        </w:rPr>
        <w:t>:</w:t>
      </w:r>
    </w:p>
    <w:p w14:paraId="46D55A83" w14:textId="77777777" w:rsidR="00701076" w:rsidRPr="00B32685" w:rsidRDefault="00701076" w:rsidP="00701076">
      <w:pPr>
        <w:pStyle w:val="PBParagraphNumber"/>
        <w:numPr>
          <w:ilvl w:val="0"/>
          <w:numId w:val="0"/>
        </w:numPr>
        <w:shd w:val="clear" w:color="auto" w:fill="DEE9D3"/>
        <w:ind w:left="567"/>
        <w:rPr>
          <w:color w:val="006600"/>
        </w:rPr>
      </w:pPr>
      <w:r>
        <w:rPr>
          <w:color w:val="006600"/>
        </w:rPr>
        <w:t xml:space="preserve">La </w:t>
      </w:r>
      <w:r>
        <w:rPr>
          <w:b/>
          <w:color w:val="006600"/>
        </w:rPr>
        <w:t xml:space="preserve">divulgation </w:t>
      </w:r>
      <w:r>
        <w:rPr>
          <w:color w:val="006600"/>
        </w:rPr>
        <w:t xml:space="preserve">d’une pratique illicite </w:t>
      </w:r>
      <w:r>
        <w:rPr>
          <w:b/>
          <w:color w:val="006600"/>
        </w:rPr>
        <w:t xml:space="preserve">isolée </w:t>
      </w:r>
      <w:r>
        <w:rPr>
          <w:color w:val="006600"/>
        </w:rPr>
        <w:t xml:space="preserve">peut </w:t>
      </w:r>
      <w:r>
        <w:rPr>
          <w:b/>
          <w:color w:val="006600"/>
        </w:rPr>
        <w:t>dévoiler</w:t>
      </w:r>
      <w:r>
        <w:rPr>
          <w:color w:val="006600"/>
        </w:rPr>
        <w:t xml:space="preserve"> une pratique illicite </w:t>
      </w:r>
      <w:r>
        <w:rPr>
          <w:b/>
          <w:color w:val="006600"/>
        </w:rPr>
        <w:t>systémique</w:t>
      </w:r>
      <w:r>
        <w:rPr>
          <w:color w:val="006600"/>
        </w:rPr>
        <w:t> : chaque fois qu’une pratique illicite est divulguée, il est donc important de vérifier systématiquement s’il s’agit d’une pratique isolée ou si elle est systémique (à savoir, en fonction de la pratique illicite et des circonstances qui l’entourent, se demander si l’inquiétude précise en l’espèce peut également avoir déjà été soulevée dans d’autres cas (et examiner ces autres cas)).</w:t>
      </w:r>
    </w:p>
    <w:p w14:paraId="01FE2BC9" w14:textId="77777777" w:rsidR="003A698E" w:rsidRPr="00333844" w:rsidRDefault="003A698E" w:rsidP="00EC5291">
      <w:pPr>
        <w:pStyle w:val="PBParagraphNumber"/>
        <w:numPr>
          <w:ilvl w:val="0"/>
          <w:numId w:val="0"/>
        </w:numPr>
        <w:shd w:val="clear" w:color="auto" w:fill="DEE9D3"/>
        <w:ind w:left="567"/>
        <w:jc w:val="center"/>
        <w:rPr>
          <w:sz w:val="6"/>
          <w:szCs w:val="6"/>
        </w:rPr>
      </w:pPr>
    </w:p>
    <w:p w14:paraId="0EE2697B" w14:textId="23D7061D" w:rsidR="003B0CFE" w:rsidRDefault="000B0895" w:rsidP="007D72C1">
      <w:pPr>
        <w:pStyle w:val="Heading3"/>
      </w:pPr>
      <w:bookmarkStart w:id="29" w:name="_Toc61255153"/>
      <w:bookmarkStart w:id="30" w:name="_Toc61616475"/>
      <w:bookmarkStart w:id="31" w:name="_Toc62299522"/>
      <w:bookmarkStart w:id="32" w:name="_Toc62299586"/>
      <w:bookmarkStart w:id="33" w:name="_Toc64621528"/>
      <w:bookmarkStart w:id="34" w:name="_Toc90754797"/>
      <w:bookmarkStart w:id="35" w:name="_Toc100936025"/>
      <w:r w:rsidRPr="007D72C1">
        <w:t>1.2.</w:t>
      </w:r>
      <w:r w:rsidRPr="007D72C1">
        <w:tab/>
      </w:r>
      <w:r w:rsidR="003B0CFE">
        <w:t xml:space="preserve">Quelle autorité doit </w:t>
      </w:r>
      <w:r w:rsidR="006F3B83">
        <w:t xml:space="preserve">enregistrer </w:t>
      </w:r>
      <w:r w:rsidR="003B0CFE">
        <w:t>les cas présumés de pratiques illicites ?</w:t>
      </w:r>
      <w:bookmarkEnd w:id="29"/>
      <w:bookmarkEnd w:id="30"/>
      <w:bookmarkEnd w:id="31"/>
      <w:bookmarkEnd w:id="32"/>
      <w:bookmarkEnd w:id="33"/>
      <w:bookmarkEnd w:id="34"/>
      <w:bookmarkEnd w:id="35"/>
      <w:r w:rsidR="003B0CFE">
        <w:t xml:space="preserve"> </w:t>
      </w:r>
    </w:p>
    <w:p w14:paraId="1EF554A7" w14:textId="77777777" w:rsidR="003B0CFE" w:rsidRPr="00FC4C0D" w:rsidRDefault="003B0CFE" w:rsidP="009A3B06">
      <w:pPr>
        <w:pStyle w:val="PBParagraphNumber"/>
        <w:numPr>
          <w:ilvl w:val="0"/>
          <w:numId w:val="7"/>
        </w:numPr>
      </w:pPr>
      <w:r>
        <w:t>Il incombe aux Autorités centrales d</w:t>
      </w:r>
      <w:r w:rsidR="006F3B83">
        <w:t xml:space="preserve">’enregistrer </w:t>
      </w:r>
      <w:r>
        <w:t>tout soupçon de pratiques ou d’activités susceptibles d’être illicites qu’elles découvrent ou qui est porté à leur connaissance par tout</w:t>
      </w:r>
      <w:r w:rsidR="008008A4">
        <w:t>e</w:t>
      </w:r>
      <w:r>
        <w:t xml:space="preserve"> personne, </w:t>
      </w:r>
      <w:r w:rsidR="008008A4">
        <w:t xml:space="preserve">toute </w:t>
      </w:r>
      <w:r>
        <w:t xml:space="preserve">autorité ou </w:t>
      </w:r>
      <w:r w:rsidR="008008A4">
        <w:t xml:space="preserve">tout </w:t>
      </w:r>
      <w:r>
        <w:t xml:space="preserve">organe concerné. Elles doivent prendre au sérieux toute allégation ou inquiétude </w:t>
      </w:r>
      <w:r w:rsidR="00840A05">
        <w:t>raisonnables</w:t>
      </w:r>
      <w:r>
        <w:t xml:space="preserve">. Elles doivent également envisager de passer par la voie diplomatique pour soulever leurs inquiétudes quant à des soupçons concernant leurs homologues dans un autre État. </w:t>
      </w:r>
    </w:p>
    <w:p w14:paraId="44BD414A" w14:textId="77777777" w:rsidR="009F6672" w:rsidRPr="00FC4C0D" w:rsidRDefault="003B0CFE" w:rsidP="009A3B06">
      <w:pPr>
        <w:pStyle w:val="PBParagraphNumber"/>
        <w:numPr>
          <w:ilvl w:val="0"/>
          <w:numId w:val="7"/>
        </w:numPr>
      </w:pPr>
      <w:r w:rsidRPr="004562A3">
        <w:t>Les États doivent par ailleurs désigner une autre</w:t>
      </w:r>
      <w:r>
        <w:t xml:space="preserve"> autorité compétente (par ex. un tribunal administratif, une autorité d’enquête, un médiateur</w:t>
      </w:r>
      <w:r w:rsidR="00687A33">
        <w:t xml:space="preserve"> (</w:t>
      </w:r>
      <w:r w:rsidR="00242201">
        <w:t>c.-à-d.</w:t>
      </w:r>
      <w:r w:rsidR="00242201" w:rsidRPr="007F6450" w:rsidDel="00324D1B">
        <w:rPr>
          <w:i/>
          <w:iCs/>
        </w:rPr>
        <w:t xml:space="preserve"> </w:t>
      </w:r>
      <w:r w:rsidR="00687A33">
        <w:t xml:space="preserve">un </w:t>
      </w:r>
      <w:r w:rsidR="00687A33" w:rsidRPr="007F6450">
        <w:t>ombudsman</w:t>
      </w:r>
      <w:r>
        <w:t xml:space="preserve">) à laquelle </w:t>
      </w:r>
      <w:r w:rsidR="000A4F43">
        <w:t>signaler</w:t>
      </w:r>
      <w:r>
        <w:t xml:space="preserve"> des </w:t>
      </w:r>
      <w:r>
        <w:lastRenderedPageBreak/>
        <w:t>éventuels soupçons selon lesquels une Autorité centrale serait impliquée dans un cas présumé de pratiques illicites.</w:t>
      </w:r>
    </w:p>
    <w:p w14:paraId="2B7E9DAF" w14:textId="392D5203" w:rsidR="00E85B61" w:rsidRDefault="00E85B61" w:rsidP="007D72C1">
      <w:pPr>
        <w:pStyle w:val="Heading3"/>
        <w:numPr>
          <w:ilvl w:val="1"/>
          <w:numId w:val="15"/>
        </w:numPr>
      </w:pPr>
      <w:bookmarkStart w:id="36" w:name="_Toc61255154"/>
      <w:bookmarkStart w:id="37" w:name="_Toc61616476"/>
      <w:bookmarkStart w:id="38" w:name="_Toc62299523"/>
      <w:bookmarkStart w:id="39" w:name="_Toc62299587"/>
      <w:bookmarkStart w:id="40" w:name="_Toc64621529"/>
      <w:bookmarkStart w:id="41" w:name="_Toc90754798"/>
      <w:bookmarkStart w:id="42" w:name="_Toc100936026"/>
      <w:r>
        <w:t xml:space="preserve">Quelles mesures les États peuvent-ils prendre pour faciliter la </w:t>
      </w:r>
      <w:r w:rsidR="00196586">
        <w:t>divulgation</w:t>
      </w:r>
      <w:r>
        <w:t xml:space="preserve"> des pratiques illicites ?</w:t>
      </w:r>
      <w:bookmarkEnd w:id="36"/>
      <w:bookmarkEnd w:id="37"/>
      <w:bookmarkEnd w:id="38"/>
      <w:bookmarkEnd w:id="39"/>
      <w:bookmarkEnd w:id="40"/>
      <w:bookmarkEnd w:id="41"/>
      <w:bookmarkEnd w:id="42"/>
    </w:p>
    <w:p w14:paraId="33740855" w14:textId="77777777" w:rsidR="00E85B61" w:rsidRPr="00FC4C0D" w:rsidRDefault="00E85B61" w:rsidP="009A3B06">
      <w:pPr>
        <w:pStyle w:val="PBParagraphNumber"/>
        <w:numPr>
          <w:ilvl w:val="0"/>
          <w:numId w:val="7"/>
        </w:numPr>
      </w:pPr>
      <w:r>
        <w:t xml:space="preserve">Afin d’augmenter la probabilité que les cas présumés de pratiques illicites soient </w:t>
      </w:r>
      <w:r w:rsidR="00196586">
        <w:t>divulgués</w:t>
      </w:r>
      <w:r>
        <w:t xml:space="preserve"> et </w:t>
      </w:r>
      <w:r w:rsidR="00701076">
        <w:t>correctement enregistrés, les États doivent :</w:t>
      </w:r>
    </w:p>
    <w:p w14:paraId="057082D8" w14:textId="77777777" w:rsidR="00E85B61" w:rsidRPr="00FC4C0D" w:rsidRDefault="00E85B61" w:rsidP="00745B22">
      <w:pPr>
        <w:pStyle w:val="PBBulletList"/>
        <w:spacing w:after="80"/>
        <w:contextualSpacing w:val="0"/>
      </w:pPr>
      <w:r>
        <w:t xml:space="preserve">désigner un individu (ou plusieurs individus) au sein de l’Autorité centrale chargé d’agir en qualité </w:t>
      </w:r>
      <w:r w:rsidRPr="003969BB">
        <w:rPr>
          <w:b/>
          <w:bCs/>
        </w:rPr>
        <w:t xml:space="preserve">officielle de personne de contact </w:t>
      </w:r>
      <w:r>
        <w:t xml:space="preserve">sur les questions relatives aux pratiques illicites et lui offrir une formation appropriée afin de l’aider à reconnaître les signes </w:t>
      </w:r>
      <w:r w:rsidR="00701076">
        <w:t>d’éventuelles pratiques illicites (par ex.</w:t>
      </w:r>
      <w:r>
        <w:t xml:space="preserve"> formation sur les pratiques illicites, les droits des adoptés et des enfants, les procédures adaptées aux enfants) ; </w:t>
      </w:r>
    </w:p>
    <w:p w14:paraId="48584367" w14:textId="77777777" w:rsidR="00E85B61" w:rsidRPr="00FC4C0D" w:rsidRDefault="00E85B61" w:rsidP="00745B22">
      <w:pPr>
        <w:pStyle w:val="PBBulletList"/>
        <w:spacing w:after="80"/>
        <w:contextualSpacing w:val="0"/>
      </w:pPr>
      <w:r>
        <w:t xml:space="preserve">mettre en place, au sein de l’Autorité centrale (ou de toute autre autorité compétente), un </w:t>
      </w:r>
      <w:r w:rsidRPr="003969BB">
        <w:rPr>
          <w:b/>
        </w:rPr>
        <w:t>moyen de signalement facile d’accès</w:t>
      </w:r>
      <w:r>
        <w:t xml:space="preserve">, que ce soit à l’oral (par ex. </w:t>
      </w:r>
      <w:r w:rsidR="00701076">
        <w:t>par le biais d’une ligne téléphonique) ou à l’écrit (par ex. au moyen d’un</w:t>
      </w:r>
      <w:r>
        <w:t xml:space="preserve"> registre de plaintes) et attirer largement l’attention sur son existence et les coordonnées pertinentes ; </w:t>
      </w:r>
    </w:p>
    <w:p w14:paraId="7D1EA353" w14:textId="77777777" w:rsidR="00701076" w:rsidRPr="00FC4C0D" w:rsidRDefault="00701076" w:rsidP="00701076">
      <w:pPr>
        <w:pStyle w:val="PBBulletList"/>
        <w:spacing w:after="80"/>
        <w:contextualSpacing w:val="0"/>
      </w:pPr>
      <w:r>
        <w:t>établir des</w:t>
      </w:r>
      <w:r>
        <w:rPr>
          <w:b/>
        </w:rPr>
        <w:t xml:space="preserve"> mécanismes de retour d’information</w:t>
      </w:r>
      <w:r>
        <w:t xml:space="preserve"> automatiques et / ou institutionnalisés pour les parents adoptifs une fois l’adoption finalisée (par ex., par le biais d’un formulaire en ligne adressé à l’Autorité centrale) ; </w:t>
      </w:r>
    </w:p>
    <w:p w14:paraId="1B6CB059" w14:textId="77777777" w:rsidR="00E85B61" w:rsidRPr="00FC4C0D" w:rsidRDefault="00D36247" w:rsidP="00745B22">
      <w:pPr>
        <w:pStyle w:val="PBBulletList"/>
        <w:spacing w:after="80"/>
        <w:contextualSpacing w:val="0"/>
      </w:pPr>
      <w:r>
        <w:t xml:space="preserve">rappeler aux autorités compétentes leur </w:t>
      </w:r>
      <w:r w:rsidRPr="003969BB">
        <w:rPr>
          <w:b/>
          <w:bCs/>
        </w:rPr>
        <w:t xml:space="preserve">obligation </w:t>
      </w:r>
      <w:r w:rsidRPr="003969BB">
        <w:t>d’</w:t>
      </w:r>
      <w:r w:rsidRPr="003969BB">
        <w:rPr>
          <w:b/>
          <w:bCs/>
        </w:rPr>
        <w:t>informer l’Autorité centrale</w:t>
      </w:r>
      <w:r w:rsidRPr="003969BB">
        <w:t xml:space="preserve"> </w:t>
      </w:r>
      <w:r>
        <w:t xml:space="preserve">de l’État dont elles relèvent dès lors qu’elles ont connaissance d’éventuelles pratiques illicites ou en cas de soupçon (voir </w:t>
      </w:r>
      <w:r w:rsidR="00196586">
        <w:t xml:space="preserve">CLH, </w:t>
      </w:r>
      <w:r>
        <w:t>art. 33) ;</w:t>
      </w:r>
    </w:p>
    <w:p w14:paraId="33B6104A" w14:textId="77777777" w:rsidR="00E85B61" w:rsidRPr="003969BB" w:rsidRDefault="00E85B61" w:rsidP="00745B22">
      <w:pPr>
        <w:pStyle w:val="PBBulletList"/>
        <w:spacing w:after="80"/>
        <w:contextualSpacing w:val="0"/>
      </w:pPr>
      <w:r>
        <w:t xml:space="preserve">encourager l’ensemble des </w:t>
      </w:r>
      <w:r w:rsidRPr="003969BB">
        <w:rPr>
          <w:b/>
        </w:rPr>
        <w:t>personnes</w:t>
      </w:r>
      <w:r w:rsidRPr="003969BB">
        <w:t xml:space="preserve"> et </w:t>
      </w:r>
      <w:r w:rsidRPr="003969BB">
        <w:rPr>
          <w:b/>
        </w:rPr>
        <w:t>organes</w:t>
      </w:r>
      <w:r w:rsidRPr="003969BB">
        <w:t xml:space="preserve"> </w:t>
      </w:r>
      <w:r>
        <w:t>impliqués dans la procédure d’adoption internationale (par ex. les adoptés</w:t>
      </w:r>
      <w:r w:rsidRPr="003A6205">
        <w:t xml:space="preserve">, les parents </w:t>
      </w:r>
      <w:r w:rsidR="000F6B05" w:rsidRPr="003A6205">
        <w:t>(/famille)</w:t>
      </w:r>
      <w:r w:rsidR="002F3C76" w:rsidRPr="003A6205">
        <w:t xml:space="preserve"> </w:t>
      </w:r>
      <w:r w:rsidRPr="003A6205">
        <w:t>d’origine, les FPA, les parents adoptifs, les OAA, les institutions pou</w:t>
      </w:r>
      <w:r>
        <w:t xml:space="preserve">r enfants) à </w:t>
      </w:r>
      <w:r w:rsidRPr="003969BB">
        <w:rPr>
          <w:b/>
        </w:rPr>
        <w:t xml:space="preserve">signaler rapidement </w:t>
      </w:r>
      <w:r w:rsidRPr="003969BB">
        <w:t>aux Autorités centrales ou aux autres autorités pertinentes tout soupçon de pratique illicite ou toute préoccupation</w:t>
      </w:r>
      <w:r w:rsidR="00AE7634" w:rsidRPr="003969BB">
        <w:rPr>
          <w:rStyle w:val="FootnoteReference"/>
        </w:rPr>
        <w:footnoteReference w:id="10"/>
      </w:r>
      <w:r w:rsidRPr="003969BB">
        <w:t xml:space="preserve"> et veiller à ce que ces personnes et organes bénéficient d’une protection appropriée (par ex. confidentialité de leur identité) de sorte qu’ils soient </w:t>
      </w:r>
      <w:r w:rsidRPr="003969BB">
        <w:rPr>
          <w:b/>
        </w:rPr>
        <w:t xml:space="preserve">à l’abri de toute forme de harcèlement ou </w:t>
      </w:r>
      <w:r w:rsidR="0006604E" w:rsidRPr="003969BB">
        <w:rPr>
          <w:b/>
        </w:rPr>
        <w:t xml:space="preserve">de </w:t>
      </w:r>
      <w:r w:rsidRPr="003969BB">
        <w:rPr>
          <w:b/>
        </w:rPr>
        <w:t>représailles </w:t>
      </w:r>
      <w:r w:rsidRPr="003969BB">
        <w:t>;</w:t>
      </w:r>
    </w:p>
    <w:p w14:paraId="6A9BA512" w14:textId="77777777" w:rsidR="00701076" w:rsidRDefault="00701076" w:rsidP="00701076">
      <w:pPr>
        <w:pStyle w:val="PBBulletList"/>
        <w:spacing w:after="80"/>
        <w:contextualSpacing w:val="0"/>
      </w:pPr>
      <w:r>
        <w:t xml:space="preserve">veiller à ce que toutes les </w:t>
      </w:r>
      <w:r>
        <w:rPr>
          <w:b/>
        </w:rPr>
        <w:t>informations</w:t>
      </w:r>
      <w:r>
        <w:t xml:space="preserve"> divulguées par l’un des moyens susmentionnés soient correctement </w:t>
      </w:r>
      <w:r>
        <w:rPr>
          <w:b/>
        </w:rPr>
        <w:t>enregistrées</w:t>
      </w:r>
      <w:r>
        <w:t xml:space="preserve"> et </w:t>
      </w:r>
      <w:r>
        <w:rPr>
          <w:b/>
        </w:rPr>
        <w:t>conservées</w:t>
      </w:r>
      <w:r>
        <w:t xml:space="preserve">, afin d’éviter que les personnes concernées n’aient à fournir ces informations à plusieurs reprises ; </w:t>
      </w:r>
    </w:p>
    <w:p w14:paraId="70189A99" w14:textId="77777777" w:rsidR="00E85B61" w:rsidRPr="00FC4C0D" w:rsidRDefault="00037281" w:rsidP="00745B22">
      <w:pPr>
        <w:pStyle w:val="PBBulletList"/>
        <w:spacing w:after="80"/>
        <w:contextualSpacing w:val="0"/>
      </w:pPr>
      <w:r w:rsidRPr="003969BB">
        <w:rPr>
          <w:b/>
        </w:rPr>
        <w:t xml:space="preserve">informer </w:t>
      </w:r>
      <w:r w:rsidRPr="003969BB">
        <w:t>les adoptés</w:t>
      </w:r>
      <w:r>
        <w:t xml:space="preserve">, </w:t>
      </w:r>
      <w:r w:rsidRPr="00AD6788">
        <w:t>les parents d’origine, les FPA et les parents adoptifs</w:t>
      </w:r>
      <w:r w:rsidRPr="00AD6788">
        <w:rPr>
          <w:b/>
        </w:rPr>
        <w:t xml:space="preserve"> </w:t>
      </w:r>
      <w:r w:rsidRPr="00AD6788">
        <w:t>au sujet des pratiques illicites, de l’im</w:t>
      </w:r>
      <w:r>
        <w:t xml:space="preserve">portance de </w:t>
      </w:r>
      <w:r w:rsidR="005801A9">
        <w:t xml:space="preserve">divulguer </w:t>
      </w:r>
      <w:r>
        <w:t xml:space="preserve">les cas présumés de pratiques illicites le plus tôt possible et de la manière de réagir en cas de soupçon de pratique illicite ; </w:t>
      </w:r>
    </w:p>
    <w:p w14:paraId="7AEFD178" w14:textId="77777777" w:rsidR="00701076" w:rsidRPr="00FC4C0D" w:rsidRDefault="00701076" w:rsidP="00701076">
      <w:pPr>
        <w:pStyle w:val="PBBulletList"/>
        <w:spacing w:after="80"/>
        <w:contextualSpacing w:val="0"/>
      </w:pPr>
      <w:r>
        <w:t xml:space="preserve">inclure dans les séances d’information destinées aux (futurs) </w:t>
      </w:r>
      <w:r>
        <w:rPr>
          <w:b/>
        </w:rPr>
        <w:t>parents</w:t>
      </w:r>
      <w:r>
        <w:t xml:space="preserve"> adoptifs une </w:t>
      </w:r>
      <w:r>
        <w:rPr>
          <w:b/>
        </w:rPr>
        <w:t>formation</w:t>
      </w:r>
      <w:r>
        <w:t xml:space="preserve"> sur la manière d’identifier / de signaler les pratiques illicites ; </w:t>
      </w:r>
    </w:p>
    <w:p w14:paraId="5D43EC64" w14:textId="77777777" w:rsidR="00701076" w:rsidRDefault="00701076" w:rsidP="00701076">
      <w:pPr>
        <w:pStyle w:val="PBBulletList"/>
        <w:spacing w:after="80"/>
        <w:contextualSpacing w:val="0"/>
      </w:pPr>
      <w:r>
        <w:t xml:space="preserve">inclure une </w:t>
      </w:r>
      <w:r>
        <w:rPr>
          <w:b/>
        </w:rPr>
        <w:t>formation</w:t>
      </w:r>
      <w:r>
        <w:t xml:space="preserve"> sur la manière d’identifier / de signaler les pratiques illicites dans le cadre des procédures d’agrément et d’autorisation des </w:t>
      </w:r>
      <w:r>
        <w:rPr>
          <w:b/>
        </w:rPr>
        <w:t>OAA</w:t>
      </w:r>
      <w:r>
        <w:t xml:space="preserve"> et d’autorisation des institutions pour enfants ; le personnel des OAA et des institutions pour enfants devrait également bénéficier d’une telle formation ;</w:t>
      </w:r>
    </w:p>
    <w:p w14:paraId="11D0A5A7" w14:textId="77777777" w:rsidR="00E85B61" w:rsidRPr="00FC4C0D" w:rsidRDefault="007D3AA5" w:rsidP="00745B22">
      <w:pPr>
        <w:pStyle w:val="PBBulletList"/>
        <w:spacing w:after="80"/>
        <w:contextualSpacing w:val="0"/>
      </w:pPr>
      <w:r w:rsidRPr="003969BB">
        <w:t xml:space="preserve">établir des </w:t>
      </w:r>
      <w:r w:rsidRPr="003969BB">
        <w:rPr>
          <w:b/>
        </w:rPr>
        <w:t>voies de communication</w:t>
      </w:r>
      <w:r w:rsidRPr="003969BB">
        <w:t xml:space="preserve"> </w:t>
      </w:r>
      <w:r>
        <w:t>avec des homologues d’Autorités centrales dans d’autres États pour évoquer d’éventuelles pratiques illicites et partager régulièrement des information</w:t>
      </w:r>
      <w:r w:rsidR="00646300">
        <w:t>s sur la manière de favoriser leur</w:t>
      </w:r>
      <w:r>
        <w:t xml:space="preserve"> </w:t>
      </w:r>
      <w:r w:rsidR="00196586">
        <w:t>divulgation</w:t>
      </w:r>
      <w:r>
        <w:t>, de les prévenir et d’y remédier.</w:t>
      </w:r>
    </w:p>
    <w:p w14:paraId="0C6FABAC" w14:textId="77777777" w:rsidR="00701076" w:rsidRDefault="00701076" w:rsidP="00701076">
      <w:pPr>
        <w:pStyle w:val="PBBulletList"/>
        <w:numPr>
          <w:ilvl w:val="0"/>
          <w:numId w:val="0"/>
        </w:numPr>
        <w:spacing w:after="80"/>
        <w:ind w:left="1134"/>
        <w:contextualSpacing w:val="0"/>
      </w:pPr>
    </w:p>
    <w:p w14:paraId="33199B36" w14:textId="77777777" w:rsidR="00701076" w:rsidRPr="003A6205" w:rsidRDefault="00701076" w:rsidP="00701076">
      <w:pPr>
        <w:pStyle w:val="PBParagraphNumber"/>
        <w:numPr>
          <w:ilvl w:val="0"/>
          <w:numId w:val="0"/>
        </w:numPr>
        <w:shd w:val="clear" w:color="auto" w:fill="DEE9D3"/>
        <w:ind w:left="567"/>
        <w:jc w:val="center"/>
        <w:rPr>
          <w:b/>
          <w:color w:val="006600"/>
        </w:rPr>
      </w:pPr>
      <w:r w:rsidRPr="003A6205">
        <w:rPr>
          <w:b/>
          <w:color w:val="006600"/>
        </w:rPr>
        <w:t xml:space="preserve">Par ailleurs, en cas de pratiques illicites systémiques </w:t>
      </w:r>
      <w:r>
        <w:rPr>
          <w:b/>
          <w:color w:val="006600"/>
        </w:rPr>
        <w:t>(présumées)</w:t>
      </w:r>
      <w:r w:rsidRPr="003A6205">
        <w:rPr>
          <w:b/>
          <w:color w:val="006600"/>
        </w:rPr>
        <w:t> :</w:t>
      </w:r>
    </w:p>
    <w:p w14:paraId="78642328" w14:textId="77777777" w:rsidR="00701076" w:rsidRPr="003A6205" w:rsidRDefault="00701076" w:rsidP="00701076">
      <w:pPr>
        <w:pStyle w:val="PBParagraphNumber"/>
        <w:numPr>
          <w:ilvl w:val="0"/>
          <w:numId w:val="0"/>
        </w:numPr>
        <w:shd w:val="clear" w:color="auto" w:fill="DEE9D3"/>
        <w:ind w:left="567"/>
        <w:rPr>
          <w:color w:val="006600"/>
        </w:rPr>
      </w:pPr>
      <w:r w:rsidRPr="003A6205">
        <w:rPr>
          <w:color w:val="006600"/>
        </w:rPr>
        <w:t xml:space="preserve">Les États peuvent souhaiter : </w:t>
      </w:r>
    </w:p>
    <w:p w14:paraId="34A5ACBE" w14:textId="77777777" w:rsidR="00701076" w:rsidRPr="003A6205" w:rsidRDefault="00701076" w:rsidP="00701076">
      <w:pPr>
        <w:pStyle w:val="PBBulletList"/>
        <w:shd w:val="clear" w:color="auto" w:fill="DEE9D3"/>
        <w:rPr>
          <w:bCs/>
          <w:color w:val="006600"/>
        </w:rPr>
      </w:pPr>
      <w:r w:rsidRPr="003A6205">
        <w:rPr>
          <w:color w:val="006600"/>
        </w:rPr>
        <w:t xml:space="preserve">fournir un registre spécifique pour les adoptés et les familles d’origine afin de signaler les pratiques illicites présumées et confirmées ; </w:t>
      </w:r>
    </w:p>
    <w:p w14:paraId="52E0CE90" w14:textId="77777777" w:rsidR="00701076" w:rsidRPr="003A6205" w:rsidRDefault="00701076" w:rsidP="00701076">
      <w:pPr>
        <w:pStyle w:val="PBBulletList"/>
        <w:shd w:val="clear" w:color="auto" w:fill="DEE9D3"/>
        <w:rPr>
          <w:bCs/>
          <w:color w:val="006600"/>
        </w:rPr>
      </w:pPr>
      <w:r w:rsidRPr="003A6205">
        <w:rPr>
          <w:color w:val="006600"/>
        </w:rPr>
        <w:t xml:space="preserve">élaborer des protocoles spécifiques entre les États concernés sur les procédures applicables pour faciliter les mesures visant à remédier aux pratiques illicites ; </w:t>
      </w:r>
    </w:p>
    <w:p w14:paraId="1561467A" w14:textId="77777777" w:rsidR="00701076" w:rsidRPr="003A6205" w:rsidRDefault="00701076" w:rsidP="00701076">
      <w:pPr>
        <w:pStyle w:val="PBBulletList"/>
        <w:shd w:val="clear" w:color="auto" w:fill="DEE9D3"/>
        <w:rPr>
          <w:bCs/>
          <w:color w:val="006600"/>
        </w:rPr>
      </w:pPr>
      <w:r w:rsidRPr="003A6205">
        <w:rPr>
          <w:color w:val="006600"/>
        </w:rPr>
        <w:t>développer des brochures (ou d’autres documents) à l’intention des adoptés et fournir des informations sur les recours possibles en cas de pratiques illicites présumées et confirmées.</w:t>
      </w:r>
    </w:p>
    <w:p w14:paraId="5DA380F8" w14:textId="77777777" w:rsidR="00A67B10" w:rsidRDefault="00A67B10" w:rsidP="00A67B10">
      <w:pPr>
        <w:jc w:val="left"/>
      </w:pPr>
      <w:bookmarkStart w:id="43" w:name="_Toc90754799"/>
      <w:bookmarkStart w:id="44" w:name="_Toc100936027"/>
    </w:p>
    <w:p w14:paraId="4FD979D4" w14:textId="74F1B93E" w:rsidR="007A0BED" w:rsidRPr="003969BB" w:rsidRDefault="00633B00" w:rsidP="007D72C1">
      <w:pPr>
        <w:pStyle w:val="Heading2"/>
      </w:pPr>
      <w:bookmarkStart w:id="45" w:name="_Toc64621531"/>
      <w:bookmarkStart w:id="46" w:name="_Toc61255156"/>
      <w:bookmarkStart w:id="47" w:name="_Toc61616478"/>
      <w:bookmarkStart w:id="48" w:name="_Toc62299525"/>
      <w:bookmarkStart w:id="49" w:name="_Toc62299589"/>
      <w:r w:rsidRPr="003969BB">
        <w:rPr>
          <w:u w:val="single"/>
        </w:rPr>
        <w:t>LE CAS ÉCHÉANT :</w:t>
      </w:r>
      <w:r w:rsidRPr="003969BB">
        <w:t xml:space="preserve"> CONSIDÉRATIONS RELATIVES AUX </w:t>
      </w:r>
      <w:r>
        <w:t>MESURES</w:t>
      </w:r>
      <w:r w:rsidRPr="003969BB">
        <w:t xml:space="preserve"> PROVISOIRES</w:t>
      </w:r>
      <w:r>
        <w:t xml:space="preserve"> DE PROTECTION DE L’ENFANT</w:t>
      </w:r>
      <w:bookmarkEnd w:id="43"/>
      <w:bookmarkEnd w:id="44"/>
      <w:bookmarkEnd w:id="45"/>
      <w:bookmarkEnd w:id="46"/>
      <w:bookmarkEnd w:id="47"/>
      <w:bookmarkEnd w:id="48"/>
      <w:bookmarkEnd w:id="49"/>
    </w:p>
    <w:p w14:paraId="6523AD1B" w14:textId="77777777" w:rsidR="004F1C42" w:rsidRDefault="004F1C42" w:rsidP="007D72C1">
      <w:pPr>
        <w:pStyle w:val="Heading3"/>
        <w:numPr>
          <w:ilvl w:val="1"/>
          <w:numId w:val="13"/>
        </w:numPr>
      </w:pPr>
      <w:bookmarkStart w:id="50" w:name="_Toc61255157"/>
      <w:bookmarkStart w:id="51" w:name="_Toc61616479"/>
      <w:bookmarkStart w:id="52" w:name="_Toc62299526"/>
      <w:bookmarkStart w:id="53" w:name="_Toc62299590"/>
      <w:bookmarkStart w:id="54" w:name="_Toc64621532"/>
      <w:bookmarkStart w:id="55" w:name="_Toc90754800"/>
      <w:bookmarkStart w:id="56" w:name="_Toc100936028"/>
      <w:r>
        <w:t xml:space="preserve">Mesures provisoires de protection de l’enfant en matière de procédures d’adoption en cours et déjà </w:t>
      </w:r>
      <w:bookmarkEnd w:id="50"/>
      <w:bookmarkEnd w:id="51"/>
      <w:bookmarkEnd w:id="52"/>
      <w:bookmarkEnd w:id="53"/>
      <w:r w:rsidR="0006604E">
        <w:t>menées à terme</w:t>
      </w:r>
      <w:bookmarkEnd w:id="54"/>
      <w:bookmarkEnd w:id="55"/>
      <w:bookmarkEnd w:id="56"/>
    </w:p>
    <w:p w14:paraId="24B4BEA6" w14:textId="77777777" w:rsidR="004F1C42" w:rsidRPr="00FC4C0D" w:rsidRDefault="004F1C42" w:rsidP="009A3B06">
      <w:pPr>
        <w:pStyle w:val="PBParagraphNumber"/>
        <w:numPr>
          <w:ilvl w:val="0"/>
          <w:numId w:val="7"/>
        </w:numPr>
      </w:pPr>
      <w:bookmarkStart w:id="57" w:name="_Ref90917214"/>
      <w:r>
        <w:t xml:space="preserve">Dès le moment où des soupçons </w:t>
      </w:r>
      <w:r w:rsidR="0013790C">
        <w:t>crédibles</w:t>
      </w:r>
      <w:r>
        <w:t xml:space="preserve"> de pratiques illicites sont </w:t>
      </w:r>
      <w:r w:rsidR="00A840E5">
        <w:t xml:space="preserve">divulgués </w:t>
      </w:r>
      <w:r>
        <w:t xml:space="preserve">et jusqu’à </w:t>
      </w:r>
      <w:r w:rsidR="0006604E">
        <w:t xml:space="preserve">ce que </w:t>
      </w:r>
      <w:r>
        <w:t>des mesures définitives puissent être prises à l’issue de l’enquête, toute préoccupation relative à la protection de l’enfant doit être rapidement signalée aux autorités compétentes de l’État concerné.</w:t>
      </w:r>
      <w:bookmarkEnd w:id="57"/>
      <w:r>
        <w:t xml:space="preserve"> </w:t>
      </w:r>
    </w:p>
    <w:p w14:paraId="4502B7FA" w14:textId="77777777" w:rsidR="004F1C42" w:rsidRPr="00FC4C0D" w:rsidRDefault="00E8707C" w:rsidP="009A3B06">
      <w:pPr>
        <w:pStyle w:val="PBParagraphNumber"/>
        <w:numPr>
          <w:ilvl w:val="0"/>
          <w:numId w:val="7"/>
        </w:numPr>
      </w:pPr>
      <w:r>
        <w:t>C’est aux</w:t>
      </w:r>
      <w:r w:rsidR="000325CD">
        <w:t xml:space="preserve"> </w:t>
      </w:r>
      <w:r w:rsidR="004F1C42">
        <w:t xml:space="preserve">autorités compétentes de l’État dans lequel l’enfant est physiquement présent </w:t>
      </w:r>
      <w:r>
        <w:t xml:space="preserve">qu’il incombe en premier lieu </w:t>
      </w:r>
      <w:r w:rsidR="0041302D">
        <w:t xml:space="preserve">la responsabilité </w:t>
      </w:r>
      <w:r w:rsidR="004F1C42">
        <w:t xml:space="preserve">d’assurer sa protection, mais celles-ci doivent coopérer avec les autorités des autres États concernés. Conformément à leur législation interne, </w:t>
      </w:r>
      <w:r w:rsidR="0006604E">
        <w:t>les États</w:t>
      </w:r>
      <w:r w:rsidR="004F1C42">
        <w:t xml:space="preserve"> doivent examiner la situation et déterminer quelles mesures temporaires, le cas échéant, peuvent s’avérer nécessaires pour protéger l’enfant (par ex. dispositions temporaires pour la prise en charge de l’enfant), dans l’attente des résultats de l’enquête</w:t>
      </w:r>
      <w:r w:rsidR="00B13971" w:rsidRPr="00FC4C0D">
        <w:rPr>
          <w:rStyle w:val="FootnoteReference"/>
        </w:rPr>
        <w:footnoteReference w:id="11"/>
      </w:r>
      <w:r w:rsidR="004F1C42">
        <w:t xml:space="preserve">. </w:t>
      </w:r>
    </w:p>
    <w:p w14:paraId="1458CB36" w14:textId="77777777" w:rsidR="004F1C42" w:rsidRDefault="004F1C42" w:rsidP="007D72C1">
      <w:pPr>
        <w:pStyle w:val="Heading3"/>
        <w:numPr>
          <w:ilvl w:val="1"/>
          <w:numId w:val="13"/>
        </w:numPr>
      </w:pPr>
      <w:bookmarkStart w:id="58" w:name="_Toc61255158"/>
      <w:bookmarkStart w:id="59" w:name="_Toc61616480"/>
      <w:bookmarkStart w:id="60" w:name="_Toc62299527"/>
      <w:bookmarkStart w:id="61" w:name="_Toc62299591"/>
      <w:bookmarkStart w:id="62" w:name="_Toc64621533"/>
      <w:bookmarkStart w:id="63" w:name="_Toc90754801"/>
      <w:bookmarkStart w:id="64" w:name="_Toc100936029"/>
      <w:r>
        <w:t>Considérations supplémentaires concernant les procédures d’adoption en cours</w:t>
      </w:r>
      <w:bookmarkEnd w:id="58"/>
      <w:bookmarkEnd w:id="59"/>
      <w:bookmarkEnd w:id="60"/>
      <w:bookmarkEnd w:id="61"/>
      <w:bookmarkEnd w:id="62"/>
      <w:bookmarkEnd w:id="63"/>
      <w:bookmarkEnd w:id="64"/>
      <w:r>
        <w:t xml:space="preserve"> </w:t>
      </w:r>
    </w:p>
    <w:p w14:paraId="2D78A4D8" w14:textId="77777777" w:rsidR="004F1C42" w:rsidRPr="00FC4C0D" w:rsidRDefault="004F1C42" w:rsidP="009A3B06">
      <w:pPr>
        <w:pStyle w:val="PBParagraphNumber"/>
        <w:numPr>
          <w:ilvl w:val="0"/>
          <w:numId w:val="7"/>
        </w:numPr>
      </w:pPr>
      <w:r>
        <w:t xml:space="preserve">Si des soupçons de pratiques illicites sont </w:t>
      </w:r>
      <w:r w:rsidR="007E63D0">
        <w:t xml:space="preserve">divulgués </w:t>
      </w:r>
      <w:r>
        <w:t xml:space="preserve">avant la fin d’une procédure d’adoption (c.-à-d. </w:t>
      </w:r>
      <w:r w:rsidR="00701076">
        <w:t>que l’adoption n’a pas encore été finalisée) :</w:t>
      </w:r>
      <w:r>
        <w:t xml:space="preserve"> </w:t>
      </w:r>
    </w:p>
    <w:p w14:paraId="0858BE3A" w14:textId="77777777" w:rsidR="004F1C42" w:rsidRPr="00FC4C0D" w:rsidRDefault="004F1C42" w:rsidP="0025560C">
      <w:pPr>
        <w:pStyle w:val="PBBulletList"/>
      </w:pPr>
      <w:r>
        <w:t>il peut s’avérer opportun d’</w:t>
      </w:r>
      <w:r>
        <w:rPr>
          <w:b/>
          <w:bCs/>
        </w:rPr>
        <w:t>interrompre</w:t>
      </w:r>
      <w:r>
        <w:t xml:space="preserve"> immédiatement la procédure d’adoption à compter de </w:t>
      </w:r>
      <w:r w:rsidR="00FA0B14">
        <w:t xml:space="preserve">la divulgation </w:t>
      </w:r>
      <w:r>
        <w:t xml:space="preserve">du soupçon de pratique illicite (avec l’aide, le cas échéant, de l’Autorité centrale (ou de l’autorité compétente) de l’autre État) ; </w:t>
      </w:r>
    </w:p>
    <w:p w14:paraId="4F865CAF" w14:textId="77777777" w:rsidR="004F1C42" w:rsidRPr="00FC4C0D" w:rsidRDefault="004F1C42" w:rsidP="0025560C">
      <w:pPr>
        <w:pStyle w:val="PBBulletList"/>
      </w:pPr>
      <w:r>
        <w:t xml:space="preserve">les Autorités centrales ne doivent pas </w:t>
      </w:r>
      <w:r>
        <w:rPr>
          <w:b/>
          <w:bCs/>
        </w:rPr>
        <w:t xml:space="preserve">émettre </w:t>
      </w:r>
      <w:r>
        <w:t>l’accord en vue de la poursuite de la procédure visé à l’article 17(c), les autorités compétentes ne doivent pas non plus rendre la décision relative à l’adoption ni émettre le certificat visé à l’article 23 ;</w:t>
      </w:r>
    </w:p>
    <w:p w14:paraId="709E8674" w14:textId="77777777" w:rsidR="00701076" w:rsidRPr="00FC4C0D" w:rsidRDefault="00701076" w:rsidP="00701076">
      <w:pPr>
        <w:pStyle w:val="PBBulletList"/>
      </w:pPr>
      <w:r>
        <w:t xml:space="preserve">s’il y a lieu, l’Autorité centrale (ou l’autorité compétente) de l’État d’origine dans lequel l’enfant est physiquement présent doit envisager de prendre des mesures visant à </w:t>
      </w:r>
      <w:r>
        <w:rPr>
          <w:b/>
        </w:rPr>
        <w:t>prévenir le déplacement</w:t>
      </w:r>
      <w:r>
        <w:t xml:space="preserve"> de l’enfant tant que l’enquête est en cours.</w:t>
      </w:r>
    </w:p>
    <w:p w14:paraId="0C990B07" w14:textId="77777777" w:rsidR="00701076" w:rsidRPr="005A3A91" w:rsidRDefault="00701076" w:rsidP="00701076">
      <w:pPr>
        <w:pStyle w:val="PBParagraphNumber"/>
        <w:numPr>
          <w:ilvl w:val="0"/>
          <w:numId w:val="1"/>
        </w:numPr>
      </w:pPr>
      <w:bookmarkStart w:id="65" w:name="_Ref90917216"/>
      <w:r>
        <w:t xml:space="preserve">Toute décision finale quant à savoir si la procédure d’adoption peut se poursuivre ne doit être rendue qu’à l’issue de l’enquête ou lorsque celle-ci montre clairement que la pratique illicite n’a pas d’incidence sur l’éventuelle poursuite de la procédure d’adoption spécifique concernée (voir ci-après section 6 et liste </w:t>
      </w:r>
      <w:r w:rsidRPr="00A67B10">
        <w:t xml:space="preserve">récapitulative). Par ailleurs, si une pratique illicite présumée est susceptible d’impliquer les FPA sélectionnés initialement, il convient d’examiner la possibilité pour </w:t>
      </w:r>
      <w:r w:rsidRPr="00A67B10">
        <w:lastRenderedPageBreak/>
        <w:t>l’enfant d’être adopté par d’autres FPA s’il n’y a aucune autre inquiétude concernant l’adoptabilité de l’enfant et sa disponibilité pour une adoption internationale.</w:t>
      </w:r>
      <w:bookmarkEnd w:id="65"/>
    </w:p>
    <w:p w14:paraId="6648BAD2" w14:textId="509E717D" w:rsidR="0092434E" w:rsidRDefault="0092434E">
      <w:pPr>
        <w:jc w:val="left"/>
      </w:pPr>
    </w:p>
    <w:p w14:paraId="0F33FBBC" w14:textId="77777777" w:rsidR="0092434E" w:rsidRPr="003969BB" w:rsidRDefault="00633B00" w:rsidP="00B45C97">
      <w:pPr>
        <w:pStyle w:val="Heading2"/>
      </w:pPr>
      <w:bookmarkStart w:id="66" w:name="_Toc61255159"/>
      <w:bookmarkStart w:id="67" w:name="_Toc61616481"/>
      <w:bookmarkStart w:id="68" w:name="_Toc62299528"/>
      <w:bookmarkStart w:id="69" w:name="_Toc62299592"/>
      <w:bookmarkStart w:id="70" w:name="_Toc64621534"/>
      <w:bookmarkStart w:id="71" w:name="_Toc90754802"/>
      <w:bookmarkStart w:id="72" w:name="_Toc100936030"/>
      <w:r w:rsidRPr="003969BB">
        <w:rPr>
          <w:u w:val="single"/>
        </w:rPr>
        <w:t xml:space="preserve">ÉTAPE </w:t>
      </w:r>
      <w:r w:rsidR="00D67098" w:rsidRPr="003969BB">
        <w:rPr>
          <w:u w:val="single"/>
        </w:rPr>
        <w:t>CONTINUE</w:t>
      </w:r>
      <w:r w:rsidRPr="003969BB">
        <w:rPr>
          <w:u w:val="single"/>
        </w:rPr>
        <w:t> :</w:t>
      </w:r>
      <w:r w:rsidRPr="003969BB">
        <w:t xml:space="preserve"> </w:t>
      </w:r>
      <w:r>
        <w:t>SERVICES</w:t>
      </w:r>
      <w:r w:rsidRPr="003969BB">
        <w:t xml:space="preserve"> </w:t>
      </w:r>
      <w:bookmarkEnd w:id="66"/>
      <w:r w:rsidRPr="003969BB">
        <w:t>DESTINÉS AUX PERSONNES TOUCHÉES</w:t>
      </w:r>
      <w:r w:rsidR="00235382" w:rsidRPr="003969BB">
        <w:rPr>
          <w:rStyle w:val="FootnoteReference"/>
        </w:rPr>
        <w:footnoteReference w:id="12"/>
      </w:r>
      <w:bookmarkEnd w:id="67"/>
      <w:bookmarkEnd w:id="68"/>
      <w:bookmarkEnd w:id="69"/>
      <w:bookmarkEnd w:id="70"/>
      <w:bookmarkEnd w:id="71"/>
      <w:bookmarkEnd w:id="72"/>
    </w:p>
    <w:p w14:paraId="584D0EEC" w14:textId="77777777" w:rsidR="00F23612" w:rsidRPr="00941287" w:rsidRDefault="00F23612" w:rsidP="009A3B06">
      <w:pPr>
        <w:pStyle w:val="PBParagraphNumber"/>
        <w:numPr>
          <w:ilvl w:val="0"/>
          <w:numId w:val="7"/>
        </w:numPr>
      </w:pPr>
      <w:r>
        <w:t>Considérant la complexité de telles situations, il est indispensable de bénéficier d’un soutien professionnel lorsque l’on fait face à (</w:t>
      </w:r>
      <w:r w:rsidRPr="003A6205">
        <w:t xml:space="preserve">un soupçon de) des pratiques illicites. Des services ou des sources d’assistance et de soutien doivent donc être mis à la disposition des adoptés, des parents d’origine, des FPA et des parents adoptifs qui peuvent faire face à une situation dans laquelle des soupçons de pratiques illicites sont soulevés </w:t>
      </w:r>
      <w:r>
        <w:t>ou une enquête en confirme l’existence</w:t>
      </w:r>
      <w:r w:rsidR="00E92CFA" w:rsidRPr="005A3A91">
        <w:rPr>
          <w:rStyle w:val="FootnoteReference"/>
        </w:rPr>
        <w:footnoteReference w:id="13"/>
      </w:r>
      <w:r>
        <w:t xml:space="preserve">. Dans le cadre de ces services, de cette assistance et de ce soutien, il convient d’opter pour une démarche adaptée à l’enfant à laquelle ce dernier peut participer, compte tenu de son âge et de sa maturité. </w:t>
      </w:r>
    </w:p>
    <w:p w14:paraId="1F425358" w14:textId="1E75FE61" w:rsidR="00701076" w:rsidRPr="00941287" w:rsidRDefault="00701076" w:rsidP="009A3B06">
      <w:pPr>
        <w:pStyle w:val="PBParagraphNumber"/>
        <w:numPr>
          <w:ilvl w:val="0"/>
          <w:numId w:val="7"/>
        </w:numPr>
      </w:pPr>
      <w:r>
        <w:t xml:space="preserve">Certaines Autorités centrales peuvent elles-mêmes être en mesure de fournir (quelques-uns) des services mentionnés ci-dessous. Lorsqu’elles ne le peuvent pas ou ne le font pas, elles peuvent aider les personnes touchées à </w:t>
      </w:r>
      <w:r w:rsidR="00F3107A">
        <w:rPr>
          <w:b/>
        </w:rPr>
        <w:t>identifier</w:t>
      </w:r>
      <w:r w:rsidR="00F3107A">
        <w:t xml:space="preserve"> </w:t>
      </w:r>
      <w:r>
        <w:t>des services appropriés de soutien et de défense des droits le cas échéant. Il conviendrait d’établir un protocole ou toute autre forme de guide officiel indiquant où solliciter une assistance. Les adoptés, les familles d’origine et les familles adoptives peuvent également souhaiter accéder à d’autres services ou ressources. Le personnel de l’Autorité centrale et des OAA (et toute autre personne agissant au nom de ces derniers) doit être formé sur la manière d’aider les personnes touchées, y compris en les orientant vers des services et un soutien adaptés et disponibles.</w:t>
      </w:r>
    </w:p>
    <w:p w14:paraId="4E84281E" w14:textId="5547D1A2" w:rsidR="00701076" w:rsidRDefault="00701076" w:rsidP="009A3B06">
      <w:pPr>
        <w:pStyle w:val="PBParagraphNumber"/>
        <w:numPr>
          <w:ilvl w:val="0"/>
          <w:numId w:val="7"/>
        </w:numPr>
      </w:pPr>
      <w:r>
        <w:t xml:space="preserve">Les paragraphes suivants fournissent </w:t>
      </w:r>
      <w:r w:rsidRPr="003A6205">
        <w:t>une liste des éventuels services, soutien et assistance</w:t>
      </w:r>
      <w:r w:rsidRPr="003A6205">
        <w:rPr>
          <w:rStyle w:val="FootnoteReference"/>
        </w:rPr>
        <w:footnoteReference w:id="14"/>
      </w:r>
      <w:r w:rsidRPr="003A6205">
        <w:t xml:space="preserve"> qui peuvent être mis à la disposition des adoptés, des parents (/familles) d’origine, des FPA et / ou des parents (/familles) adoptifs</w:t>
      </w:r>
      <w:r w:rsidR="001316EE" w:rsidRPr="003A6205">
        <w:rPr>
          <w:rStyle w:val="FootnoteReference"/>
        </w:rPr>
        <w:footnoteReference w:id="15"/>
      </w:r>
      <w:r w:rsidRPr="003A6205">
        <w:t xml:space="preserve"> et vers lesquels ces derniers peuvent, le cas échéant, au cas par cas, être orientés par les Autorités centrales </w:t>
      </w:r>
      <w:r>
        <w:t xml:space="preserve">ou les OAA, et, si l’adopté est encore un enfant, en tenant compte de son intérêt supérieur. </w:t>
      </w:r>
    </w:p>
    <w:p w14:paraId="3F03D5E0" w14:textId="77777777" w:rsidR="00701076" w:rsidRPr="005A3A91" w:rsidRDefault="00701076" w:rsidP="009A3B06">
      <w:pPr>
        <w:pStyle w:val="PBParagraphNumber"/>
        <w:numPr>
          <w:ilvl w:val="0"/>
          <w:numId w:val="7"/>
        </w:numPr>
      </w:pPr>
      <w:r>
        <w:t>Pour certains, il s’agira d’un soutien ponctuel, au moment de la divulgation d’une pratique illicite en particulier. Pour d’autres, un tel soutien peut s’étaler sur plusieurs années, bien que des mesures aient été prises pour remédier à la pratique illicite. Un soutien doit être disponible aussi longtemps que nécessaire.</w:t>
      </w:r>
    </w:p>
    <w:p w14:paraId="1130B716" w14:textId="77777777" w:rsidR="00F23612" w:rsidRPr="005A3A91" w:rsidRDefault="00F23612" w:rsidP="009A3B06">
      <w:pPr>
        <w:pStyle w:val="PBParagraphNumber"/>
        <w:numPr>
          <w:ilvl w:val="0"/>
          <w:numId w:val="7"/>
        </w:numPr>
      </w:pPr>
      <w:r>
        <w:rPr>
          <w:b/>
          <w:color w:val="0094D2"/>
        </w:rPr>
        <w:t xml:space="preserve">Services de conseils et de soutien </w:t>
      </w:r>
      <w:r w:rsidR="0065776C">
        <w:rPr>
          <w:b/>
          <w:color w:val="0094D2"/>
        </w:rPr>
        <w:t>psychosociaux individualisés</w:t>
      </w:r>
      <w:r>
        <w:rPr>
          <w:b/>
          <w:color w:val="0094D2"/>
        </w:rPr>
        <w:t xml:space="preserve"> </w:t>
      </w:r>
      <w:r>
        <w:t xml:space="preserve">: l’Autorité centrale doit fournir des services de conseils et de soutien </w:t>
      </w:r>
      <w:r w:rsidR="0065776C">
        <w:t xml:space="preserve">psychosociaux individualisés </w:t>
      </w:r>
      <w:r>
        <w:t xml:space="preserve">dispensés </w:t>
      </w:r>
      <w:r w:rsidRPr="00764825">
        <w:t>par des professionnels qualifiés (ou, si elle ne peut pas le faire elle-même, orienter les personnes touchées vers des professionnels qualifiés en mesure de fournir de tels services</w:t>
      </w:r>
      <w:r w:rsidR="00701076" w:rsidRPr="00764825">
        <w:t>).</w:t>
      </w:r>
      <w:r w:rsidRPr="00764825">
        <w:t xml:space="preserve"> La nature et</w:t>
      </w:r>
      <w:r>
        <w:t xml:space="preserve"> la portée des services disponibles sont susceptibles d’être adaptées au cas par cas et peuvent varier d’un État à l’autre</w:t>
      </w:r>
      <w:r w:rsidR="003F260B" w:rsidRPr="005A3A91">
        <w:rPr>
          <w:rStyle w:val="FootnoteReference"/>
        </w:rPr>
        <w:footnoteReference w:id="16"/>
      </w:r>
      <w:r>
        <w:t>.</w:t>
      </w:r>
    </w:p>
    <w:p w14:paraId="14EC9020" w14:textId="77777777" w:rsidR="00F23612" w:rsidRDefault="00F23612" w:rsidP="009A3B06">
      <w:pPr>
        <w:pStyle w:val="PBParagraphNumber"/>
        <w:numPr>
          <w:ilvl w:val="0"/>
          <w:numId w:val="7"/>
        </w:numPr>
      </w:pPr>
      <w:r>
        <w:rPr>
          <w:b/>
          <w:color w:val="0094D2"/>
        </w:rPr>
        <w:t>Médiation </w:t>
      </w:r>
      <w:r>
        <w:t xml:space="preserve">: lorsqu’un cas présumé de pratique illicite est </w:t>
      </w:r>
      <w:r w:rsidR="00B21E7E">
        <w:t>divulgué</w:t>
      </w:r>
      <w:r>
        <w:t xml:space="preserve">, </w:t>
      </w:r>
      <w:r w:rsidRPr="008A5074">
        <w:t>les adoptés, les parents d’origine et les parents adoptifs peuvent avoir des besoins et des souh</w:t>
      </w:r>
      <w:r>
        <w:t xml:space="preserve">aits divergents. Le cas </w:t>
      </w:r>
      <w:r>
        <w:lastRenderedPageBreak/>
        <w:t xml:space="preserve">échéant, des services de médiation fournis par un médiateur formé et impartial </w:t>
      </w:r>
      <w:r w:rsidR="0065776C">
        <w:t xml:space="preserve">peuvent </w:t>
      </w:r>
      <w:r>
        <w:t>les aider à trouver une solution satisfaisante</w:t>
      </w:r>
      <w:r w:rsidR="00701076">
        <w:t>.</w:t>
      </w:r>
      <w:bookmarkStart w:id="73" w:name="_Ref90797401"/>
      <w:r w:rsidR="00701076" w:rsidRPr="005A3A91">
        <w:rPr>
          <w:rStyle w:val="FootnoteReference"/>
        </w:rPr>
        <w:footnoteReference w:id="17"/>
      </w:r>
      <w:bookmarkEnd w:id="73"/>
      <w:r>
        <w:t xml:space="preserve"> </w:t>
      </w:r>
    </w:p>
    <w:p w14:paraId="5261D9E4" w14:textId="77777777" w:rsidR="00F23612" w:rsidRDefault="00F23612" w:rsidP="009A3B06">
      <w:pPr>
        <w:pStyle w:val="PBParagraphNumber"/>
        <w:numPr>
          <w:ilvl w:val="0"/>
          <w:numId w:val="7"/>
        </w:numPr>
      </w:pPr>
      <w:bookmarkStart w:id="74" w:name="_Ref93046174"/>
      <w:r>
        <w:rPr>
          <w:b/>
          <w:color w:val="0094D2"/>
        </w:rPr>
        <w:t>Assistance juridique </w:t>
      </w:r>
      <w:r>
        <w:t xml:space="preserve">: les personnes touchées peuvent avoir besoin de l’assistance d’un praticien du droit ayant de l’expérience en droit de la famille ou </w:t>
      </w:r>
      <w:r w:rsidR="00400976">
        <w:t xml:space="preserve">sur </w:t>
      </w:r>
      <w:r>
        <w:t>de</w:t>
      </w:r>
      <w:r w:rsidR="00400976">
        <w:t>s</w:t>
      </w:r>
      <w:r>
        <w:t xml:space="preserve"> questions liées aux </w:t>
      </w:r>
      <w:r w:rsidRPr="003A6205">
        <w:t>enfants</w:t>
      </w:r>
      <w:r w:rsidR="00701076" w:rsidRPr="003A6205">
        <w:t>.</w:t>
      </w:r>
      <w:r w:rsidRPr="003A6205">
        <w:t xml:space="preserve"> L’adopté peut avoir besoin d’un représentant distinct afin d’éviter les conflits d’intérêts. Sur demande, l’Autorité centrale doit orienter </w:t>
      </w:r>
      <w:r w:rsidR="00400976" w:rsidRPr="003A6205">
        <w:t xml:space="preserve">les personnes touchées </w:t>
      </w:r>
      <w:r w:rsidRPr="003A6205">
        <w:t>vers le service de référence</w:t>
      </w:r>
      <w:r>
        <w:t xml:space="preserve"> du barreau ou toute autre ressource </w:t>
      </w:r>
      <w:r w:rsidR="00400976">
        <w:t xml:space="preserve">susceptible </w:t>
      </w:r>
      <w:r>
        <w:t xml:space="preserve">de les aider à trouver </w:t>
      </w:r>
      <w:r w:rsidR="00701076">
        <w:t>des informations juridiques et / ou un praticien du droit.</w:t>
      </w:r>
      <w:bookmarkEnd w:id="74"/>
      <w:r>
        <w:t xml:space="preserve"> </w:t>
      </w:r>
    </w:p>
    <w:p w14:paraId="0EF0D77F" w14:textId="77777777" w:rsidR="00F23612" w:rsidRDefault="00F23612" w:rsidP="009A3B06">
      <w:pPr>
        <w:pStyle w:val="PBParagraphNumber"/>
        <w:numPr>
          <w:ilvl w:val="0"/>
          <w:numId w:val="7"/>
        </w:numPr>
      </w:pPr>
      <w:bookmarkStart w:id="75" w:name="_Ref93046189"/>
      <w:r>
        <w:rPr>
          <w:b/>
          <w:color w:val="0094D2"/>
        </w:rPr>
        <w:t>Assistance financière </w:t>
      </w:r>
      <w:r>
        <w:t xml:space="preserve">: lorsqu’ils accèdent à ces services, les adoptés et leur famille peuvent avoir à supporter des frais de justice et autres. </w:t>
      </w:r>
      <w:r w:rsidR="00701076">
        <w:t>L’Autorité centrale doit leur fournir des informations générales quant à l’éventuelle assistance financière à laquelle ils peuvent prétendre (par ex. certains États peuvent offrir des services à titre gratuit, d’autres peuvent fournir une assistance juridique ou d’autres services à moindres coûts ou subventionner les services fournis par d’autres autorités ou organes). Toute demande concernant l’applicabilité d’une éventuelle assistance financière dans les circonstances d’une affaire doit être adressée à l’Autorité centrale ou à l’autorité compétente pertinente</w:t>
      </w:r>
      <w:r>
        <w:t>.</w:t>
      </w:r>
      <w:bookmarkEnd w:id="75"/>
    </w:p>
    <w:p w14:paraId="4887EA8B" w14:textId="2FAC9F7D" w:rsidR="00701076" w:rsidRDefault="00701076" w:rsidP="009A3B06">
      <w:pPr>
        <w:pStyle w:val="PBParagraphNumber"/>
        <w:numPr>
          <w:ilvl w:val="0"/>
          <w:numId w:val="7"/>
        </w:numPr>
      </w:pPr>
      <w:r>
        <w:rPr>
          <w:b/>
          <w:color w:val="0094D2"/>
        </w:rPr>
        <w:t>Autre assistance</w:t>
      </w:r>
      <w:r>
        <w:t xml:space="preserve"> : une autre assistance, telle que la traduction de documents et l’interprétation, peut également être </w:t>
      </w:r>
      <w:r w:rsidRPr="003A6205">
        <w:t>disponible</w:t>
      </w:r>
      <w:r>
        <w:t xml:space="preserve">. Le cas échéant, l’Autorité centrale doit fournir à l’adopté, aux </w:t>
      </w:r>
      <w:r w:rsidRPr="000176AE">
        <w:t>parents</w:t>
      </w:r>
      <w:r>
        <w:t xml:space="preserve"> d’origine et / ou aux (futurs) </w:t>
      </w:r>
      <w:r w:rsidRPr="000176AE">
        <w:t>parents</w:t>
      </w:r>
      <w:r>
        <w:t xml:space="preserve"> adoptifs</w:t>
      </w:r>
      <w:r w:rsidR="00087E36">
        <w:t>,</w:t>
      </w:r>
      <w:r w:rsidR="00087E36" w:rsidRPr="00087E36">
        <w:t xml:space="preserve"> </w:t>
      </w:r>
      <w:r w:rsidR="00087E36">
        <w:t>des informations sur cette assistance et sur les moyens de l’obtenir</w:t>
      </w:r>
      <w:r>
        <w:t>.</w:t>
      </w:r>
    </w:p>
    <w:p w14:paraId="213DB44F" w14:textId="77777777" w:rsidR="00701076" w:rsidRPr="003A6205" w:rsidRDefault="00701076" w:rsidP="009A3B06">
      <w:pPr>
        <w:pStyle w:val="PBParagraphNumber"/>
        <w:numPr>
          <w:ilvl w:val="0"/>
          <w:numId w:val="7"/>
        </w:numPr>
      </w:pPr>
      <w:bookmarkStart w:id="76" w:name="_Ref78824228"/>
      <w:r>
        <w:rPr>
          <w:b/>
          <w:color w:val="0094D2"/>
        </w:rPr>
        <w:t>Maintien des contacts entre les autorités et les personnes concernées </w:t>
      </w:r>
      <w:r>
        <w:t xml:space="preserve">: les </w:t>
      </w:r>
      <w:r w:rsidRPr="003A6205">
        <w:t>soupçons de pratique illicite peuvent être soulevés par 1) l’adopté et / ou les parents d’origine et / ou les (futurs) parents adoptifs ou 2) toute autre personne.</w:t>
      </w:r>
      <w:bookmarkEnd w:id="76"/>
      <w:r w:rsidRPr="003A6205">
        <w:t xml:space="preserve"> </w:t>
      </w:r>
    </w:p>
    <w:p w14:paraId="573AFE0F" w14:textId="77777777" w:rsidR="00701076" w:rsidRPr="005A3A91" w:rsidRDefault="00701076" w:rsidP="00701076">
      <w:pPr>
        <w:pStyle w:val="PBParagraphNumber"/>
        <w:numPr>
          <w:ilvl w:val="0"/>
          <w:numId w:val="0"/>
        </w:numPr>
        <w:ind w:left="567"/>
      </w:pPr>
      <w:r>
        <w:t xml:space="preserve">Dans le premier cas, l’autorité compétente doit veiller à entretenir des contacts avec l’adopté, les parents d’origine et / ou les (futurs) parents adoptifs (selon la personne qui a soulevé le soupçon) tout au long de la procédure. L’Autorité centrale (ou l’autorité compétente) peut être le contact privilégié auprès duquel solliciter des informations actualisées concernant l’avancée de l’enquête (le cas échéant) ou soulever d’autres questions ou préoccupations. Il peut s’avérer utile de désigner une personne de contact au sein de l’autorité concernée qui peut être chargée des contacts quotidiens avec les familles touchées. </w:t>
      </w:r>
    </w:p>
    <w:p w14:paraId="0D316A9B" w14:textId="70D5343C" w:rsidR="00701076" w:rsidRPr="005A3A91" w:rsidRDefault="00701076" w:rsidP="00701076">
      <w:pPr>
        <w:pStyle w:val="PBParagraphNumber"/>
        <w:numPr>
          <w:ilvl w:val="0"/>
          <w:numId w:val="0"/>
        </w:numPr>
        <w:ind w:left="567"/>
      </w:pPr>
      <w:r>
        <w:t>Dans le deuxième cas, une fois que la décision a été prise d’entrer en contact avec l’adopté (voir para. </w:t>
      </w:r>
      <w:r w:rsidRPr="007D72C1">
        <w:fldChar w:fldCharType="begin"/>
      </w:r>
      <w:r w:rsidRPr="007D72C1">
        <w:instrText xml:space="preserve"> REF _Ref78824152 \r \h </w:instrText>
      </w:r>
      <w:r w:rsidR="007D72C1">
        <w:instrText xml:space="preserve"> \* MERGEFORMAT </w:instrText>
      </w:r>
      <w:r w:rsidRPr="007D72C1">
        <w:fldChar w:fldCharType="separate"/>
      </w:r>
      <w:r w:rsidRPr="007D72C1">
        <w:t>41</w:t>
      </w:r>
      <w:r w:rsidRPr="007D72C1">
        <w:fldChar w:fldCharType="end"/>
      </w:r>
      <w:r>
        <w:t xml:space="preserve"> ci-après), les parents d’origine et / ou les (futurs) parents adoptifs, le contact entre les autorités et les personnes concernées doit être maintenu.</w:t>
      </w:r>
    </w:p>
    <w:p w14:paraId="3BD37807" w14:textId="77777777" w:rsidR="00F23612" w:rsidRDefault="00F23612" w:rsidP="00C6580D">
      <w:pPr>
        <w:pStyle w:val="PBParagraphNumber"/>
        <w:numPr>
          <w:ilvl w:val="0"/>
          <w:numId w:val="0"/>
        </w:numPr>
        <w:ind w:left="567"/>
      </w:pPr>
      <w:r>
        <w:t>Dans les deux cas</w:t>
      </w:r>
      <w:r w:rsidR="00701076">
        <w:t xml:space="preserve"> susmentionnés</w:t>
      </w:r>
      <w:r>
        <w:t>, ces contacts peuvent aussi exiger un soutien approprié</w:t>
      </w:r>
      <w:r w:rsidR="00701076">
        <w:t xml:space="preserve">. </w:t>
      </w:r>
    </w:p>
    <w:p w14:paraId="3AB07577" w14:textId="77777777" w:rsidR="00F23612" w:rsidRPr="005A3A91" w:rsidRDefault="00F23612" w:rsidP="009A3B06">
      <w:pPr>
        <w:pStyle w:val="PBParagraphNumber"/>
        <w:numPr>
          <w:ilvl w:val="0"/>
          <w:numId w:val="7"/>
        </w:numPr>
      </w:pPr>
      <w:r>
        <w:rPr>
          <w:b/>
          <w:color w:val="0094D2"/>
        </w:rPr>
        <w:t xml:space="preserve">Moyens propres à faciliter les contacts entre l’adopté et sa </w:t>
      </w:r>
      <w:r w:rsidRPr="003A6205">
        <w:rPr>
          <w:b/>
          <w:color w:val="0094D2"/>
        </w:rPr>
        <w:t>famille d’origine</w:t>
      </w:r>
      <w:r>
        <w:rPr>
          <w:b/>
          <w:color w:val="C00000"/>
        </w:rPr>
        <w:t> </w:t>
      </w:r>
      <w:r>
        <w:t>:</w:t>
      </w:r>
      <w:r>
        <w:rPr>
          <w:rStyle w:val="FootnoteReference"/>
        </w:rPr>
        <w:t xml:space="preserve"> </w:t>
      </w:r>
      <w:r w:rsidR="00701076" w:rsidRPr="003A6205">
        <w:t>à la suite de la divulgation d’une pratique illicite (présumée), les autorités et organes compétents peuvent essayer de faciliter les contacts entre l’adopté et sa famille d’origine, compte tenu des souhaits de l’adopté et de sa famille d’origine ainsi que de l’intérêt supérieur de l’enfant. Cela peut impliquer, dans certains cas, de commencer par retrouver la famille d’origine (par ex., des services de recherche, de suivi, de tests ADN). Le soutien et les conseils pour faciliter les contacts et la réunification familiale sont très importants.</w:t>
      </w:r>
      <w:r w:rsidRPr="003A6205">
        <w:t xml:space="preserve"> La disponibilité, la portée et la nature de tels services sont susceptibles de varier d’un État à l’autre. </w:t>
      </w:r>
    </w:p>
    <w:p w14:paraId="1E9736AA" w14:textId="77777777" w:rsidR="00701076" w:rsidRPr="005A3A91" w:rsidRDefault="00701076" w:rsidP="009A3B06">
      <w:pPr>
        <w:pStyle w:val="PBParagraphNumber"/>
        <w:numPr>
          <w:ilvl w:val="0"/>
          <w:numId w:val="7"/>
        </w:numPr>
      </w:pPr>
      <w:r>
        <w:rPr>
          <w:b/>
          <w:color w:val="0094D2"/>
        </w:rPr>
        <w:t>Gestion de l’attention des médias </w:t>
      </w:r>
      <w:r>
        <w:t xml:space="preserve">: des inquiétudes quant aux pratiques illicites peuvent être évoquées dans les médias. L’adoption internationale attire souvent l’attention des médias, ce qui </w:t>
      </w:r>
      <w:r>
        <w:lastRenderedPageBreak/>
        <w:t>peut susciter des difficultés supplémentaires lorsqu’il s’agit de s’attaquer à des pratiques illicites. Dans un tel cas et si une assistance est requise pour maîtriser cet intérêt, l’Autorité centrale peut, en premier lieu, être en mesure d’apporter son aide, selon les circonstances.</w:t>
      </w:r>
    </w:p>
    <w:p w14:paraId="2A18E8D5" w14:textId="0B406DF7" w:rsidR="00701076" w:rsidRPr="005A3A91" w:rsidRDefault="00701076" w:rsidP="009A3B06">
      <w:pPr>
        <w:pStyle w:val="PBParagraphNumber"/>
        <w:numPr>
          <w:ilvl w:val="0"/>
          <w:numId w:val="7"/>
        </w:numPr>
      </w:pPr>
      <w:r>
        <w:rPr>
          <w:b/>
          <w:color w:val="0094D2"/>
        </w:rPr>
        <w:t>Associations, groupes de soutien et ONG </w:t>
      </w:r>
      <w:r>
        <w:t xml:space="preserve">: les associations, les groupes de soutien et les ONG peuvent apporter un soutien et une assistance cruciaux aux personnes touchées. Dans ces cas-là, il incombe donc à l’Autorité centrale d’orienter les personnes touchées vers ces associations, groupes de soutien ou organisations. </w:t>
      </w:r>
      <w:r w:rsidR="000E372A">
        <w:t xml:space="preserve">Les Autorités centrales </w:t>
      </w:r>
      <w:r>
        <w:t>devraient également envisager d’encourager l’organisation de ces associations et groupes afin de développer des réseaux entre eux et établir une ou plusieurs communautés de pratique.</w:t>
      </w:r>
    </w:p>
    <w:p w14:paraId="18A8FB63" w14:textId="77777777" w:rsidR="00701076" w:rsidRPr="006D612A" w:rsidRDefault="00701076" w:rsidP="00701076">
      <w:pPr>
        <w:pStyle w:val="PBParagraphNumber"/>
        <w:numPr>
          <w:ilvl w:val="0"/>
          <w:numId w:val="0"/>
        </w:numPr>
        <w:shd w:val="clear" w:color="auto" w:fill="DEE9D3"/>
        <w:ind w:left="567"/>
        <w:jc w:val="center"/>
        <w:rPr>
          <w:b/>
          <w:color w:val="515C1D"/>
          <w:sz w:val="6"/>
          <w:szCs w:val="6"/>
        </w:rPr>
      </w:pPr>
    </w:p>
    <w:p w14:paraId="25C0CDCC" w14:textId="77777777" w:rsidR="00701076" w:rsidRPr="00137352" w:rsidRDefault="00701076" w:rsidP="00701076">
      <w:pPr>
        <w:pStyle w:val="PBParagraphNumber"/>
        <w:numPr>
          <w:ilvl w:val="0"/>
          <w:numId w:val="0"/>
        </w:numPr>
        <w:shd w:val="clear" w:color="auto" w:fill="DEE9D3"/>
        <w:ind w:left="567"/>
        <w:jc w:val="center"/>
        <w:rPr>
          <w:b/>
          <w:color w:val="006600"/>
        </w:rPr>
      </w:pPr>
      <w:r>
        <w:rPr>
          <w:b/>
          <w:color w:val="006600"/>
        </w:rPr>
        <w:t>Par ailleurs, en cas de pratiques illicites systémiques (présumées) :</w:t>
      </w:r>
    </w:p>
    <w:p w14:paraId="70A3D3DD" w14:textId="77777777" w:rsidR="00701076" w:rsidRPr="006D612A" w:rsidRDefault="00701076" w:rsidP="00701076">
      <w:pPr>
        <w:pStyle w:val="PBParagraphNumber"/>
        <w:numPr>
          <w:ilvl w:val="0"/>
          <w:numId w:val="0"/>
        </w:numPr>
        <w:shd w:val="clear" w:color="auto" w:fill="DEE9D3"/>
        <w:ind w:left="567"/>
        <w:rPr>
          <w:rFonts w:ascii="Franklin Gothic Medium" w:eastAsia="MS Gothic" w:hAnsi="Franklin Gothic Medium"/>
          <w:bCs/>
          <w:color w:val="024987"/>
          <w:sz w:val="24"/>
          <w:szCs w:val="24"/>
          <w:u w:val="single"/>
        </w:rPr>
      </w:pPr>
      <w:r>
        <w:rPr>
          <w:color w:val="006600"/>
        </w:rPr>
        <w:t xml:space="preserve">Les États peuvent souhaiter fournir des </w:t>
      </w:r>
      <w:r>
        <w:rPr>
          <w:b/>
          <w:color w:val="006600"/>
        </w:rPr>
        <w:t>services supplémentaires</w:t>
      </w:r>
      <w:r>
        <w:rPr>
          <w:color w:val="006600"/>
        </w:rPr>
        <w:t xml:space="preserve"> et / ou adapter leurs services destinés aux personnes touchées lorsqu’il existe des pratiques illicites systémiques (ou un soupçon que de telles pratiques existent). Les États peuvent également orienter les personnes touchées vers les autorités, organes, associations et ONG qui possèdent une expérience dans la prestation de services aux personnes touchées par une pratique illicite systémique.</w:t>
      </w:r>
      <w:bookmarkStart w:id="77" w:name="_Toc64621537"/>
      <w:r>
        <w:br w:type="page"/>
      </w:r>
    </w:p>
    <w:p w14:paraId="5803AD6F" w14:textId="77777777" w:rsidR="0092434E" w:rsidRPr="003969BB" w:rsidRDefault="00701076" w:rsidP="00B45C97">
      <w:pPr>
        <w:pStyle w:val="Heading2"/>
      </w:pPr>
      <w:bookmarkStart w:id="78" w:name="_Toc90754803"/>
      <w:bookmarkStart w:id="79" w:name="_Toc100936031"/>
      <w:r w:rsidRPr="007D72C1">
        <w:lastRenderedPageBreak/>
        <w:t>ÉTAPE </w:t>
      </w:r>
      <w:bookmarkStart w:id="80" w:name="_Toc61255162"/>
      <w:bookmarkStart w:id="81" w:name="_Toc61616484"/>
      <w:bookmarkStart w:id="82" w:name="_Toc62299531"/>
      <w:bookmarkStart w:id="83" w:name="_Toc62299595"/>
      <w:r w:rsidR="00633B00" w:rsidRPr="007D72C1">
        <w:t>2 :</w:t>
      </w:r>
      <w:r w:rsidR="00633B00" w:rsidRPr="003969BB">
        <w:t xml:space="preserve"> </w:t>
      </w:r>
      <w:r w:rsidR="00633B00">
        <w:t>ENQUÊTE</w:t>
      </w:r>
      <w:bookmarkEnd w:id="77"/>
      <w:bookmarkEnd w:id="78"/>
      <w:bookmarkEnd w:id="79"/>
      <w:bookmarkEnd w:id="80"/>
      <w:bookmarkEnd w:id="81"/>
      <w:bookmarkEnd w:id="82"/>
      <w:bookmarkEnd w:id="83"/>
    </w:p>
    <w:p w14:paraId="202167BF" w14:textId="77777777" w:rsidR="007936EB" w:rsidRPr="00234852" w:rsidRDefault="004D0BF0" w:rsidP="009A3B06">
      <w:pPr>
        <w:pStyle w:val="PBParagraphNumber"/>
        <w:numPr>
          <w:ilvl w:val="0"/>
          <w:numId w:val="7"/>
        </w:numPr>
      </w:pPr>
      <w:r>
        <w:t xml:space="preserve">L’Autorité centrale (ou toute autre autorité compétente) de l’État dans lequel une pratique illicite </w:t>
      </w:r>
      <w:r w:rsidRPr="007D72C1">
        <w:t>a pu survenir</w:t>
      </w:r>
      <w:r>
        <w:t xml:space="preserve"> doit ouvrir (ou demander à l’autorité pertinente d’ouvrir) une enquête le plus rapidement possible, en coordination avec les autorités pertinentes, en vue de déterminer si une pratique illicite est survenue et, dans l’affirmative, quelles </w:t>
      </w:r>
      <w:r w:rsidR="00CD046B">
        <w:t>mesures</w:t>
      </w:r>
      <w:r>
        <w:t xml:space="preserve"> s’imposent</w:t>
      </w:r>
      <w:r w:rsidR="00FC19E2" w:rsidRPr="00234852">
        <w:rPr>
          <w:rStyle w:val="FootnoteReference"/>
        </w:rPr>
        <w:footnoteReference w:id="18"/>
      </w:r>
      <w:r>
        <w:t xml:space="preserve">. L’autorité chargée de l’enquête doit être clairement identifiée. Il est également important que l’enquête soit menée dans les meilleurs délais. Les Autorités centrales des </w:t>
      </w:r>
      <w:r w:rsidR="00020D21">
        <w:t xml:space="preserve">autres </w:t>
      </w:r>
      <w:r>
        <w:t xml:space="preserve">États concernés doivent, dans la mesure du possible, apporter leur aide et coopérer dans le cadre d’une telle enquête. </w:t>
      </w:r>
    </w:p>
    <w:p w14:paraId="3C95DDDB" w14:textId="77777777" w:rsidR="007936EB" w:rsidRPr="00234852" w:rsidRDefault="007936EB" w:rsidP="009A3B06">
      <w:pPr>
        <w:pStyle w:val="PBParagraphNumber"/>
        <w:numPr>
          <w:ilvl w:val="0"/>
          <w:numId w:val="7"/>
        </w:numPr>
      </w:pPr>
      <w:r>
        <w:t>Selon le type de pratiques illicites présumées, on peut par exemple citer, parmi les premières questions qu’il peut convenir de se poser</w:t>
      </w:r>
      <w:r w:rsidR="00FC19E2" w:rsidRPr="00234852">
        <w:rPr>
          <w:rStyle w:val="FootnoteReference"/>
        </w:rPr>
        <w:footnoteReference w:id="19"/>
      </w:r>
      <w:r>
        <w:t> :</w:t>
      </w:r>
    </w:p>
    <w:p w14:paraId="5C6D01BC" w14:textId="77777777" w:rsidR="007936EB" w:rsidRPr="00234852" w:rsidRDefault="007936EB" w:rsidP="000F4E86">
      <w:pPr>
        <w:pStyle w:val="PBBulletList"/>
      </w:pPr>
      <w:r>
        <w:t xml:space="preserve">Un acte de naissance valide est-il disponible ? </w:t>
      </w:r>
    </w:p>
    <w:p w14:paraId="5CE867B5" w14:textId="77777777" w:rsidR="007936EB" w:rsidRPr="00234852" w:rsidRDefault="007936EB" w:rsidP="000F4E86">
      <w:pPr>
        <w:pStyle w:val="PBBulletList"/>
      </w:pPr>
      <w:r>
        <w:t>L’enfant a-t-il été dûment déclaré adoptable (</w:t>
      </w:r>
      <w:r w:rsidR="00537EE4">
        <w:t xml:space="preserve">CLH, </w:t>
      </w:r>
      <w:r>
        <w:t xml:space="preserve">art. 4) ? </w:t>
      </w:r>
    </w:p>
    <w:p w14:paraId="5ADF5F7F" w14:textId="77777777" w:rsidR="00701076" w:rsidRPr="00234852" w:rsidRDefault="00701076" w:rsidP="00701076">
      <w:pPr>
        <w:pStyle w:val="PBBulletList"/>
      </w:pPr>
      <w:r>
        <w:t xml:space="preserve">Des solutions appropriées de prise en charge familiale et permanente autres que l’adoption internationale ont-elles été envisagées dans l’État d’origine (CLH, art. 4) ? </w:t>
      </w:r>
    </w:p>
    <w:p w14:paraId="465F75AF" w14:textId="77777777" w:rsidR="00701076" w:rsidRPr="00234852" w:rsidRDefault="00701076" w:rsidP="00701076">
      <w:pPr>
        <w:pStyle w:val="PBBulletList"/>
      </w:pPr>
      <w:r>
        <w:t>Les parents d’origine ont-ils été conseillés et dûment informés des conséquences de leur consentement (CLH, art. 4) ?</w:t>
      </w:r>
    </w:p>
    <w:p w14:paraId="57329FA7" w14:textId="77777777" w:rsidR="00701076" w:rsidRPr="00234852" w:rsidRDefault="00701076" w:rsidP="00701076">
      <w:pPr>
        <w:pStyle w:val="PBBulletList"/>
      </w:pPr>
      <w:r>
        <w:t>Les autorités se sont-elles assurées que les consentements n’ont pas été obtenus frauduleusement ou au moyen d’une coercition, d’une incitation d’un paiement ou d’une contrepartie de toute sorte (HC, art. 4) ?</w:t>
      </w:r>
    </w:p>
    <w:p w14:paraId="4C23A4C8" w14:textId="77777777" w:rsidR="007936EB" w:rsidRPr="00234852" w:rsidRDefault="007936EB" w:rsidP="000F4E86">
      <w:pPr>
        <w:pStyle w:val="PBBulletList"/>
      </w:pPr>
      <w:r>
        <w:t>Les FPA et l’enfant résidaient-ils habituellement dans différents États (</w:t>
      </w:r>
      <w:r w:rsidR="00537EE4">
        <w:t xml:space="preserve">CLH, </w:t>
      </w:r>
      <w:r>
        <w:t xml:space="preserve">art. 2) ? </w:t>
      </w:r>
    </w:p>
    <w:p w14:paraId="0E7561B4" w14:textId="77777777" w:rsidR="007936EB" w:rsidRPr="00234852" w:rsidRDefault="007936EB" w:rsidP="000F4E86">
      <w:pPr>
        <w:pStyle w:val="PBBulletList"/>
      </w:pPr>
      <w:r>
        <w:t xml:space="preserve">La procédure </w:t>
      </w:r>
      <w:r w:rsidR="00701076">
        <w:t xml:space="preserve">d’adoption </w:t>
      </w:r>
      <w:r>
        <w:t xml:space="preserve">a-t-elle été suivie dans </w:t>
      </w:r>
      <w:r w:rsidR="00701076">
        <w:t>les États concernés ?</w:t>
      </w:r>
      <w:r>
        <w:t xml:space="preserve"> </w:t>
      </w:r>
    </w:p>
    <w:p w14:paraId="4831F016" w14:textId="77777777" w:rsidR="007936EB" w:rsidRPr="00234852" w:rsidRDefault="007936EB" w:rsidP="000F4E86">
      <w:pPr>
        <w:pStyle w:val="PBBulletList"/>
      </w:pPr>
      <w:r>
        <w:t>Les autorités de l’État d’origine ou d’accueil ont-elles approuvé l’adoption (</w:t>
      </w:r>
      <w:r w:rsidR="00537EE4">
        <w:t xml:space="preserve">CLH, </w:t>
      </w:r>
      <w:r>
        <w:t>art. 17) ?</w:t>
      </w:r>
    </w:p>
    <w:p w14:paraId="3ED45096" w14:textId="77777777" w:rsidR="00186DE1" w:rsidRDefault="00C42636" w:rsidP="007D72C1">
      <w:pPr>
        <w:pStyle w:val="Heading3"/>
        <w:numPr>
          <w:ilvl w:val="1"/>
          <w:numId w:val="14"/>
        </w:numPr>
      </w:pPr>
      <w:bookmarkStart w:id="84" w:name="_Toc61255163"/>
      <w:bookmarkStart w:id="85" w:name="_Toc61616485"/>
      <w:bookmarkStart w:id="86" w:name="_Toc62299532"/>
      <w:bookmarkStart w:id="87" w:name="_Toc62299596"/>
      <w:bookmarkStart w:id="88" w:name="_Toc64621538"/>
      <w:bookmarkStart w:id="89" w:name="_Toc90754804"/>
      <w:bookmarkStart w:id="90" w:name="_Toc100936032"/>
      <w:r>
        <w:t>Différents aspects de l’enquête</w:t>
      </w:r>
      <w:bookmarkEnd w:id="84"/>
      <w:bookmarkEnd w:id="85"/>
      <w:bookmarkEnd w:id="86"/>
      <w:bookmarkEnd w:id="87"/>
      <w:bookmarkEnd w:id="88"/>
      <w:bookmarkEnd w:id="89"/>
      <w:bookmarkEnd w:id="90"/>
    </w:p>
    <w:p w14:paraId="7224671A" w14:textId="77777777" w:rsidR="007936EB" w:rsidRDefault="007936EB" w:rsidP="009A3B06">
      <w:pPr>
        <w:pStyle w:val="PBParagraphNumber"/>
        <w:numPr>
          <w:ilvl w:val="0"/>
          <w:numId w:val="7"/>
        </w:numPr>
      </w:pPr>
      <w:r>
        <w:rPr>
          <w:b/>
          <w:color w:val="0094D2"/>
        </w:rPr>
        <w:t>Examen des pièces</w:t>
      </w:r>
      <w:r w:rsidR="00701076" w:rsidRPr="00234852">
        <w:rPr>
          <w:rStyle w:val="FootnoteReference"/>
        </w:rPr>
        <w:footnoteReference w:id="20"/>
      </w:r>
      <w:r>
        <w:rPr>
          <w:b/>
          <w:color w:val="0094D2"/>
        </w:rPr>
        <w:t> </w:t>
      </w:r>
      <w:r>
        <w:t>: l’autorité chargée de l’enquête doit examiner minutieusement toutes les pièces relatives à l’adoption internationale à la recherche d’éventuelles irrégularités</w:t>
      </w:r>
      <w:r w:rsidR="00701076">
        <w:t>.</w:t>
      </w:r>
      <w:r>
        <w:t xml:space="preserve"> Ce faisant, elle doit s’interroger quant à savoir si le dossier contient des irrégularités ou des informations suggérant que d’autres mesures s’imposent. Un examen de la documentation relative à l’adoption à lui seul peut ne pas faire ressortir d’irrégularités évidentes susceptibles d’être constitutives d’une pratique illicite (c.-à-d. que les informations disponibles dans le dossier peuvent sembler conformes à la pratique et aux procédures établies </w:t>
      </w:r>
      <w:r w:rsidR="00020D21">
        <w:t>en matière d’</w:t>
      </w:r>
      <w:r>
        <w:t xml:space="preserve">adoption dans un État à l’instant T). Il convient néanmoins de procéder à un examen approfondi si, malgré l’existence d’une documentation conforme, des inquiétudes </w:t>
      </w:r>
      <w:r w:rsidR="00502FFB">
        <w:t>raisonnables</w:t>
      </w:r>
      <w:r>
        <w:t xml:space="preserve"> persistent quant à une éventuelle pratique illicite</w:t>
      </w:r>
      <w:r w:rsidR="00701076">
        <w:t>.</w:t>
      </w:r>
      <w:r>
        <w:t xml:space="preserve"> Le type de pratique illicite et les circonstances peuvent suggérer qu’un examen de la documentation dans d’autres dossiers s’impose afin de déterminer si </w:t>
      </w:r>
      <w:r w:rsidR="00731B28">
        <w:t xml:space="preserve">de </w:t>
      </w:r>
      <w:r w:rsidR="00B50A00">
        <w:t>possible pratique</w:t>
      </w:r>
      <w:r w:rsidR="00731B28">
        <w:t>s</w:t>
      </w:r>
      <w:r w:rsidR="00B50A00">
        <w:t xml:space="preserve"> illicite</w:t>
      </w:r>
      <w:r w:rsidR="00731B28">
        <w:t>s</w:t>
      </w:r>
      <w:r w:rsidR="00B50A00">
        <w:t xml:space="preserve"> systémique</w:t>
      </w:r>
      <w:r w:rsidR="00731B28">
        <w:t>s</w:t>
      </w:r>
      <w:r w:rsidR="00B50A00">
        <w:t xml:space="preserve"> </w:t>
      </w:r>
      <w:r>
        <w:t>appara</w:t>
      </w:r>
      <w:r w:rsidR="00731B28">
        <w:t>issen</w:t>
      </w:r>
      <w:r>
        <w:t>t.</w:t>
      </w:r>
    </w:p>
    <w:p w14:paraId="79943DC3" w14:textId="4065B4CB" w:rsidR="007936EB" w:rsidRPr="00234852" w:rsidRDefault="007936EB" w:rsidP="009A3B06">
      <w:pPr>
        <w:pStyle w:val="PBParagraphNumber"/>
        <w:numPr>
          <w:ilvl w:val="0"/>
          <w:numId w:val="7"/>
        </w:numPr>
      </w:pPr>
      <w:r>
        <w:rPr>
          <w:b/>
          <w:color w:val="0094D2"/>
        </w:rPr>
        <w:t>Communication </w:t>
      </w:r>
      <w:r>
        <w:t xml:space="preserve">: l’autorité chargée de l’enquête doit contacter, selon le cas et dans les meilleurs délais, les autorités pertinentes, l’adopté, la </w:t>
      </w:r>
      <w:r w:rsidRPr="007D72C1">
        <w:t xml:space="preserve">famille </w:t>
      </w:r>
      <w:r>
        <w:t xml:space="preserve">d’origine, les (futurs) </w:t>
      </w:r>
      <w:r w:rsidRPr="007D72C1">
        <w:t>parents</w:t>
      </w:r>
      <w:r>
        <w:t xml:space="preserve"> adoptifs, les OAA concernés, les institutions pour enfants et autres acteurs pertinents. Si l’État qui enquête dispose </w:t>
      </w:r>
      <w:r>
        <w:lastRenderedPageBreak/>
        <w:t xml:space="preserve">d’une ambassade ou d’un consulat dans l’autre État concerné, il peut lui être demandé d’apporter son aide, dans toute la mesure du possible. L’entrée en contact avec l’adopté, la famille d’origine, les FPA et la famille adoptive doit se faire de manière prudente et respectueuse. Tout contact avec un enfant doit également être </w:t>
      </w:r>
      <w:r w:rsidR="00046237">
        <w:t xml:space="preserve">adapté à </w:t>
      </w:r>
      <w:r w:rsidR="00A0169E">
        <w:t>ses besoins</w:t>
      </w:r>
      <w:r w:rsidR="007F4F2D">
        <w:t xml:space="preserve"> et </w:t>
      </w:r>
      <w:r w:rsidR="00046237">
        <w:t>compte tenu</w:t>
      </w:r>
      <w:r w:rsidR="007F4F2D">
        <w:t xml:space="preserve"> de son âge</w:t>
      </w:r>
      <w:r w:rsidR="00964E58">
        <w:t>.</w:t>
      </w:r>
    </w:p>
    <w:p w14:paraId="471262A4" w14:textId="77777777" w:rsidR="00701076" w:rsidRPr="00234852" w:rsidRDefault="00701076" w:rsidP="009A3B06">
      <w:pPr>
        <w:pStyle w:val="PBParagraphNumber"/>
        <w:numPr>
          <w:ilvl w:val="0"/>
          <w:numId w:val="7"/>
        </w:numPr>
      </w:pPr>
      <w:r>
        <w:rPr>
          <w:b/>
          <w:color w:val="0094D2"/>
        </w:rPr>
        <w:t>Conservation des dossiers </w:t>
      </w:r>
      <w:r>
        <w:t>: peu importe l’issue de l’enquête, les informations et les dossiers y afférents doivent toujours être documentés, enregistrés et conservés (si possible, indéfiniment) par l’autorité chargée de l’enquête. Ces informations pourraient s’avérer être utiles dans d’éventuelles affaires futures et seront importantes pour les personnes impliquées</w:t>
      </w:r>
      <w:r w:rsidRPr="00234852">
        <w:rPr>
          <w:rStyle w:val="FootnoteReference"/>
        </w:rPr>
        <w:footnoteReference w:id="21"/>
      </w:r>
      <w:r>
        <w:t>. De même, toute information et tout dossier reçus par un État au cours d’une enquête menée dans un autre État doivent être documentés, enregistrés et conservés.</w:t>
      </w:r>
    </w:p>
    <w:p w14:paraId="275F10B6" w14:textId="77777777" w:rsidR="00701076" w:rsidRDefault="00701076" w:rsidP="009A3B06">
      <w:pPr>
        <w:pStyle w:val="PBParagraphNumber"/>
        <w:numPr>
          <w:ilvl w:val="0"/>
          <w:numId w:val="7"/>
        </w:numPr>
      </w:pPr>
      <w:r>
        <w:rPr>
          <w:b/>
          <w:color w:val="0094D2"/>
        </w:rPr>
        <w:t>Vérification de l’identité </w:t>
      </w:r>
      <w:r>
        <w:t>: selon les circonstances et si nécessaire, des tests ADN</w:t>
      </w:r>
      <w:r w:rsidRPr="00234852">
        <w:rPr>
          <w:rStyle w:val="FootnoteReference"/>
        </w:rPr>
        <w:footnoteReference w:id="22"/>
      </w:r>
      <w:r>
        <w:t xml:space="preserve"> pourraient être réalisés pour vérifier l’identité de l’enfant et des </w:t>
      </w:r>
      <w:r w:rsidRPr="007D72C1">
        <w:t xml:space="preserve">parents (/famille) </w:t>
      </w:r>
      <w:r>
        <w:t xml:space="preserve">d’origine. </w:t>
      </w:r>
    </w:p>
    <w:p w14:paraId="0510D583" w14:textId="77777777" w:rsidR="007936EB" w:rsidRDefault="007936EB" w:rsidP="009A3B06">
      <w:pPr>
        <w:pStyle w:val="PBParagraphNumber"/>
        <w:numPr>
          <w:ilvl w:val="0"/>
          <w:numId w:val="7"/>
        </w:numPr>
      </w:pPr>
      <w:r>
        <w:rPr>
          <w:b/>
          <w:color w:val="0094D2"/>
        </w:rPr>
        <w:t>Renvoi de l’affaire aux forces de l’ordre </w:t>
      </w:r>
      <w:r>
        <w:t xml:space="preserve">: toute affaire dans laquelle </w:t>
      </w:r>
      <w:r w:rsidR="00701076">
        <w:t>d’éventuelles</w:t>
      </w:r>
      <w:r>
        <w:t xml:space="preserve"> activités criminelles sont présumées doit être renvoyée aux forces de l’ordre.</w:t>
      </w:r>
    </w:p>
    <w:p w14:paraId="71DBA953" w14:textId="77777777" w:rsidR="00F95DAA" w:rsidRDefault="00F95DAA" w:rsidP="00F95DAA">
      <w:pPr>
        <w:pStyle w:val="PBParagraphNumber"/>
        <w:numPr>
          <w:ilvl w:val="0"/>
          <w:numId w:val="1"/>
        </w:numPr>
      </w:pPr>
      <w:r>
        <w:t xml:space="preserve">Demande à un autre État qu’il </w:t>
      </w:r>
      <w:r w:rsidR="00057724">
        <w:t xml:space="preserve">fasse une </w:t>
      </w:r>
      <w:r w:rsidR="00C521AF">
        <w:t xml:space="preserve">requête ou </w:t>
      </w:r>
      <w:r>
        <w:t xml:space="preserve">procède </w:t>
      </w:r>
      <w:r w:rsidRPr="007D72C1">
        <w:t>à une enquête </w:t>
      </w:r>
      <w:r>
        <w:t xml:space="preserve">: l’Autorité centrale ou l’autorité compétente chargée de l’enquête peut demander à l’autre État concerné </w:t>
      </w:r>
      <w:r w:rsidR="00634834">
        <w:t xml:space="preserve">qu’il fasse une requête ou </w:t>
      </w:r>
      <w:r>
        <w:t>qu’il enquête sur les circonstances entourant les inquiétudes ou les allégations concernant une pratique illicite</w:t>
      </w:r>
      <w:r w:rsidRPr="00234852">
        <w:rPr>
          <w:rStyle w:val="FootnoteReference"/>
        </w:rPr>
        <w:footnoteReference w:id="23"/>
      </w:r>
      <w:r>
        <w:t xml:space="preserve">. Le cas échéant, l’enquête doit se dérouler </w:t>
      </w:r>
      <w:r>
        <w:rPr>
          <w:b/>
          <w:bCs/>
        </w:rPr>
        <w:t>tant</w:t>
      </w:r>
      <w:r>
        <w:t xml:space="preserve"> dans l’</w:t>
      </w:r>
      <w:r>
        <w:rPr>
          <w:b/>
          <w:bCs/>
        </w:rPr>
        <w:t>État d’origine</w:t>
      </w:r>
      <w:r>
        <w:t xml:space="preserve"> que dans l’</w:t>
      </w:r>
      <w:r>
        <w:rPr>
          <w:b/>
          <w:bCs/>
        </w:rPr>
        <w:t>État d’accueil.</w:t>
      </w:r>
      <w:r>
        <w:t xml:space="preserve"> Auquel cas et si possible, les États concernés doivent envisager de </w:t>
      </w:r>
      <w:r>
        <w:rPr>
          <w:b/>
          <w:bCs/>
        </w:rPr>
        <w:t>collaborer</w:t>
      </w:r>
      <w:r>
        <w:t xml:space="preserve"> dans le cadre de leurs enquêtes respectives.</w:t>
      </w:r>
    </w:p>
    <w:p w14:paraId="12FBD1D6" w14:textId="77777777" w:rsidR="007936EB" w:rsidRDefault="007936EB" w:rsidP="009A3B06">
      <w:pPr>
        <w:pStyle w:val="PBParagraphNumber"/>
        <w:numPr>
          <w:ilvl w:val="0"/>
          <w:numId w:val="7"/>
        </w:numPr>
      </w:pPr>
      <w:r>
        <w:rPr>
          <w:b/>
          <w:color w:val="0094D2"/>
        </w:rPr>
        <w:t>Suspension du programme d’adoption internationale </w:t>
      </w:r>
      <w:r>
        <w:t xml:space="preserve">: en fonction des circonstances, du type et de la </w:t>
      </w:r>
      <w:r w:rsidRPr="007D72C1">
        <w:t xml:space="preserve">gravité </w:t>
      </w:r>
      <w:r>
        <w:t>de la pratique illicite présumée, les États doivent envisager de suspendre leur programme d’adoption internationale avec l’État concerné, p</w:t>
      </w:r>
      <w:r w:rsidR="00B003A8">
        <w:t>our</w:t>
      </w:r>
      <w:r>
        <w:t xml:space="preserve"> la durée de l’enquête. </w:t>
      </w:r>
    </w:p>
    <w:p w14:paraId="61ADBBCF" w14:textId="77777777" w:rsidR="007936EB" w:rsidRDefault="007936EB" w:rsidP="009A3B06">
      <w:pPr>
        <w:pStyle w:val="PBParagraphNumber"/>
        <w:numPr>
          <w:ilvl w:val="0"/>
          <w:numId w:val="7"/>
        </w:numPr>
      </w:pPr>
      <w:r>
        <w:rPr>
          <w:b/>
          <w:color w:val="0094D2"/>
        </w:rPr>
        <w:t xml:space="preserve">Suspension de l’agrément </w:t>
      </w:r>
      <w:r w:rsidR="005737FB">
        <w:rPr>
          <w:b/>
          <w:color w:val="0094D2"/>
        </w:rPr>
        <w:t>et / ou</w:t>
      </w:r>
      <w:r>
        <w:rPr>
          <w:b/>
          <w:color w:val="0094D2"/>
        </w:rPr>
        <w:t xml:space="preserve"> des autorisations des OAA </w:t>
      </w:r>
      <w:r>
        <w:t xml:space="preserve">: en fonction des circonstances, du type et de la gravité de la pratique illicite présumée, les États doivent envisager de suspendre les autorisations </w:t>
      </w:r>
      <w:r w:rsidR="005737FB">
        <w:t>et / ou</w:t>
      </w:r>
      <w:r>
        <w:t xml:space="preserve"> l’agrément des OAA soupçonnés d’être impliqués.</w:t>
      </w:r>
    </w:p>
    <w:p w14:paraId="610ACF76" w14:textId="77777777" w:rsidR="001D0511" w:rsidRPr="006D612A" w:rsidRDefault="001D0511" w:rsidP="00EC5291">
      <w:pPr>
        <w:pStyle w:val="PBParagraphNumber"/>
        <w:numPr>
          <w:ilvl w:val="0"/>
          <w:numId w:val="0"/>
        </w:numPr>
        <w:shd w:val="clear" w:color="auto" w:fill="DEE9D3"/>
        <w:ind w:left="567"/>
        <w:jc w:val="center"/>
        <w:rPr>
          <w:b/>
          <w:color w:val="515C1D"/>
          <w:sz w:val="6"/>
          <w:szCs w:val="6"/>
        </w:rPr>
      </w:pPr>
    </w:p>
    <w:p w14:paraId="76C5C4D8" w14:textId="77777777" w:rsidR="001D0511" w:rsidRPr="00DD776F" w:rsidRDefault="001D0511" w:rsidP="00EC5291">
      <w:pPr>
        <w:pStyle w:val="PBParagraphNumber"/>
        <w:numPr>
          <w:ilvl w:val="0"/>
          <w:numId w:val="0"/>
        </w:numPr>
        <w:shd w:val="clear" w:color="auto" w:fill="DEE9D3"/>
        <w:ind w:left="567"/>
        <w:jc w:val="center"/>
        <w:rPr>
          <w:b/>
          <w:color w:val="006600"/>
        </w:rPr>
      </w:pPr>
      <w:r>
        <w:rPr>
          <w:b/>
          <w:color w:val="006600"/>
        </w:rPr>
        <w:t>Par ailleurs, en cas de pratiques illicites</w:t>
      </w:r>
      <w:r w:rsidR="00121BDD">
        <w:rPr>
          <w:b/>
          <w:color w:val="006600"/>
        </w:rPr>
        <w:t xml:space="preserve"> systémiques</w:t>
      </w:r>
      <w:r w:rsidR="00701076">
        <w:rPr>
          <w:b/>
          <w:color w:val="006600"/>
        </w:rPr>
        <w:t xml:space="preserve"> (présumées)</w:t>
      </w:r>
      <w:r>
        <w:rPr>
          <w:b/>
          <w:color w:val="006600"/>
        </w:rPr>
        <w:t> :</w:t>
      </w:r>
    </w:p>
    <w:p w14:paraId="1C1D90A7" w14:textId="77777777" w:rsidR="00701076" w:rsidRPr="007D72C1" w:rsidRDefault="00701076" w:rsidP="00701076">
      <w:pPr>
        <w:pStyle w:val="PBBulletList"/>
        <w:shd w:val="clear" w:color="auto" w:fill="DEE9D3"/>
        <w:rPr>
          <w:color w:val="006600"/>
        </w:rPr>
      </w:pPr>
      <w:r w:rsidRPr="007D72C1">
        <w:rPr>
          <w:color w:val="006600"/>
        </w:rPr>
        <w:t>L’</w:t>
      </w:r>
      <w:r w:rsidRPr="007D72C1">
        <w:rPr>
          <w:b/>
          <w:color w:val="006600"/>
        </w:rPr>
        <w:t>enquête</w:t>
      </w:r>
      <w:r w:rsidRPr="007D72C1">
        <w:rPr>
          <w:color w:val="006600"/>
        </w:rPr>
        <w:t xml:space="preserve"> peut être menée spécialement pour chaque cas </w:t>
      </w:r>
      <w:r w:rsidRPr="007D72C1">
        <w:rPr>
          <w:b/>
          <w:color w:val="006600"/>
        </w:rPr>
        <w:t>individuel</w:t>
      </w:r>
      <w:r w:rsidRPr="007D72C1">
        <w:rPr>
          <w:color w:val="006600"/>
        </w:rPr>
        <w:t xml:space="preserve"> ou de manière </w:t>
      </w:r>
      <w:r w:rsidRPr="007D72C1">
        <w:rPr>
          <w:b/>
          <w:color w:val="006600"/>
        </w:rPr>
        <w:t>collective</w:t>
      </w:r>
      <w:r w:rsidRPr="007D72C1">
        <w:rPr>
          <w:color w:val="006600"/>
        </w:rPr>
        <w:t xml:space="preserve"> pour tous les cas relevant d’une même pratique illicite systémique, en tenant compte des options disponibles dans l’État ou les États concernés. </w:t>
      </w:r>
    </w:p>
    <w:p w14:paraId="354305A6" w14:textId="57B6E868" w:rsidR="00701076" w:rsidRPr="00DD776F" w:rsidRDefault="00701076" w:rsidP="00701076">
      <w:pPr>
        <w:pStyle w:val="PBBulletList"/>
        <w:shd w:val="clear" w:color="auto" w:fill="DEE9D3"/>
        <w:spacing w:after="0"/>
        <w:ind w:left="1124" w:hanging="562"/>
        <w:rPr>
          <w:color w:val="006600"/>
        </w:rPr>
      </w:pPr>
      <w:r>
        <w:rPr>
          <w:color w:val="006600"/>
        </w:rPr>
        <w:t>[Quelques États ont mis en place, ou mettent actuellement en place</w:t>
      </w:r>
      <w:r w:rsidR="00AD604B" w:rsidRPr="007D72C1">
        <w:rPr>
          <w:color w:val="006600"/>
        </w:rPr>
        <w:t>,</w:t>
      </w:r>
      <w:r>
        <w:rPr>
          <w:color w:val="006600"/>
        </w:rPr>
        <w:t xml:space="preserve"> des procédures gouvernementales (par ex. une Commission) en vue d’enquêter sur les pratiques illicites systémiques</w:t>
      </w:r>
      <w:r w:rsidRPr="007D72C1">
        <w:rPr>
          <w:rStyle w:val="FootnoteReference"/>
          <w:color w:val="006600"/>
        </w:rPr>
        <w:footnoteReference w:id="24"/>
      </w:r>
      <w:r>
        <w:rPr>
          <w:color w:val="006600"/>
        </w:rPr>
        <w:t>.]</w:t>
      </w:r>
      <w:bookmarkStart w:id="91" w:name="_Ref94009506"/>
      <w:r w:rsidRPr="007D72C1">
        <w:rPr>
          <w:rStyle w:val="FootnoteReference"/>
          <w:color w:val="006600"/>
        </w:rPr>
        <w:footnoteReference w:id="25"/>
      </w:r>
      <w:bookmarkEnd w:id="91"/>
    </w:p>
    <w:p w14:paraId="673C86DF" w14:textId="77777777" w:rsidR="001D0511" w:rsidRPr="00333844" w:rsidRDefault="001D0511" w:rsidP="00701076">
      <w:pPr>
        <w:pStyle w:val="PBParagraphNumber"/>
        <w:numPr>
          <w:ilvl w:val="0"/>
          <w:numId w:val="0"/>
        </w:numPr>
        <w:shd w:val="clear" w:color="auto" w:fill="DAE5D8"/>
        <w:ind w:left="567"/>
        <w:jc w:val="center"/>
        <w:rPr>
          <w:sz w:val="6"/>
          <w:szCs w:val="6"/>
        </w:rPr>
      </w:pPr>
    </w:p>
    <w:p w14:paraId="180F037D" w14:textId="77777777" w:rsidR="001D0511" w:rsidRDefault="001D0511" w:rsidP="007D72C1">
      <w:pPr>
        <w:pStyle w:val="Heading3"/>
        <w:numPr>
          <w:ilvl w:val="1"/>
          <w:numId w:val="14"/>
        </w:numPr>
      </w:pPr>
      <w:bookmarkStart w:id="92" w:name="_Toc61255164"/>
      <w:bookmarkStart w:id="93" w:name="_Toc61616486"/>
      <w:bookmarkStart w:id="94" w:name="_Toc62299533"/>
      <w:bookmarkStart w:id="95" w:name="_Toc62299597"/>
      <w:bookmarkStart w:id="96" w:name="_Toc64621539"/>
      <w:bookmarkStart w:id="97" w:name="_Toc90754805"/>
      <w:bookmarkStart w:id="98" w:name="_Toc100936033"/>
      <w:r>
        <w:lastRenderedPageBreak/>
        <w:t>Détection de la pratique illicite potentielle et évaluation de sa nature et de sa gravité</w:t>
      </w:r>
      <w:bookmarkEnd w:id="92"/>
      <w:bookmarkEnd w:id="93"/>
      <w:bookmarkEnd w:id="94"/>
      <w:bookmarkEnd w:id="95"/>
      <w:bookmarkEnd w:id="96"/>
      <w:bookmarkEnd w:id="97"/>
      <w:bookmarkEnd w:id="98"/>
    </w:p>
    <w:p w14:paraId="13058A29" w14:textId="4C0022B8" w:rsidR="0092434E" w:rsidRDefault="00B61935" w:rsidP="009A3B06">
      <w:pPr>
        <w:pStyle w:val="PBParagraphNumber"/>
        <w:numPr>
          <w:ilvl w:val="0"/>
          <w:numId w:val="7"/>
        </w:numPr>
      </w:pPr>
      <w:r>
        <w:t>De manière générale à</w:t>
      </w:r>
      <w:r w:rsidR="001D0511">
        <w:t xml:space="preserve"> l’issue de l’enquête, l’autorité qui en est chargée doit être en mesure de déterminer </w:t>
      </w:r>
      <w:r w:rsidR="00701076">
        <w:t>s</w:t>
      </w:r>
      <w:r w:rsidR="009A108D" w:rsidRPr="007D72C1">
        <w:t>i</w:t>
      </w:r>
      <w:r w:rsidR="001D0511">
        <w:t xml:space="preserve"> une pratique illicite</w:t>
      </w:r>
      <w:r w:rsidR="009A108D" w:rsidRPr="007D72C1">
        <w:t xml:space="preserve"> est survenue</w:t>
      </w:r>
      <w:r w:rsidR="001D0511">
        <w:t xml:space="preserve"> selon la loi de l’État qui enquête</w:t>
      </w:r>
      <w:r w:rsidR="00BA564A" w:rsidRPr="00234852">
        <w:rPr>
          <w:rStyle w:val="FootnoteReference"/>
        </w:rPr>
        <w:footnoteReference w:id="26"/>
      </w:r>
      <w:r w:rsidR="001D0511">
        <w:t xml:space="preserve">, ainsi que la nature et la gravité de celle-ci. </w:t>
      </w:r>
      <w:r w:rsidR="00701076">
        <w:t>Si une pratique illicite est effectivement survenue, ces</w:t>
      </w:r>
      <w:r w:rsidR="001D0511">
        <w:t xml:space="preserve"> informations seront cruciales pour déterminer les </w:t>
      </w:r>
      <w:r w:rsidR="001D0511">
        <w:rPr>
          <w:b/>
          <w:bCs/>
        </w:rPr>
        <w:t xml:space="preserve">futures mesures </w:t>
      </w:r>
      <w:r w:rsidR="001D0511">
        <w:t xml:space="preserve">qui </w:t>
      </w:r>
      <w:r w:rsidR="001D0511" w:rsidRPr="007D72C1">
        <w:t>s’imposent</w:t>
      </w:r>
      <w:r w:rsidR="001D0511">
        <w:t>, y compris quant à savoir si des sanctions administratives ou pénales s’appliquent.</w:t>
      </w:r>
      <w:r w:rsidR="0092434E">
        <w:br w:type="page"/>
      </w:r>
    </w:p>
    <w:p w14:paraId="5691FFC4" w14:textId="77777777" w:rsidR="0092434E" w:rsidRPr="003969BB" w:rsidRDefault="00633B00" w:rsidP="007D72C1">
      <w:pPr>
        <w:pStyle w:val="Heading2"/>
      </w:pPr>
      <w:bookmarkStart w:id="99" w:name="_Toc61255165"/>
      <w:bookmarkStart w:id="100" w:name="_Toc61616487"/>
      <w:bookmarkStart w:id="101" w:name="_Toc62299534"/>
      <w:bookmarkStart w:id="102" w:name="_Toc62299598"/>
      <w:bookmarkStart w:id="103" w:name="_Toc64621540"/>
      <w:bookmarkStart w:id="104" w:name="_Toc90754806"/>
      <w:bookmarkStart w:id="105" w:name="_Toc100936034"/>
      <w:r w:rsidRPr="003969BB">
        <w:lastRenderedPageBreak/>
        <w:t xml:space="preserve">AU MOMENT OPPORTUN : </w:t>
      </w:r>
      <w:r>
        <w:t>INFORMATION</w:t>
      </w:r>
      <w:r w:rsidRPr="003969BB">
        <w:t xml:space="preserve"> des autorités, organismes et personnes concernés</w:t>
      </w:r>
      <w:bookmarkEnd w:id="99"/>
      <w:bookmarkEnd w:id="100"/>
      <w:bookmarkEnd w:id="101"/>
      <w:bookmarkEnd w:id="102"/>
      <w:bookmarkEnd w:id="103"/>
      <w:bookmarkEnd w:id="104"/>
      <w:bookmarkEnd w:id="105"/>
    </w:p>
    <w:p w14:paraId="3A0DD6DF" w14:textId="77777777" w:rsidR="00D77856" w:rsidRPr="00234852" w:rsidRDefault="00D77856" w:rsidP="009A3B06">
      <w:pPr>
        <w:pStyle w:val="PBParagraphNumber"/>
        <w:numPr>
          <w:ilvl w:val="0"/>
          <w:numId w:val="7"/>
        </w:numPr>
      </w:pPr>
      <w:r>
        <w:t>La communication, la coopération et la coordination entre les homologues pertinents (par ex. Autorités centrales, autorités compétentes, forces de l’ordre) au sein d’un État, ainsi qu’entre les États concernés, doivent survenir tout au long de la procédure visant à répondre à une pratique illicite</w:t>
      </w:r>
      <w:r w:rsidR="00E60C79" w:rsidRPr="00234852">
        <w:rPr>
          <w:rStyle w:val="FootnoteReference"/>
        </w:rPr>
        <w:footnoteReference w:id="27"/>
      </w:r>
      <w:r>
        <w:t xml:space="preserve">. </w:t>
      </w:r>
      <w:r w:rsidR="00701076">
        <w:t>Afin de faciliter la communication, l’Autorité centrale peut désigner une personne ou un organe qui servira de point</w:t>
      </w:r>
      <w:r>
        <w:t xml:space="preserve"> de contact pour toutes les questions ayant trait aux pratiques illicites.</w:t>
      </w:r>
    </w:p>
    <w:p w14:paraId="3FF90C97" w14:textId="7F00EC0A" w:rsidR="00D77856" w:rsidRDefault="00B45C97" w:rsidP="00B45C97">
      <w:pPr>
        <w:pStyle w:val="Heading3"/>
      </w:pPr>
      <w:bookmarkStart w:id="106" w:name="_Toc61255166"/>
      <w:bookmarkStart w:id="107" w:name="_Toc61616488"/>
      <w:bookmarkStart w:id="108" w:name="_Toc62299535"/>
      <w:bookmarkStart w:id="109" w:name="_Toc62299599"/>
      <w:bookmarkStart w:id="110" w:name="_Toc64621541"/>
      <w:bookmarkStart w:id="111" w:name="_Toc90754807"/>
      <w:bookmarkStart w:id="112" w:name="_Toc100936035"/>
      <w:r>
        <w:t>5.1.</w:t>
      </w:r>
      <w:r>
        <w:tab/>
      </w:r>
      <w:r w:rsidR="00D77856">
        <w:t>Échange d’informations entre Autorités centrales des différents États</w:t>
      </w:r>
      <w:bookmarkEnd w:id="106"/>
      <w:bookmarkEnd w:id="107"/>
      <w:bookmarkEnd w:id="108"/>
      <w:bookmarkEnd w:id="109"/>
      <w:bookmarkEnd w:id="110"/>
      <w:bookmarkEnd w:id="111"/>
      <w:bookmarkEnd w:id="112"/>
    </w:p>
    <w:p w14:paraId="5064E60E" w14:textId="77777777" w:rsidR="00701076" w:rsidRPr="00234852" w:rsidRDefault="00701076" w:rsidP="009A3B06">
      <w:pPr>
        <w:pStyle w:val="PBParagraphNumber"/>
        <w:numPr>
          <w:ilvl w:val="0"/>
          <w:numId w:val="7"/>
        </w:numPr>
      </w:pPr>
      <w:r>
        <w:t>Les Autorités centrales des États d’origine et d’accueil doivent, dans la mesure du possible et à moins que cela ne soit pas approprié en raison des circonstances particulières, s’informer mutuellement dès qu’elles ont connaissance d’une information sur la pratique illicite présumée et / ou dès que les circonstances particulières de l’espèce le permettent. Par la suite, les Autorités centrales doivent se tenir informées des avancées de l’enquête et des réponses apportées à la pratique illicite. Elles peuvent aussi envisager une réunion, à des fins de coopération et d’échange d’informations dans le cadre de l’enquête (voir Partie V – Lignes directrices).</w:t>
      </w:r>
    </w:p>
    <w:p w14:paraId="49DA81D3" w14:textId="77777777" w:rsidR="0040337E" w:rsidRPr="006D612A" w:rsidRDefault="0040337E" w:rsidP="00701076">
      <w:pPr>
        <w:pStyle w:val="PBParagraphNumber"/>
        <w:numPr>
          <w:ilvl w:val="0"/>
          <w:numId w:val="0"/>
        </w:numPr>
        <w:shd w:val="clear" w:color="auto" w:fill="C3EDFF"/>
        <w:ind w:left="567"/>
        <w:jc w:val="center"/>
        <w:rPr>
          <w:b/>
          <w:color w:val="0069B4"/>
          <w:sz w:val="6"/>
          <w:szCs w:val="6"/>
        </w:rPr>
      </w:pPr>
    </w:p>
    <w:p w14:paraId="5EB35437" w14:textId="77777777" w:rsidR="0040337E" w:rsidRPr="00900E1F" w:rsidRDefault="0040337E" w:rsidP="00701076">
      <w:pPr>
        <w:pStyle w:val="PBParagraphNumber"/>
        <w:numPr>
          <w:ilvl w:val="0"/>
          <w:numId w:val="0"/>
        </w:numPr>
        <w:shd w:val="clear" w:color="auto" w:fill="C3EDFF"/>
        <w:ind w:left="567"/>
        <w:jc w:val="center"/>
        <w:rPr>
          <w:b/>
          <w:color w:val="0070C0"/>
        </w:rPr>
      </w:pPr>
      <w:r>
        <w:rPr>
          <w:b/>
          <w:color w:val="0070C0"/>
        </w:rPr>
        <w:t>Convention Adoption de 1993</w:t>
      </w:r>
    </w:p>
    <w:p w14:paraId="20B2B6A5" w14:textId="77777777" w:rsidR="00D4191F" w:rsidRPr="00900E1F" w:rsidRDefault="00D4191F" w:rsidP="00701076">
      <w:pPr>
        <w:pStyle w:val="PBParagraphNumber"/>
        <w:numPr>
          <w:ilvl w:val="0"/>
          <w:numId w:val="0"/>
        </w:numPr>
        <w:shd w:val="clear" w:color="auto" w:fill="C3EDFF"/>
        <w:ind w:left="567"/>
        <w:rPr>
          <w:color w:val="0070C0"/>
        </w:rPr>
      </w:pPr>
      <w:r>
        <w:rPr>
          <w:color w:val="0070C0"/>
        </w:rPr>
        <w:t xml:space="preserve">« [Les Autorités centrales] prennent directement toutes mesures appropriées pour [...] </w:t>
      </w:r>
      <w:r>
        <w:rPr>
          <w:b/>
          <w:bCs/>
          <w:color w:val="0070C0"/>
        </w:rPr>
        <w:t>s’informer mutuellement</w:t>
      </w:r>
      <w:r>
        <w:rPr>
          <w:color w:val="0070C0"/>
        </w:rPr>
        <w:t xml:space="preserve"> sur le </w:t>
      </w:r>
      <w:r>
        <w:rPr>
          <w:b/>
          <w:bCs/>
          <w:color w:val="0070C0"/>
        </w:rPr>
        <w:t>fonctionnement</w:t>
      </w:r>
      <w:r>
        <w:rPr>
          <w:color w:val="0070C0"/>
        </w:rPr>
        <w:t xml:space="preserve"> de la Convention et, dans la mesure du possible,</w:t>
      </w:r>
      <w:r>
        <w:rPr>
          <w:b/>
          <w:bCs/>
          <w:color w:val="0070C0"/>
        </w:rPr>
        <w:t xml:space="preserve"> lever les obstacles</w:t>
      </w:r>
      <w:r>
        <w:rPr>
          <w:color w:val="0070C0"/>
        </w:rPr>
        <w:t xml:space="preserve"> à son application</w:t>
      </w:r>
      <w:r w:rsidR="00B57DFA">
        <w:rPr>
          <w:color w:val="0070C0"/>
        </w:rPr>
        <w:t>.</w:t>
      </w:r>
      <w:r>
        <w:rPr>
          <w:color w:val="0070C0"/>
        </w:rPr>
        <w:t> » (art. 7(2)(b))</w:t>
      </w:r>
    </w:p>
    <w:p w14:paraId="0315AAAB" w14:textId="77777777" w:rsidR="00701076" w:rsidRPr="00900E1F" w:rsidRDefault="00701076" w:rsidP="00701076">
      <w:pPr>
        <w:pStyle w:val="PBParagraphNumber"/>
        <w:numPr>
          <w:ilvl w:val="0"/>
          <w:numId w:val="0"/>
        </w:numPr>
        <w:shd w:val="clear" w:color="auto" w:fill="C3EDFF"/>
        <w:ind w:left="567"/>
        <w:rPr>
          <w:color w:val="0070C0"/>
        </w:rPr>
      </w:pPr>
      <w:r>
        <w:rPr>
          <w:color w:val="0070C0"/>
        </w:rPr>
        <w:t xml:space="preserve">« Les Autorités centrales prennent, soit directement, soit avec le concours d’autorités publiques ou d’organismes dûment agréés dans leur [É]tat, toutes mesures appropriées, notamment pour [...] </w:t>
      </w:r>
      <w:r>
        <w:rPr>
          <w:b/>
          <w:color w:val="0070C0"/>
        </w:rPr>
        <w:t>répondre</w:t>
      </w:r>
      <w:r>
        <w:rPr>
          <w:color w:val="0070C0"/>
        </w:rPr>
        <w:t>, dans la mesure permise par la loi de leur [É]tat, aux demandes motivées d’</w:t>
      </w:r>
      <w:r>
        <w:rPr>
          <w:b/>
          <w:color w:val="0070C0"/>
        </w:rPr>
        <w:t>informations</w:t>
      </w:r>
      <w:r>
        <w:rPr>
          <w:color w:val="0070C0"/>
        </w:rPr>
        <w:t xml:space="preserve"> sur une </w:t>
      </w:r>
      <w:r>
        <w:rPr>
          <w:b/>
          <w:color w:val="0070C0"/>
        </w:rPr>
        <w:t>situation</w:t>
      </w:r>
      <w:r>
        <w:rPr>
          <w:color w:val="0070C0"/>
        </w:rPr>
        <w:t xml:space="preserve"> </w:t>
      </w:r>
      <w:r>
        <w:rPr>
          <w:b/>
          <w:color w:val="0070C0"/>
        </w:rPr>
        <w:t>particulière</w:t>
      </w:r>
      <w:r>
        <w:rPr>
          <w:color w:val="0070C0"/>
        </w:rPr>
        <w:t xml:space="preserve"> d’adoption formulées par d’autres Autorités centrales ou par des autorités publiques. » (art. 9(e))</w:t>
      </w:r>
    </w:p>
    <w:p w14:paraId="7141039D" w14:textId="77777777" w:rsidR="00701076" w:rsidRPr="00333844" w:rsidRDefault="00701076" w:rsidP="00701076">
      <w:pPr>
        <w:pStyle w:val="PBParagraphNumber"/>
        <w:numPr>
          <w:ilvl w:val="0"/>
          <w:numId w:val="0"/>
        </w:numPr>
        <w:shd w:val="clear" w:color="auto" w:fill="C3EDFF"/>
        <w:ind w:left="567"/>
        <w:rPr>
          <w:sz w:val="6"/>
          <w:szCs w:val="6"/>
        </w:rPr>
      </w:pPr>
    </w:p>
    <w:p w14:paraId="66347F4B" w14:textId="77777777" w:rsidR="00701076" w:rsidRPr="0040337E" w:rsidRDefault="00701076" w:rsidP="00701076">
      <w:pPr>
        <w:pStyle w:val="PBParagraphNumber"/>
        <w:numPr>
          <w:ilvl w:val="0"/>
          <w:numId w:val="0"/>
        </w:numPr>
        <w:spacing w:after="0"/>
        <w:ind w:left="567" w:hanging="567"/>
        <w:rPr>
          <w:sz w:val="10"/>
          <w:szCs w:val="10"/>
        </w:rPr>
      </w:pPr>
    </w:p>
    <w:p w14:paraId="07044853" w14:textId="77777777" w:rsidR="00701076" w:rsidRPr="006D612A" w:rsidRDefault="00701076" w:rsidP="00701076">
      <w:pPr>
        <w:pStyle w:val="PBParagraphNumber"/>
        <w:numPr>
          <w:ilvl w:val="0"/>
          <w:numId w:val="0"/>
        </w:numPr>
        <w:shd w:val="clear" w:color="auto" w:fill="DEE9D3"/>
        <w:ind w:left="567"/>
        <w:jc w:val="center"/>
        <w:rPr>
          <w:b/>
          <w:color w:val="515C1D"/>
          <w:sz w:val="6"/>
          <w:szCs w:val="6"/>
        </w:rPr>
      </w:pPr>
    </w:p>
    <w:p w14:paraId="4A575718" w14:textId="77777777" w:rsidR="00701076" w:rsidRPr="00A974CF" w:rsidRDefault="00701076" w:rsidP="00701076">
      <w:pPr>
        <w:pStyle w:val="PBParagraphNumber"/>
        <w:numPr>
          <w:ilvl w:val="0"/>
          <w:numId w:val="0"/>
        </w:numPr>
        <w:shd w:val="clear" w:color="auto" w:fill="DEE9D3"/>
        <w:ind w:left="567"/>
        <w:jc w:val="center"/>
        <w:rPr>
          <w:b/>
          <w:bCs/>
          <w:color w:val="006600"/>
        </w:rPr>
      </w:pPr>
      <w:r>
        <w:rPr>
          <w:b/>
          <w:color w:val="006600"/>
        </w:rPr>
        <w:t>Par ailleurs, en cas de pratiques illicites systémiques (présumées) :</w:t>
      </w:r>
    </w:p>
    <w:p w14:paraId="13B4FD60" w14:textId="77777777" w:rsidR="00701076" w:rsidRPr="00A974CF" w:rsidRDefault="00701076" w:rsidP="00701076">
      <w:pPr>
        <w:pStyle w:val="PBParagraphNumber"/>
        <w:numPr>
          <w:ilvl w:val="0"/>
          <w:numId w:val="0"/>
        </w:numPr>
        <w:shd w:val="clear" w:color="auto" w:fill="DEE9D3"/>
        <w:ind w:left="567"/>
        <w:rPr>
          <w:color w:val="006600"/>
        </w:rPr>
      </w:pPr>
      <w:r>
        <w:rPr>
          <w:color w:val="006600"/>
        </w:rPr>
        <w:t xml:space="preserve">Les Autorités centrales impliquées peuvent </w:t>
      </w:r>
      <w:r>
        <w:rPr>
          <w:b/>
          <w:color w:val="006600"/>
        </w:rPr>
        <w:t>contacter</w:t>
      </w:r>
      <w:r>
        <w:rPr>
          <w:color w:val="006600"/>
        </w:rPr>
        <w:t xml:space="preserve"> </w:t>
      </w:r>
      <w:r>
        <w:rPr>
          <w:b/>
          <w:bCs/>
          <w:color w:val="006600"/>
        </w:rPr>
        <w:t>d’</w:t>
      </w:r>
      <w:r>
        <w:rPr>
          <w:b/>
          <w:color w:val="006600"/>
        </w:rPr>
        <w:t>autres Autorités centrales concernées</w:t>
      </w:r>
      <w:r>
        <w:rPr>
          <w:color w:val="006600"/>
        </w:rPr>
        <w:t xml:space="preserve"> en temps utile et de manière appropriée. À titre d’exemple :</w:t>
      </w:r>
    </w:p>
    <w:p w14:paraId="2169148F" w14:textId="77777777" w:rsidR="00701076" w:rsidRPr="004E301E" w:rsidRDefault="00701076" w:rsidP="00701076">
      <w:pPr>
        <w:pStyle w:val="PBBulletList"/>
        <w:shd w:val="clear" w:color="auto" w:fill="DEE9D3"/>
        <w:rPr>
          <w:color w:val="006600"/>
        </w:rPr>
      </w:pPr>
      <w:r>
        <w:rPr>
          <w:color w:val="006600"/>
        </w:rPr>
        <w:t xml:space="preserve">L’Autorité centrale d’un État d’origine (ou d’un État d’accueil) qui soupçonne une </w:t>
      </w:r>
      <w:r w:rsidRPr="007D72C1">
        <w:rPr>
          <w:color w:val="006600"/>
        </w:rPr>
        <w:t>institution pour enfants</w:t>
      </w:r>
      <w:r>
        <w:rPr>
          <w:color w:val="006600"/>
        </w:rPr>
        <w:t xml:space="preserve"> d’avoir falsifié ou de falsifier les consentements des parents d’origine doit contacter les Autorités centrales des États d’accueil dans lesquels les enfants de cette </w:t>
      </w:r>
      <w:r w:rsidRPr="004E301E">
        <w:rPr>
          <w:color w:val="006600"/>
        </w:rPr>
        <w:t>institution</w:t>
      </w:r>
      <w:r>
        <w:rPr>
          <w:color w:val="006600"/>
        </w:rPr>
        <w:t xml:space="preserve"> ont été adoptés ou sont en train de l’être afin d’enquêter convenablement sur la situation. </w:t>
      </w:r>
      <w:r w:rsidRPr="004E301E">
        <w:rPr>
          <w:color w:val="006600"/>
        </w:rPr>
        <w:t xml:space="preserve">Si c’est l’Autorité centrale d’un État d’accueil qui a un soupçon, celle-ci doit en informer l’Autorité centrale de l’État d’origine. </w:t>
      </w:r>
    </w:p>
    <w:p w14:paraId="57466CC4" w14:textId="77777777" w:rsidR="00701076" w:rsidRPr="004E301E" w:rsidRDefault="00701076" w:rsidP="00701076">
      <w:pPr>
        <w:pStyle w:val="PBBulletList"/>
        <w:shd w:val="clear" w:color="auto" w:fill="DEE9D3"/>
        <w:rPr>
          <w:color w:val="006600"/>
        </w:rPr>
      </w:pPr>
      <w:r>
        <w:rPr>
          <w:color w:val="006600"/>
        </w:rPr>
        <w:t xml:space="preserve">Un État d’origine qui soupçonne un OAA travaillant sur son territoire d’avoir pris part à des activités illicites doit contacter l’État d’accueil dans lequel cet OAA est agréé aux fins d’une enquête en bonne et due forme. Dans le cadre de son enquête, il peut s’avérer nécessaire pour l’Autorité centrale de l’État d’accueil de contacter d’autres États d’origine dans lesquels l’OAA concerné travaille également. </w:t>
      </w:r>
      <w:r w:rsidRPr="004E301E">
        <w:rPr>
          <w:color w:val="006600"/>
        </w:rPr>
        <w:t xml:space="preserve">Si c’est l’État d’accueil qui soupçonne que ses propres OAA ont participé à des activités illicites dans un ou plusieurs États d’origine, celui-ci doit en informer les États d’origine concernés. </w:t>
      </w:r>
    </w:p>
    <w:p w14:paraId="43C78B98" w14:textId="77777777" w:rsidR="00701076" w:rsidRPr="00A974CF" w:rsidRDefault="00701076" w:rsidP="00701076">
      <w:pPr>
        <w:pStyle w:val="PBBulletList"/>
        <w:shd w:val="clear" w:color="auto" w:fill="DEE9D3"/>
        <w:rPr>
          <w:color w:val="006600"/>
        </w:rPr>
      </w:pPr>
      <w:r>
        <w:rPr>
          <w:color w:val="006600"/>
        </w:rPr>
        <w:lastRenderedPageBreak/>
        <w:t>Selon les circonstances, l’Autorité centrale d’un État qui a connaissance de pratiques illicites survenues dans un État partenaire doit envisager d’informer les Autorités centrales d’autres États qui travaillent également avec l’État concerné.</w:t>
      </w:r>
    </w:p>
    <w:p w14:paraId="594331BD" w14:textId="77777777" w:rsidR="00701076" w:rsidRPr="00333844" w:rsidRDefault="00701076" w:rsidP="00701076">
      <w:pPr>
        <w:pStyle w:val="PBParagraphNumber"/>
        <w:numPr>
          <w:ilvl w:val="0"/>
          <w:numId w:val="0"/>
        </w:numPr>
        <w:shd w:val="clear" w:color="auto" w:fill="DAE5D8"/>
        <w:ind w:left="567"/>
        <w:jc w:val="center"/>
        <w:rPr>
          <w:sz w:val="6"/>
          <w:szCs w:val="6"/>
        </w:rPr>
      </w:pPr>
    </w:p>
    <w:p w14:paraId="01D8129B" w14:textId="405D9A7B" w:rsidR="00701076" w:rsidRDefault="00077716" w:rsidP="00077716">
      <w:pPr>
        <w:pStyle w:val="Heading3"/>
      </w:pPr>
      <w:bookmarkStart w:id="113" w:name="_Toc64621542"/>
      <w:bookmarkStart w:id="114" w:name="_Toc90754808"/>
      <w:bookmarkStart w:id="115" w:name="_Toc100936036"/>
      <w:r>
        <w:t>5.2.</w:t>
      </w:r>
      <w:r>
        <w:tab/>
      </w:r>
      <w:r w:rsidR="00701076">
        <w:t>Information des personnes concernées</w:t>
      </w:r>
      <w:bookmarkEnd w:id="113"/>
      <w:bookmarkEnd w:id="114"/>
      <w:bookmarkEnd w:id="115"/>
      <w:r w:rsidR="00701076">
        <w:t xml:space="preserve"> </w:t>
      </w:r>
    </w:p>
    <w:p w14:paraId="594E69D9" w14:textId="673DBD9E" w:rsidR="00701076" w:rsidRPr="00904647" w:rsidRDefault="00701076" w:rsidP="009A3B06">
      <w:pPr>
        <w:pStyle w:val="PBParagraphNumber"/>
        <w:numPr>
          <w:ilvl w:val="0"/>
          <w:numId w:val="7"/>
        </w:numPr>
        <w:rPr>
          <w:color w:val="FF00FF"/>
        </w:rPr>
      </w:pPr>
      <w:bookmarkStart w:id="116" w:name="_Ref78824152"/>
      <w:r>
        <w:t xml:space="preserve">Des pratiques illicites présumées peuvent être portées à la connaissance de l’Autorité centrale (ou de toute autre autorité compétente), à l’insu de l’adopté, de la famille d’origine et / ou des (futurs) parents adoptifs. </w:t>
      </w:r>
      <w:r w:rsidRPr="004E301E">
        <w:t>Si tel est le cas, l’autorité compétente doit prendre les mesures appropriées. Il peut s’agir de consulter les autorités pertinentes afin qu’elles contactent l’adopté, la famille d’origine et / ou les (futurs) parents adoptifs</w:t>
      </w:r>
      <w:r>
        <w:t xml:space="preserve"> (voir aussi para. </w:t>
      </w:r>
      <w:r w:rsidRPr="00F26428">
        <w:fldChar w:fldCharType="begin"/>
      </w:r>
      <w:r w:rsidRPr="00F26428">
        <w:instrText xml:space="preserve"> REF _Ref78824228 \r \h  \* MERGEFORMAT </w:instrText>
      </w:r>
      <w:r w:rsidRPr="00F26428">
        <w:fldChar w:fldCharType="separate"/>
      </w:r>
      <w:r>
        <w:t>24</w:t>
      </w:r>
      <w:r w:rsidRPr="00F26428">
        <w:fldChar w:fldCharType="end"/>
      </w:r>
      <w:r>
        <w:t xml:space="preserve"> ci-dessus</w:t>
      </w:r>
      <w:r w:rsidRPr="004E301E">
        <w:t>)</w:t>
      </w:r>
      <w:r w:rsidRPr="00F26428">
        <w:rPr>
          <w:rStyle w:val="FootnoteReference"/>
        </w:rPr>
        <w:footnoteReference w:id="28"/>
      </w:r>
      <w:r w:rsidR="00472D14" w:rsidRPr="004E301E">
        <w:rPr>
          <w:rStyle w:val="FootnoteReference"/>
        </w:rPr>
        <w:t>.</w:t>
      </w:r>
      <w:r>
        <w:t xml:space="preserve"> </w:t>
      </w:r>
      <w:r w:rsidRPr="004E301E">
        <w:t xml:space="preserve">Dans ce cas, les autorités doivent suivre des pratiques tenant compte des traumatismes. Un soutien supplémentaire, tel que des </w:t>
      </w:r>
      <w:r w:rsidRPr="004E301E">
        <w:rPr>
          <w:b/>
        </w:rPr>
        <w:t>conseils</w:t>
      </w:r>
      <w:r w:rsidRPr="004E301E">
        <w:t>, doit être proposé à l’adopté, à la famille d’origine et / ou aux (futurs) parents adoptifs lorsqu’ils sont informés et lorsque cela est approprié (voir ci-dessus la section 3 « Services aux personnes touchées »).</w:t>
      </w:r>
      <w:bookmarkEnd w:id="116"/>
    </w:p>
    <w:p w14:paraId="303F83C0" w14:textId="77777777" w:rsidR="00701076" w:rsidRDefault="00701076" w:rsidP="009A3B06">
      <w:pPr>
        <w:pStyle w:val="PBParagraphNumber"/>
        <w:numPr>
          <w:ilvl w:val="0"/>
          <w:numId w:val="7"/>
        </w:numPr>
      </w:pPr>
      <w:r>
        <w:br w:type="page"/>
      </w:r>
    </w:p>
    <w:p w14:paraId="0FAE2608" w14:textId="77777777" w:rsidR="00701076" w:rsidRPr="003D75E8" w:rsidRDefault="00701076" w:rsidP="00B45C97">
      <w:pPr>
        <w:pStyle w:val="Heading2"/>
      </w:pPr>
      <w:bookmarkStart w:id="117" w:name="_Toc64621543"/>
      <w:bookmarkStart w:id="118" w:name="_Toc90754809"/>
      <w:bookmarkStart w:id="119" w:name="_Toc100936037"/>
      <w:r>
        <w:lastRenderedPageBreak/>
        <w:t>ÉTAPE 3 : MESURES POSSIBLES À LA SUITE DE L’ENQUÊTE</w:t>
      </w:r>
      <w:bookmarkEnd w:id="117"/>
      <w:bookmarkEnd w:id="118"/>
      <w:bookmarkEnd w:id="119"/>
    </w:p>
    <w:p w14:paraId="26F5CD1C" w14:textId="77777777" w:rsidR="00E45E5D" w:rsidRPr="004E7392" w:rsidRDefault="00E45E5D" w:rsidP="009A3B06">
      <w:pPr>
        <w:pStyle w:val="PBParagraphNumber"/>
        <w:numPr>
          <w:ilvl w:val="0"/>
          <w:numId w:val="7"/>
        </w:numPr>
      </w:pPr>
      <w:r>
        <w:t>Dans les cas où l’</w:t>
      </w:r>
      <w:r>
        <w:rPr>
          <w:b/>
          <w:bCs/>
        </w:rPr>
        <w:t>enquête</w:t>
      </w:r>
      <w:r>
        <w:t xml:space="preserve"> </w:t>
      </w:r>
      <w:r w:rsidRPr="007D72C1">
        <w:t xml:space="preserve">ne </w:t>
      </w:r>
      <w:r w:rsidRPr="007D72C1">
        <w:rPr>
          <w:b/>
        </w:rPr>
        <w:t xml:space="preserve">confirme </w:t>
      </w:r>
      <w:r w:rsidRPr="007D72C1">
        <w:rPr>
          <w:b/>
          <w:u w:val="single"/>
        </w:rPr>
        <w:t>pas</w:t>
      </w:r>
      <w:r>
        <w:rPr>
          <w:b/>
          <w:bCs/>
        </w:rPr>
        <w:t xml:space="preserve"> les </w:t>
      </w:r>
      <w:r w:rsidR="00701076">
        <w:rPr>
          <w:b/>
        </w:rPr>
        <w:t>inquiétudes</w:t>
      </w:r>
      <w:r>
        <w:rPr>
          <w:b/>
          <w:bCs/>
        </w:rPr>
        <w:t xml:space="preserve"> ou les allégations</w:t>
      </w:r>
      <w:r>
        <w:t xml:space="preserve"> en matière de pratiques illicites</w:t>
      </w:r>
      <w:r w:rsidR="009D2827" w:rsidRPr="00EC02FF">
        <w:rPr>
          <w:rStyle w:val="FootnoteReference"/>
        </w:rPr>
        <w:footnoteReference w:id="29"/>
      </w:r>
      <w:r>
        <w:t xml:space="preserve">, il peut toutefois, selon les circonstances, incomber à l’Autorité centrale ou à toute autre autorité compétente de </w:t>
      </w:r>
      <w:r w:rsidR="00667094">
        <w:t>traiter d’</w:t>
      </w:r>
      <w:r>
        <w:t xml:space="preserve">un ou plusieurs facteurs propices en vue de renforcer la procédure </w:t>
      </w:r>
      <w:r w:rsidR="00701076">
        <w:t>d’adoption internationale (voir Boîte à outils - Partie II : Fiches de synthèse)</w:t>
      </w:r>
      <w:r w:rsidR="00701076">
        <w:rPr>
          <w:rStyle w:val="FootnoteReference"/>
        </w:rPr>
        <w:footnoteReference w:id="30"/>
      </w:r>
      <w:r w:rsidR="00701076">
        <w:t>.</w:t>
      </w:r>
      <w:r>
        <w:t xml:space="preserve"> Par ailleurs, l’adopté, les </w:t>
      </w:r>
      <w:r w:rsidRPr="004E301E">
        <w:t>parents</w:t>
      </w:r>
      <w:r>
        <w:t xml:space="preserve"> d’origine </w:t>
      </w:r>
      <w:r w:rsidR="005737FB">
        <w:t>et / ou</w:t>
      </w:r>
      <w:r>
        <w:t xml:space="preserve"> les (futurs) </w:t>
      </w:r>
      <w:r w:rsidRPr="004E301E">
        <w:t>parents</w:t>
      </w:r>
      <w:r>
        <w:t xml:space="preserve"> adoptifs peuvent souhaiter solliciter des services de soutien post-adoption auxquels ils peuvent prétendre (voir </w:t>
      </w:r>
      <w:r w:rsidR="00701076">
        <w:t xml:space="preserve">ci-dessus la section 3 « Services aux personnes touchées »). </w:t>
      </w:r>
      <w:r>
        <w:t xml:space="preserve">L’Autorité centrale doit les orienter comme il convient. </w:t>
      </w:r>
    </w:p>
    <w:p w14:paraId="3ECA7A99" w14:textId="77777777" w:rsidR="00E45E5D" w:rsidRPr="004E7392" w:rsidRDefault="00E45E5D" w:rsidP="009A3B06">
      <w:pPr>
        <w:pStyle w:val="PBParagraphNumber"/>
        <w:numPr>
          <w:ilvl w:val="0"/>
          <w:numId w:val="7"/>
        </w:numPr>
      </w:pPr>
      <w:r>
        <w:t>Lorsque l’</w:t>
      </w:r>
      <w:r>
        <w:rPr>
          <w:b/>
          <w:bCs/>
        </w:rPr>
        <w:t>enquête confirme les préoccupations ou les allégations</w:t>
      </w:r>
      <w:r>
        <w:t xml:space="preserve"> en matière de pratiques illicites, les mesures envisageables par les autorités compétentes peuvent varier selon les circonstances et les éléments particuliers de l’espèce, notamment : </w:t>
      </w:r>
    </w:p>
    <w:p w14:paraId="78CE07BC" w14:textId="77777777" w:rsidR="00D97255" w:rsidRPr="004E7392" w:rsidRDefault="00D97255" w:rsidP="00BA59DA">
      <w:pPr>
        <w:pStyle w:val="PBBulletList"/>
      </w:pPr>
      <w:r w:rsidRPr="007D72C1">
        <w:t>l’intérêt supérieur et les droits fondamentaux de l’enfant</w:t>
      </w:r>
      <w:r w:rsidR="00701076" w:rsidRPr="007D72C1">
        <w:t> </w:t>
      </w:r>
      <w:r>
        <w:t>;</w:t>
      </w:r>
    </w:p>
    <w:p w14:paraId="130BB46E" w14:textId="77777777" w:rsidR="00701076" w:rsidRPr="004E7392" w:rsidRDefault="00701076" w:rsidP="00701076">
      <w:pPr>
        <w:pStyle w:val="PBBulletList"/>
      </w:pPr>
      <w:r>
        <w:t xml:space="preserve">le type de pratique illicite (voir Boîte à outils - Partie II : Fiches de synthèse) ; </w:t>
      </w:r>
    </w:p>
    <w:p w14:paraId="4315A0A0" w14:textId="77777777" w:rsidR="00701076" w:rsidRPr="004E7392" w:rsidRDefault="00701076" w:rsidP="00701076">
      <w:pPr>
        <w:pStyle w:val="PBBulletList"/>
      </w:pPr>
      <w:r>
        <w:t xml:space="preserve">par qui la pratique illicite a été commise ; </w:t>
      </w:r>
    </w:p>
    <w:p w14:paraId="2FBFEA99" w14:textId="77777777" w:rsidR="00701076" w:rsidRDefault="00701076" w:rsidP="00701076">
      <w:pPr>
        <w:pStyle w:val="PBBulletList"/>
      </w:pPr>
      <w:r>
        <w:t xml:space="preserve">le degré ou le niveau de connaissance ou d’implication des différents acteurs ; </w:t>
      </w:r>
    </w:p>
    <w:p w14:paraId="7097CC91" w14:textId="77777777" w:rsidR="00E45E5D" w:rsidRPr="004E7392" w:rsidRDefault="00701076" w:rsidP="00BA59DA">
      <w:pPr>
        <w:pStyle w:val="PBBulletList"/>
      </w:pPr>
      <w:r>
        <w:t>l’étape</w:t>
      </w:r>
      <w:r w:rsidR="00E45E5D">
        <w:t xml:space="preserve"> de la procédure d’adoption à laquelle le soupçon de pratique illicite a été soulevé ;</w:t>
      </w:r>
    </w:p>
    <w:p w14:paraId="0A8FC07A" w14:textId="77777777" w:rsidR="00431016" w:rsidRPr="004E7392" w:rsidRDefault="00431016" w:rsidP="00431016">
      <w:pPr>
        <w:pStyle w:val="PBBulletList"/>
      </w:pPr>
      <w:r>
        <w:t>les conséquences de la pratique illicite sur la validité de l’adoption ou la procédure d’adoption ;</w:t>
      </w:r>
    </w:p>
    <w:p w14:paraId="47D7CE14" w14:textId="77777777" w:rsidR="00E45E5D" w:rsidRPr="004E7392" w:rsidRDefault="00E45E5D" w:rsidP="00BA59DA">
      <w:pPr>
        <w:pStyle w:val="PBBulletList"/>
      </w:pPr>
      <w:r>
        <w:t>les effets à court et à long terme de la pratique illicite sur l’adopté ;</w:t>
      </w:r>
    </w:p>
    <w:p w14:paraId="3D09B33A" w14:textId="77777777" w:rsidR="00E45E5D" w:rsidRPr="004E7392" w:rsidRDefault="00E45E5D" w:rsidP="00BA59DA">
      <w:pPr>
        <w:pStyle w:val="PBBulletList"/>
      </w:pPr>
      <w:r>
        <w:t xml:space="preserve">le cas échéant, l’opinion des personnes concernées, à savoir, l’adopté, les </w:t>
      </w:r>
      <w:r w:rsidRPr="004E301E">
        <w:t>parents</w:t>
      </w:r>
      <w:r>
        <w:t xml:space="preserve"> d’origine ou toute autre personne ayant la garde de l’enfant avant l’adoption et les (futurs) </w:t>
      </w:r>
      <w:r w:rsidRPr="004E301E">
        <w:t>parents</w:t>
      </w:r>
      <w:r>
        <w:t xml:space="preserve"> adoptifs ; et</w:t>
      </w:r>
    </w:p>
    <w:p w14:paraId="382D895E" w14:textId="77777777" w:rsidR="00E45E5D" w:rsidRPr="004E7392" w:rsidRDefault="00E45E5D" w:rsidP="00BA59DA">
      <w:pPr>
        <w:pStyle w:val="PBBulletList"/>
      </w:pPr>
      <w:r>
        <w:t xml:space="preserve">le souci de ne pas </w:t>
      </w:r>
      <w:r w:rsidRPr="007D72C1">
        <w:t>créer d’autres préjudices</w:t>
      </w:r>
      <w:r>
        <w:t>.</w:t>
      </w:r>
    </w:p>
    <w:p w14:paraId="45FBB80F" w14:textId="77777777" w:rsidR="00E45E5D" w:rsidRPr="004E7392" w:rsidRDefault="00E45E5D" w:rsidP="009A3B06">
      <w:pPr>
        <w:pStyle w:val="PBParagraphNumber"/>
        <w:numPr>
          <w:ilvl w:val="0"/>
          <w:numId w:val="7"/>
        </w:numPr>
      </w:pPr>
      <w:r>
        <w:t xml:space="preserve">Outre les mesures susceptibles d’être prises concernant un cas et un adopté en particulier, l’État </w:t>
      </w:r>
      <w:r w:rsidR="00701076">
        <w:t>doit</w:t>
      </w:r>
      <w:r>
        <w:t xml:space="preserve"> aussi envisager de prendre des </w:t>
      </w:r>
      <w:r>
        <w:rPr>
          <w:b/>
          <w:bCs/>
        </w:rPr>
        <w:t>mesures visant à prévenir la résurgence</w:t>
      </w:r>
      <w:r>
        <w:t xml:space="preserve"> de la pratique illicite (ces mesures viseront les cas semblables futurs). Par suite d’une enquête, les mesures susceptibles d’être prises dans un cas particulier peuvent également varier selon que la pratique illicite constitue un incident isolé ou </w:t>
      </w:r>
      <w:r w:rsidR="00765645">
        <w:t xml:space="preserve">qu’elle </w:t>
      </w:r>
      <w:r w:rsidR="00F418BD">
        <w:t>est systémique</w:t>
      </w:r>
      <w:r>
        <w:t xml:space="preserve">. </w:t>
      </w:r>
    </w:p>
    <w:p w14:paraId="64D0FA47" w14:textId="7AD9816B" w:rsidR="00E45E5D" w:rsidRDefault="00077716" w:rsidP="00077716">
      <w:pPr>
        <w:pStyle w:val="Heading3"/>
      </w:pPr>
      <w:bookmarkStart w:id="120" w:name="_Toc61255169"/>
      <w:bookmarkStart w:id="121" w:name="_Toc61616491"/>
      <w:bookmarkStart w:id="122" w:name="_Toc62299538"/>
      <w:bookmarkStart w:id="123" w:name="_Toc62299602"/>
      <w:bookmarkStart w:id="124" w:name="_Toc64621544"/>
      <w:bookmarkStart w:id="125" w:name="_Toc90754810"/>
      <w:bookmarkStart w:id="126" w:name="_Toc100936038"/>
      <w:r>
        <w:t>6.1.</w:t>
      </w:r>
      <w:r>
        <w:tab/>
      </w:r>
      <w:r w:rsidR="00BA59DA">
        <w:t>Mesures concernant l’</w:t>
      </w:r>
      <w:r w:rsidR="00962F84">
        <w:t xml:space="preserve">adopté (ou </w:t>
      </w:r>
      <w:r w:rsidR="00BA59DA">
        <w:t>enfant</w:t>
      </w:r>
      <w:r w:rsidR="00962F84">
        <w:t xml:space="preserve"> adoptable)</w:t>
      </w:r>
      <w:r w:rsidR="00BA59DA">
        <w:t xml:space="preserve"> et les familles dans un cas particulier</w:t>
      </w:r>
      <w:bookmarkEnd w:id="120"/>
      <w:bookmarkEnd w:id="121"/>
      <w:bookmarkEnd w:id="122"/>
      <w:bookmarkEnd w:id="123"/>
      <w:bookmarkEnd w:id="124"/>
      <w:bookmarkEnd w:id="125"/>
      <w:bookmarkEnd w:id="126"/>
    </w:p>
    <w:p w14:paraId="401E6609" w14:textId="3D89F582" w:rsidR="00701076" w:rsidRDefault="0005545E" w:rsidP="0005545E">
      <w:pPr>
        <w:pStyle w:val="Heading3"/>
        <w:ind w:firstLine="567"/>
      </w:pPr>
      <w:bookmarkStart w:id="127" w:name="_Toc90754811"/>
      <w:bookmarkStart w:id="128" w:name="_Toc100936039"/>
      <w:r>
        <w:t>6.2.1.</w:t>
      </w:r>
      <w:r>
        <w:tab/>
      </w:r>
      <w:r>
        <w:tab/>
      </w:r>
      <w:r w:rsidR="00701076">
        <w:t>Si l’adoption n’a pas encore été finalisée</w:t>
      </w:r>
      <w:bookmarkEnd w:id="127"/>
      <w:bookmarkEnd w:id="128"/>
      <w:r w:rsidR="00701076">
        <w:t xml:space="preserve"> </w:t>
      </w:r>
    </w:p>
    <w:p w14:paraId="693D44DA" w14:textId="1F183676" w:rsidR="00701076" w:rsidRPr="004E7392" w:rsidRDefault="00701076" w:rsidP="009A3B06">
      <w:pPr>
        <w:pStyle w:val="PBParagraphNumber"/>
        <w:numPr>
          <w:ilvl w:val="0"/>
          <w:numId w:val="7"/>
        </w:numPr>
      </w:pPr>
      <w:r>
        <w:rPr>
          <w:b/>
        </w:rPr>
        <w:t>Si cela s’inscrit dans l’intérêt supérieur de l’enfant</w:t>
      </w:r>
      <w:r>
        <w:t xml:space="preserve"> (y compris les considérations à long terme) et </w:t>
      </w:r>
      <w:r>
        <w:rPr>
          <w:u w:val="single"/>
        </w:rPr>
        <w:t>que cela n’affecte pas l’intégrité de la procédure d’adoption</w:t>
      </w:r>
      <w:r>
        <w:t xml:space="preserve">, il convient de déterminer s’il est possible de </w:t>
      </w:r>
      <w:r w:rsidRPr="007D72C1">
        <w:t xml:space="preserve">corriger la situation ou de « réparer » la pratique illicite </w:t>
      </w:r>
      <w:r>
        <w:t xml:space="preserve">en s’efforçant de faire ce qui aurait dû être fait si les dispositions de la Convention Adoption de 1993 et les lois applicables avaient été respectées (par ex. obtenir </w:t>
      </w:r>
      <w:r w:rsidR="0022741D" w:rsidRPr="007D72C1">
        <w:t>l</w:t>
      </w:r>
      <w:r>
        <w:t xml:space="preserve">es consentements </w:t>
      </w:r>
      <w:r w:rsidR="0022741D" w:rsidRPr="007D72C1">
        <w:t>valides</w:t>
      </w:r>
      <w:r w:rsidR="0022741D" w:rsidRPr="007D72C1">
        <w:rPr>
          <w:i/>
        </w:rPr>
        <w:t xml:space="preserve"> </w:t>
      </w:r>
      <w:r>
        <w:rPr>
          <w:i/>
        </w:rPr>
        <w:t>a posteriori</w:t>
      </w:r>
      <w:r>
        <w:t>, tenir dûment compte du principe de subsidiarité de manière rétroactive, rembourser un montant spécifique)</w:t>
      </w:r>
      <w:r w:rsidRPr="004E7392">
        <w:rPr>
          <w:rStyle w:val="FootnoteReference"/>
        </w:rPr>
        <w:footnoteReference w:id="31"/>
      </w:r>
      <w:r>
        <w:t xml:space="preserve">. </w:t>
      </w:r>
      <w:r w:rsidRPr="004E301E">
        <w:t>S’il est possible de corriger la situation et que cela répond à l’intérêt supérieur de l’enfant, la procédure d’adoption peut se poursuivre.</w:t>
      </w:r>
    </w:p>
    <w:p w14:paraId="6E875A60" w14:textId="77777777" w:rsidR="00701076" w:rsidRDefault="00701076" w:rsidP="00701076">
      <w:pPr>
        <w:pStyle w:val="PBParagraphNumber"/>
        <w:numPr>
          <w:ilvl w:val="0"/>
          <w:numId w:val="1"/>
        </w:numPr>
      </w:pPr>
      <w:r>
        <w:lastRenderedPageBreak/>
        <w:t xml:space="preserve">Le fait de corriger la situation ne doit toutefois pas être perçue comme une solution de substitution rapide au respect de la Convention. Il doit s’agir d’une </w:t>
      </w:r>
      <w:r>
        <w:rPr>
          <w:b/>
          <w:u w:val="single"/>
        </w:rPr>
        <w:t>exception</w:t>
      </w:r>
      <w:r>
        <w:t xml:space="preserve"> faite, le cas échéant, pour protéger l’intérêt supérieur de l’enfant. Les États contractants sont tenus par une obligation juridique internationale d’adhérer à la Convention et d’en appliquer les garanties</w:t>
      </w:r>
      <w:r w:rsidRPr="004E7392">
        <w:rPr>
          <w:rStyle w:val="FootnoteReference"/>
        </w:rPr>
        <w:footnoteReference w:id="32"/>
      </w:r>
      <w:r>
        <w:t xml:space="preserve">. Ils sont en outre tenus d’appliquer leurs lois et règlements internes. Par conséquent, selon la nature de la pratique illicite et les lois et règlements des États concernés, il n’est pas nécessairement possible de corriger la situation. </w:t>
      </w:r>
    </w:p>
    <w:p w14:paraId="59A30664" w14:textId="77777777" w:rsidR="00701076" w:rsidRPr="004E7392" w:rsidRDefault="00701076" w:rsidP="009A3B06">
      <w:pPr>
        <w:pStyle w:val="PBParagraphNumber"/>
        <w:numPr>
          <w:ilvl w:val="0"/>
          <w:numId w:val="7"/>
        </w:numPr>
      </w:pPr>
      <w:r>
        <w:t xml:space="preserve">S’il n’est </w:t>
      </w:r>
      <w:r>
        <w:rPr>
          <w:b/>
        </w:rPr>
        <w:t>pas possible</w:t>
      </w:r>
      <w:r>
        <w:t xml:space="preserve"> de </w:t>
      </w:r>
      <w:r>
        <w:rPr>
          <w:b/>
        </w:rPr>
        <w:t>corriger</w:t>
      </w:r>
      <w:r>
        <w:t xml:space="preserve"> la situation ou de « réparer » la pratique illicite </w:t>
      </w:r>
      <w:r>
        <w:rPr>
          <w:u w:val="single"/>
        </w:rPr>
        <w:t>et / ou</w:t>
      </w:r>
      <w:r>
        <w:t xml:space="preserve"> si cela ne répond pas à l</w:t>
      </w:r>
      <w:r>
        <w:rPr>
          <w:b/>
        </w:rPr>
        <w:t>’intérêt supérieur de l’enfant</w:t>
      </w:r>
      <w:r>
        <w:t>, il est possible d’envisager les solutions suivantes :</w:t>
      </w:r>
    </w:p>
    <w:p w14:paraId="5E390B5C" w14:textId="77777777" w:rsidR="00701076" w:rsidRPr="004E7392" w:rsidRDefault="00701076" w:rsidP="00701076">
      <w:pPr>
        <w:pStyle w:val="PBBulletList"/>
      </w:pPr>
      <w:r>
        <w:t>la fin de la procédure, à l’initiative de l’une ou des deux Autorités centrales, en refusant d’émettre ou en retirant l’accord en vue de la poursuite de la procédure visé à l’article 17(c) de la Convention Adoption de 1993</w:t>
      </w:r>
      <w:r w:rsidRPr="004E7392">
        <w:rPr>
          <w:rStyle w:val="FootnoteReference"/>
        </w:rPr>
        <w:footnoteReference w:id="33"/>
      </w:r>
      <w:r>
        <w:t> ;</w:t>
      </w:r>
    </w:p>
    <w:p w14:paraId="4D75AAE1" w14:textId="77777777" w:rsidR="00E45E5D" w:rsidRPr="004E7392" w:rsidRDefault="00E45E5D" w:rsidP="00AA54CF">
      <w:pPr>
        <w:pStyle w:val="PBBulletList"/>
      </w:pPr>
      <w:r>
        <w:t>ne pas délivrer la décision relative à l’adoption (généralement rendue dans l’État d’origine) ;</w:t>
      </w:r>
    </w:p>
    <w:p w14:paraId="36294724" w14:textId="7EEE03DC" w:rsidR="00701076" w:rsidRPr="004E7392" w:rsidRDefault="00701076" w:rsidP="00701076">
      <w:pPr>
        <w:pStyle w:val="PBBulletList"/>
      </w:pPr>
      <w:r>
        <w:t xml:space="preserve">l’établissement d’un </w:t>
      </w:r>
      <w:r>
        <w:rPr>
          <w:b/>
        </w:rPr>
        <w:t>nouveau projet de vie pour l’enfant</w:t>
      </w:r>
      <w:r w:rsidR="0014561D" w:rsidRPr="007D72C1">
        <w:t xml:space="preserve">. Par exemple </w:t>
      </w:r>
      <w:r>
        <w:t>:</w:t>
      </w:r>
      <w:r>
        <w:rPr>
          <w:rStyle w:val="FootnoteReference"/>
        </w:rPr>
        <w:t xml:space="preserve"> </w:t>
      </w:r>
      <w:r w:rsidRPr="004E7392">
        <w:rPr>
          <w:rStyle w:val="FootnoteReference"/>
        </w:rPr>
        <w:footnoteReference w:id="34"/>
      </w:r>
    </w:p>
    <w:p w14:paraId="689AFBE7" w14:textId="77777777" w:rsidR="00701076" w:rsidRPr="004E7392" w:rsidRDefault="00701076" w:rsidP="00701076">
      <w:pPr>
        <w:pStyle w:val="PBBulletList"/>
        <w:numPr>
          <w:ilvl w:val="1"/>
          <w:numId w:val="2"/>
        </w:numPr>
      </w:pPr>
      <w:r>
        <w:t>veiller à ce que l’intérêt supérieur (y compris les considérations à long terme) et les droits fondamentaux de l’enfant constituent la considération primordiale (CLH, art. 1(a) et CNUDE, art. 21) ;</w:t>
      </w:r>
    </w:p>
    <w:p w14:paraId="1CBEC63B" w14:textId="77777777" w:rsidR="00E45E5D" w:rsidRPr="004E7392" w:rsidRDefault="00E45E5D" w:rsidP="00AA54CF">
      <w:pPr>
        <w:pStyle w:val="PBBulletList"/>
        <w:numPr>
          <w:ilvl w:val="1"/>
          <w:numId w:val="2"/>
        </w:numPr>
      </w:pPr>
      <w:r>
        <w:t xml:space="preserve">procéder à une évaluation complète </w:t>
      </w:r>
      <w:r w:rsidR="00701076">
        <w:t>et rigoureuse de la situation de l’enfant ;</w:t>
      </w:r>
      <w:r>
        <w:t xml:space="preserve"> </w:t>
      </w:r>
    </w:p>
    <w:p w14:paraId="5DC77BD4" w14:textId="77777777" w:rsidR="00E45E5D" w:rsidRPr="004E7392" w:rsidRDefault="00E45E5D" w:rsidP="00AA54CF">
      <w:pPr>
        <w:pStyle w:val="PBBulletList"/>
        <w:numPr>
          <w:ilvl w:val="1"/>
          <w:numId w:val="2"/>
        </w:numPr>
      </w:pPr>
      <w:r>
        <w:t>en fonction de son âge et de sa maturité, tenir compte des souhaits, opinions et consentement de l’enfant</w:t>
      </w:r>
      <w:r w:rsidR="00701076">
        <w:t xml:space="preserve"> ainsi que du développement de ses capacités (CLH, art. 5 et 12)</w:t>
      </w:r>
      <w:r>
        <w:t> ;</w:t>
      </w:r>
    </w:p>
    <w:p w14:paraId="48E66F46" w14:textId="77777777" w:rsidR="00701076" w:rsidRPr="004E7392" w:rsidRDefault="00701076" w:rsidP="00701076">
      <w:pPr>
        <w:pStyle w:val="PBBulletList"/>
        <w:numPr>
          <w:ilvl w:val="1"/>
          <w:numId w:val="2"/>
        </w:numPr>
      </w:pPr>
      <w:r>
        <w:t xml:space="preserve">selon la nature de la pratique illicite (par ex. irrégularités concernant l’identité de l’enfant ou les consentements à l’adoption) et le stade auquel la procédure d’adoption a été interrompue, évaluer la participation de la </w:t>
      </w:r>
      <w:r w:rsidRPr="00D56433">
        <w:t xml:space="preserve">famille </w:t>
      </w:r>
      <w:r>
        <w:t>d’origine de l’enfant</w:t>
      </w:r>
      <w:r w:rsidRPr="004E7392">
        <w:rPr>
          <w:rStyle w:val="FootnoteReference"/>
        </w:rPr>
        <w:footnoteReference w:id="35"/>
      </w:r>
      <w:r>
        <w:t> ;</w:t>
      </w:r>
    </w:p>
    <w:p w14:paraId="4B47A28D" w14:textId="77777777" w:rsidR="00701076" w:rsidRPr="004E7392" w:rsidRDefault="00701076" w:rsidP="00701076">
      <w:pPr>
        <w:pStyle w:val="PBBulletList"/>
        <w:numPr>
          <w:ilvl w:val="1"/>
          <w:numId w:val="2"/>
        </w:numPr>
      </w:pPr>
      <w:r>
        <w:t xml:space="preserve">envisager les éventuelles solutions de prise en charge qui peuvent inclure : </w:t>
      </w:r>
    </w:p>
    <w:p w14:paraId="1633D810" w14:textId="0C171B91" w:rsidR="00E45E5D" w:rsidRPr="004E7392" w:rsidRDefault="00FB4656" w:rsidP="00AA54CF">
      <w:pPr>
        <w:pStyle w:val="PBBulletList"/>
        <w:numPr>
          <w:ilvl w:val="2"/>
          <w:numId w:val="2"/>
        </w:numPr>
      </w:pPr>
      <w:r w:rsidRPr="00D56433">
        <w:t>l</w:t>
      </w:r>
      <w:r w:rsidR="00701076">
        <w:t>a réintégration de l’enfant avec</w:t>
      </w:r>
      <w:r w:rsidR="00E45E5D">
        <w:t xml:space="preserve"> ses </w:t>
      </w:r>
      <w:r w:rsidR="00E45E5D" w:rsidRPr="00D56433">
        <w:t>parents</w:t>
      </w:r>
      <w:r w:rsidR="00E45E5D">
        <w:t xml:space="preserve"> d’origine, après l’apport d’un soutien et des conseils appropriés à toutes les personnes concernées ;</w:t>
      </w:r>
    </w:p>
    <w:p w14:paraId="5DF4934F" w14:textId="77777777" w:rsidR="00E45E5D" w:rsidRPr="004E7392" w:rsidRDefault="00E45E5D" w:rsidP="00AA54CF">
      <w:pPr>
        <w:pStyle w:val="PBBulletList"/>
        <w:numPr>
          <w:ilvl w:val="2"/>
          <w:numId w:val="2"/>
        </w:numPr>
      </w:pPr>
      <w:r>
        <w:t xml:space="preserve">une prise en charge par un proche au sein de la </w:t>
      </w:r>
      <w:r w:rsidRPr="00D56433">
        <w:t xml:space="preserve">famille </w:t>
      </w:r>
      <w:r>
        <w:t>élargie ;</w:t>
      </w:r>
    </w:p>
    <w:p w14:paraId="0AC43211" w14:textId="77777777" w:rsidR="00E45E5D" w:rsidRPr="004E7392" w:rsidRDefault="00E45E5D" w:rsidP="00AA54CF">
      <w:pPr>
        <w:pStyle w:val="PBBulletList"/>
        <w:numPr>
          <w:ilvl w:val="2"/>
          <w:numId w:val="2"/>
        </w:numPr>
      </w:pPr>
      <w:r>
        <w:t>un nouveau placement de l’enfant en vue d’une adoption ;</w:t>
      </w:r>
    </w:p>
    <w:p w14:paraId="23C16D06" w14:textId="77777777" w:rsidR="00E45E5D" w:rsidRPr="004E7392" w:rsidRDefault="00E45E5D" w:rsidP="00AA54CF">
      <w:pPr>
        <w:pStyle w:val="PBBulletList"/>
        <w:numPr>
          <w:ilvl w:val="2"/>
          <w:numId w:val="2"/>
        </w:numPr>
      </w:pPr>
      <w:r>
        <w:t xml:space="preserve">une solution de prise en charge de </w:t>
      </w:r>
      <w:r w:rsidR="00C661AB">
        <w:t xml:space="preserve">remplacement </w:t>
      </w:r>
      <w:r w:rsidR="00F33746">
        <w:t xml:space="preserve">familiale et </w:t>
      </w:r>
      <w:r>
        <w:t xml:space="preserve">durable. </w:t>
      </w:r>
    </w:p>
    <w:p w14:paraId="4E805785" w14:textId="60DF5A1A" w:rsidR="004D02E4" w:rsidRDefault="0005545E" w:rsidP="0005545E">
      <w:pPr>
        <w:pStyle w:val="Heading3"/>
        <w:ind w:firstLine="567"/>
      </w:pPr>
      <w:bookmarkStart w:id="129" w:name="_Toc90754812"/>
      <w:bookmarkStart w:id="130" w:name="_Toc100936040"/>
      <w:r>
        <w:t>6.2.2.</w:t>
      </w:r>
      <w:r>
        <w:tab/>
      </w:r>
      <w:r>
        <w:tab/>
      </w:r>
      <w:r w:rsidR="004D02E4">
        <w:t xml:space="preserve">Si l’adoption a déjà été </w:t>
      </w:r>
      <w:r w:rsidR="00A62601">
        <w:t>finalisée</w:t>
      </w:r>
      <w:r w:rsidR="00701076" w:rsidRPr="000176AE">
        <w:rPr>
          <w:vertAlign w:val="superscript"/>
        </w:rPr>
        <w:footnoteReference w:id="36"/>
      </w:r>
      <w:bookmarkEnd w:id="129"/>
      <w:bookmarkEnd w:id="130"/>
    </w:p>
    <w:p w14:paraId="2CAA6914" w14:textId="77777777" w:rsidR="00701076" w:rsidRPr="004E7392" w:rsidRDefault="00701076" w:rsidP="009A3B06">
      <w:pPr>
        <w:pStyle w:val="PBParagraphNumber"/>
        <w:numPr>
          <w:ilvl w:val="0"/>
          <w:numId w:val="7"/>
        </w:numPr>
      </w:pPr>
      <w:r>
        <w:t>Les mesures envisageables varieront selon les facteurs mentionnés dans l’introduction de cette étape 3. Certaines mesures ne doivent s’appliquer qu’à condition que l’adopté soit encore un enfant. Auquel cas, il convient de veiller à ce que son intérêt supérieur et ses droits fondamentaux constituent la considération primordiale (CLH, art. 1(a) et CNUDE, art. 21). Les éléments énoncés ci-après peuvent être pris en considération conjointement ou de manière indépendante.</w:t>
      </w:r>
    </w:p>
    <w:p w14:paraId="208DDCFD" w14:textId="11F036E7" w:rsidR="00701076" w:rsidRPr="0005545E" w:rsidRDefault="0005545E" w:rsidP="0005545E">
      <w:pPr>
        <w:pStyle w:val="Heading3"/>
        <w:ind w:left="2268" w:hanging="1134"/>
        <w:rPr>
          <w:color w:val="0094D2" w:themeColor="accent1"/>
        </w:rPr>
      </w:pPr>
      <w:bookmarkStart w:id="131" w:name="_Toc90754813"/>
      <w:bookmarkStart w:id="132" w:name="_Toc94008823"/>
      <w:bookmarkStart w:id="133" w:name="_Toc100936041"/>
      <w:r w:rsidRPr="0005545E">
        <w:rPr>
          <w:color w:val="0094D2" w:themeColor="accent1"/>
        </w:rPr>
        <w:lastRenderedPageBreak/>
        <w:t>6.2.2.1.</w:t>
      </w:r>
      <w:r w:rsidRPr="0005545E">
        <w:rPr>
          <w:color w:val="0094D2" w:themeColor="accent1"/>
        </w:rPr>
        <w:tab/>
      </w:r>
      <w:r w:rsidRPr="0005545E">
        <w:rPr>
          <w:color w:val="0094D2" w:themeColor="accent1"/>
        </w:rPr>
        <w:tab/>
      </w:r>
      <w:r w:rsidR="00701076" w:rsidRPr="0005545E">
        <w:rPr>
          <w:color w:val="0094D2" w:themeColor="accent1"/>
        </w:rPr>
        <w:t>Considérations concernant la non-délivrance du certificat de conformité visé à l’article 23</w:t>
      </w:r>
      <w:bookmarkEnd w:id="131"/>
      <w:bookmarkEnd w:id="132"/>
      <w:bookmarkEnd w:id="133"/>
    </w:p>
    <w:p w14:paraId="7D639CA4" w14:textId="77777777" w:rsidR="00701076" w:rsidRPr="00D56433" w:rsidRDefault="00701076" w:rsidP="009A3B06">
      <w:pPr>
        <w:pStyle w:val="PBParagraphNumber"/>
        <w:numPr>
          <w:ilvl w:val="0"/>
          <w:numId w:val="7"/>
        </w:numPr>
      </w:pPr>
      <w:r w:rsidRPr="00D56433">
        <w:t>Dans certains cas, la pratique illicite peut être découverte après que la décision d’adoption ait été rendue et que l’enfant se trouve encore dans l’État d’origine, mais que le certificat de conformité de l’adoption avec la Convention (art.  23) n’ait pas été délivré. Si tel est le cas, s’il n’est pas possible de corriger la situation ou de réparer la pratique illicite, et / ou si ce n’est pas dans l’intérêt supérieur de l’enfant de le faire (voir section 6.1.1), l’autorité compétente peut décider de ne pas délivrer le certificat de conformité (voir également les considérations de la section 6.1.2.4).</w:t>
      </w:r>
    </w:p>
    <w:p w14:paraId="717D2B66" w14:textId="59B46AF3" w:rsidR="00701076" w:rsidRPr="0005545E" w:rsidRDefault="0005545E" w:rsidP="0005545E">
      <w:pPr>
        <w:pStyle w:val="Heading3"/>
        <w:ind w:left="2268" w:hanging="1134"/>
        <w:rPr>
          <w:color w:val="0094D2" w:themeColor="accent1"/>
        </w:rPr>
      </w:pPr>
      <w:bookmarkStart w:id="134" w:name="_Toc90754814"/>
      <w:bookmarkStart w:id="135" w:name="_Toc94008824"/>
      <w:bookmarkStart w:id="136" w:name="_Toc100936042"/>
      <w:r>
        <w:rPr>
          <w:color w:val="0094D2" w:themeColor="accent1"/>
        </w:rPr>
        <w:t>6.2.2.2.</w:t>
      </w:r>
      <w:r>
        <w:rPr>
          <w:color w:val="0094D2" w:themeColor="accent1"/>
        </w:rPr>
        <w:tab/>
      </w:r>
      <w:r w:rsidR="00701076" w:rsidRPr="0005545E">
        <w:rPr>
          <w:color w:val="0094D2" w:themeColor="accent1"/>
        </w:rPr>
        <w:t>Considérations relatives aux éventuels problèmes de protection de l’enfant lorsque l’adopté est encore un enfant</w:t>
      </w:r>
      <w:bookmarkEnd w:id="134"/>
      <w:bookmarkEnd w:id="135"/>
      <w:bookmarkEnd w:id="136"/>
    </w:p>
    <w:p w14:paraId="69F6D094" w14:textId="7CDBF5F5" w:rsidR="00701076" w:rsidRPr="004E7392" w:rsidRDefault="00701076" w:rsidP="009A3B06">
      <w:pPr>
        <w:pStyle w:val="PBParagraphNumber"/>
        <w:numPr>
          <w:ilvl w:val="0"/>
          <w:numId w:val="7"/>
        </w:numPr>
      </w:pPr>
      <w:r>
        <w:t>Selon la nature de la pratique illicite et les circonstances dans lesquelles elle survient, ainsi que la situation de l’enfant, des problèmes de protection de l’enfant (par ex. graves problèmes dans la famille, interruption ou échec de l’adoption, abus ou négligence dans la famille, refus d’un adopté de continuer à vivre dans la famille</w:t>
      </w:r>
      <w:r w:rsidRPr="00955F43">
        <w:rPr>
          <w:rStyle w:val="FootnoteReference"/>
        </w:rPr>
        <w:footnoteReference w:id="37"/>
      </w:r>
      <w:r>
        <w:t>) peuvent être soulevés au cours ou en conséquence de l’enquête (voir ci-dessus para. </w:t>
      </w:r>
      <w:r w:rsidRPr="007D72C1">
        <w:fldChar w:fldCharType="begin"/>
      </w:r>
      <w:r w:rsidRPr="007D72C1">
        <w:instrText xml:space="preserve"> REF _Ref90917214 \r \h </w:instrText>
      </w:r>
      <w:r w:rsidR="007D72C1">
        <w:instrText xml:space="preserve"> \* MERGEFORMAT </w:instrText>
      </w:r>
      <w:r w:rsidRPr="007D72C1">
        <w:fldChar w:fldCharType="separate"/>
      </w:r>
      <w:r w:rsidRPr="007D72C1">
        <w:t>11</w:t>
      </w:r>
      <w:r w:rsidRPr="007D72C1">
        <w:fldChar w:fldCharType="end"/>
      </w:r>
      <w:r>
        <w:t xml:space="preserve"> À </w:t>
      </w:r>
      <w:r w:rsidRPr="007D72C1">
        <w:fldChar w:fldCharType="begin"/>
      </w:r>
      <w:r w:rsidRPr="007D72C1">
        <w:instrText xml:space="preserve"> REF _Ref90917216 \r \h </w:instrText>
      </w:r>
      <w:r w:rsidR="007D72C1">
        <w:instrText xml:space="preserve"> \* MERGEFORMAT </w:instrText>
      </w:r>
      <w:r w:rsidRPr="007D72C1">
        <w:fldChar w:fldCharType="separate"/>
      </w:r>
      <w:r w:rsidRPr="007D72C1">
        <w:t>14</w:t>
      </w:r>
      <w:r w:rsidRPr="007D72C1">
        <w:fldChar w:fldCharType="end"/>
      </w:r>
      <w:r w:rsidRPr="007D72C1">
        <w:t>).</w:t>
      </w:r>
      <w:r>
        <w:t xml:space="preserve"> Les Autorités centrales ou toutes autres autorités compétentes qui ont connaissance de tels problèmes doivent les signaler aux autorités compétentes de protection de l’enfant de l’État de résidence habituelle de l’enfant</w:t>
      </w:r>
      <w:r>
        <w:rPr>
          <w:rStyle w:val="FootnoteReference"/>
        </w:rPr>
        <w:footnoteReference w:id="38"/>
      </w:r>
      <w:r>
        <w:t xml:space="preserve">. Ces dernières doivent prendre les mesures nécessaires pour protéger l’enfant et gérer la situation dans les meilleurs délais, conformément à la loi sur la protection de l’enfant. </w:t>
      </w:r>
    </w:p>
    <w:p w14:paraId="3CACA697" w14:textId="78ACEED6" w:rsidR="00701076" w:rsidRPr="004E7392" w:rsidRDefault="00701076" w:rsidP="009A3B06">
      <w:pPr>
        <w:pStyle w:val="PBParagraphNumber"/>
        <w:numPr>
          <w:ilvl w:val="0"/>
          <w:numId w:val="7"/>
        </w:numPr>
      </w:pPr>
      <w:r>
        <w:t>Lorsque cela s’avère nécessaire pour le protéger,</w:t>
      </w:r>
      <w:r w:rsidR="00C61441">
        <w:t xml:space="preserve"> et après un examen minutieux,</w:t>
      </w:r>
      <w:r>
        <w:t xml:space="preserve"> l’enfant peut être retiré de son foyer et </w:t>
      </w:r>
      <w:r w:rsidR="00B70DD5" w:rsidRPr="007D72C1">
        <w:t>pris en charge</w:t>
      </w:r>
      <w:r>
        <w:t xml:space="preserve"> (en principe, </w:t>
      </w:r>
      <w:r w:rsidR="009B0367" w:rsidRPr="007D72C1">
        <w:t xml:space="preserve">le placement de l’enfant dans sa famille élargie ou </w:t>
      </w:r>
      <w:r w:rsidR="00D60C6D" w:rsidRPr="007D72C1">
        <w:t>communauté devrait être préféré</w:t>
      </w:r>
      <w:r w:rsidRPr="007D72C1">
        <w:t>)</w:t>
      </w:r>
      <w:r w:rsidRPr="007D72C1">
        <w:rPr>
          <w:rStyle w:val="FootnoteReference"/>
        </w:rPr>
        <w:footnoteReference w:id="39"/>
      </w:r>
      <w:r w:rsidRPr="007D72C1">
        <w:t>.</w:t>
      </w:r>
      <w:r>
        <w:t xml:space="preserve"> </w:t>
      </w:r>
      <w:r w:rsidRPr="002E0EC3">
        <w:t xml:space="preserve">De telles mesures ne doivent être prises qu’après un examen minutieux qui devrait au moins inclure un examen des éléments suivants : </w:t>
      </w:r>
    </w:p>
    <w:p w14:paraId="467FCD1D" w14:textId="77777777" w:rsidR="001F0D9C" w:rsidRPr="004E7392" w:rsidRDefault="00DB33E8" w:rsidP="00DB33E8">
      <w:pPr>
        <w:pStyle w:val="PBBulletList"/>
      </w:pPr>
      <w:r>
        <w:t>les problèmes présumés de protection de l’enfant</w:t>
      </w:r>
      <w:r w:rsidR="00701076">
        <w:t> ;</w:t>
      </w:r>
      <w:r>
        <w:t xml:space="preserve"> </w:t>
      </w:r>
    </w:p>
    <w:p w14:paraId="2FECBEB5" w14:textId="22B2EB9A" w:rsidR="001F0D9C" w:rsidRPr="004E7392" w:rsidRDefault="004D02E4" w:rsidP="00DB33E8">
      <w:pPr>
        <w:pStyle w:val="PBBulletList"/>
      </w:pPr>
      <w:r>
        <w:t>la situation de l’enfant, ses besoins, son intérêt supérieur</w:t>
      </w:r>
      <w:r w:rsidR="00701076">
        <w:t>, son opinion et son projet de vie </w:t>
      </w:r>
      <w:r w:rsidR="00701076" w:rsidRPr="00D56433">
        <w:rPr>
          <w:rStyle w:val="FootnoteReference"/>
        </w:rPr>
        <w:footnoteReference w:id="40"/>
      </w:r>
      <w:r w:rsidR="007B3F32" w:rsidRPr="00D56433">
        <w:t>;</w:t>
      </w:r>
    </w:p>
    <w:p w14:paraId="285CF22F" w14:textId="77777777" w:rsidR="005903D0" w:rsidRPr="004E7392" w:rsidRDefault="00701076" w:rsidP="00DB33E8">
      <w:pPr>
        <w:pStyle w:val="PBBulletList"/>
      </w:pPr>
      <w:r>
        <w:t>l’aptitude et la capacité</w:t>
      </w:r>
      <w:r w:rsidR="009F5406">
        <w:t xml:space="preserve"> parentales </w:t>
      </w:r>
      <w:r w:rsidR="009F5406" w:rsidRPr="00D56433">
        <w:t>des</w:t>
      </w:r>
      <w:r w:rsidR="00055DCB" w:rsidRPr="00D56433">
        <w:t xml:space="preserve"> </w:t>
      </w:r>
      <w:r w:rsidR="009F5406" w:rsidRPr="00D56433">
        <w:t>parents</w:t>
      </w:r>
      <w:r w:rsidR="009F5406">
        <w:t xml:space="preserve"> adoptifs</w:t>
      </w:r>
      <w:r>
        <w:t xml:space="preserve"> à répondre aux problèmes de protection de l’enfant ;</w:t>
      </w:r>
      <w:r w:rsidR="004D02E4">
        <w:t xml:space="preserve"> </w:t>
      </w:r>
    </w:p>
    <w:p w14:paraId="10C3B30B" w14:textId="77777777" w:rsidR="0091479E" w:rsidRPr="004E7392" w:rsidRDefault="004D02E4" w:rsidP="0020013A">
      <w:pPr>
        <w:pStyle w:val="PBBulletList"/>
      </w:pPr>
      <w:r>
        <w:t>la famille élargie et les liens sociaux ;</w:t>
      </w:r>
    </w:p>
    <w:p w14:paraId="3EB868CA" w14:textId="77777777" w:rsidR="0091479E" w:rsidRPr="00D56433" w:rsidRDefault="00F67BF4" w:rsidP="000E603E">
      <w:pPr>
        <w:pStyle w:val="PBBulletList"/>
      </w:pPr>
      <w:r w:rsidRPr="00D56433">
        <w:t xml:space="preserve">si les parents adoptifs avaient connaissance </w:t>
      </w:r>
      <w:r w:rsidR="005737FB" w:rsidRPr="00D56433">
        <w:t>et / ou</w:t>
      </w:r>
      <w:r w:rsidRPr="00D56433">
        <w:t xml:space="preserve"> étaient impliqués dans la pratique illicite.</w:t>
      </w:r>
    </w:p>
    <w:p w14:paraId="4398E546" w14:textId="77777777" w:rsidR="00701076" w:rsidRPr="00006CE8" w:rsidRDefault="00701076" w:rsidP="00701076">
      <w:pPr>
        <w:pStyle w:val="PBParagraphNumber"/>
        <w:numPr>
          <w:ilvl w:val="0"/>
          <w:numId w:val="1"/>
        </w:numPr>
      </w:pPr>
      <w:r>
        <w:t xml:space="preserve">Dans la mesure du possible et dans le respect des lois et procédures applicables, les Autorités centrales doivent également coopérer à cet examen, afin de trouver une solution qui réponde à l’intérêt supérieur de l’enfant. Si besoin, un </w:t>
      </w:r>
      <w:r w:rsidRPr="007D72C1">
        <w:t>nouveau projet de vie</w:t>
      </w:r>
      <w:r>
        <w:t xml:space="preserve"> pour l’enfant devra être établi.</w:t>
      </w:r>
    </w:p>
    <w:p w14:paraId="5BA08ABD" w14:textId="77777777" w:rsidR="004D02E4" w:rsidRPr="004E7392" w:rsidRDefault="004D02E4" w:rsidP="009A3B06">
      <w:pPr>
        <w:pStyle w:val="PBParagraphNumber"/>
        <w:numPr>
          <w:ilvl w:val="0"/>
          <w:numId w:val="7"/>
        </w:numPr>
      </w:pPr>
      <w:r>
        <w:t xml:space="preserve">Les mesures de protection de l’enfant, y compris </w:t>
      </w:r>
      <w:r w:rsidR="006C2747">
        <w:t>son</w:t>
      </w:r>
      <w:r>
        <w:t xml:space="preserve"> placement à long terme, affectent l’exercice des responsabilités parentales des parents adoptifs, mais pas la filiation</w:t>
      </w:r>
      <w:r w:rsidR="00701076">
        <w:rPr>
          <w:rStyle w:val="FootnoteReference"/>
        </w:rPr>
        <w:footnoteReference w:id="41"/>
      </w:r>
      <w:r w:rsidR="00701076">
        <w:t>.</w:t>
      </w:r>
      <w:r>
        <w:t xml:space="preserve"> Dans des cas graves, </w:t>
      </w:r>
      <w:r>
        <w:lastRenderedPageBreak/>
        <w:t xml:space="preserve">la législation de l’État de résidence habituelle peut prévoir des mesures visant à </w:t>
      </w:r>
      <w:r w:rsidR="00832A2F">
        <w:t xml:space="preserve">révoquer </w:t>
      </w:r>
      <w:r>
        <w:t xml:space="preserve">la responsabilité parentale des parents adoptifs. </w:t>
      </w:r>
    </w:p>
    <w:p w14:paraId="38F76C79" w14:textId="5E8059BB" w:rsidR="004D02E4" w:rsidRPr="0005545E" w:rsidRDefault="0005545E" w:rsidP="0005545E">
      <w:pPr>
        <w:pStyle w:val="Heading3"/>
        <w:ind w:left="2268" w:hanging="1134"/>
        <w:rPr>
          <w:color w:val="0094D2" w:themeColor="accent1"/>
        </w:rPr>
      </w:pPr>
      <w:bookmarkStart w:id="137" w:name="_Toc90754815"/>
      <w:bookmarkStart w:id="138" w:name="_Toc94008825"/>
      <w:bookmarkStart w:id="139" w:name="_Toc100936043"/>
      <w:bookmarkEnd w:id="137"/>
      <w:r>
        <w:rPr>
          <w:color w:val="0094D2" w:themeColor="accent1"/>
        </w:rPr>
        <w:t xml:space="preserve">6.2.2.3. </w:t>
      </w:r>
      <w:r>
        <w:rPr>
          <w:color w:val="0094D2" w:themeColor="accent1"/>
        </w:rPr>
        <w:tab/>
      </w:r>
      <w:r w:rsidR="004D02E4" w:rsidRPr="0005545E">
        <w:rPr>
          <w:color w:val="0094D2" w:themeColor="accent1"/>
        </w:rPr>
        <w:t xml:space="preserve">Considérations </w:t>
      </w:r>
      <w:r w:rsidR="00650CB2" w:rsidRPr="0005545E">
        <w:rPr>
          <w:color w:val="0094D2" w:themeColor="accent1"/>
        </w:rPr>
        <w:t xml:space="preserve">relatives à </w:t>
      </w:r>
      <w:r w:rsidR="004D02E4" w:rsidRPr="0005545E">
        <w:rPr>
          <w:color w:val="0094D2" w:themeColor="accent1"/>
        </w:rPr>
        <w:t>la révocation ou</w:t>
      </w:r>
      <w:r w:rsidR="006C2747" w:rsidRPr="0005545E">
        <w:rPr>
          <w:color w:val="0094D2" w:themeColor="accent1"/>
        </w:rPr>
        <w:t xml:space="preserve"> à</w:t>
      </w:r>
      <w:r w:rsidR="004D02E4" w:rsidRPr="0005545E">
        <w:rPr>
          <w:color w:val="0094D2" w:themeColor="accent1"/>
        </w:rPr>
        <w:t xml:space="preserve"> l’annulation de l’adoption</w:t>
      </w:r>
      <w:bookmarkEnd w:id="138"/>
      <w:bookmarkEnd w:id="139"/>
    </w:p>
    <w:p w14:paraId="07092272" w14:textId="77777777" w:rsidR="004D02E4" w:rsidRPr="004E7392" w:rsidRDefault="004D02E4" w:rsidP="009A3B06">
      <w:pPr>
        <w:pStyle w:val="PBParagraphNumber"/>
        <w:numPr>
          <w:ilvl w:val="0"/>
          <w:numId w:val="7"/>
        </w:numPr>
      </w:pPr>
      <w:r>
        <w:t xml:space="preserve">Selon la nature de la pratique illicite et ses éventuelles conséquences sur la validité de l’adoption, la loi de l’État dans lequel cette dernière a eu lieu </w:t>
      </w:r>
      <w:r w:rsidR="005737FB">
        <w:t>et / ou</w:t>
      </w:r>
      <w:r>
        <w:t xml:space="preserve"> la loi de l’État de résidence habituelle de l’adopté est susceptible d’autoriser sa révocation ou son annulation. Une telle loi déterminera notamment les points suivants : </w:t>
      </w:r>
    </w:p>
    <w:p w14:paraId="047B23A5" w14:textId="77777777" w:rsidR="00701076" w:rsidRPr="004E7392" w:rsidRDefault="00701076" w:rsidP="00701076">
      <w:pPr>
        <w:pStyle w:val="PBBulletList"/>
      </w:pPr>
      <w:r>
        <w:t>l’État ou l’autorité (en principe un tribunal) qui sera compétent ;</w:t>
      </w:r>
    </w:p>
    <w:p w14:paraId="03131536" w14:textId="77777777" w:rsidR="004D02E4" w:rsidRPr="004E7392" w:rsidRDefault="004D02E4" w:rsidP="006A5870">
      <w:pPr>
        <w:pStyle w:val="PBBulletList"/>
      </w:pPr>
      <w:r>
        <w:t xml:space="preserve">qui peut solliciter la révocation ou l’annulation (par ex. l’adopté, les parents </w:t>
      </w:r>
      <w:r w:rsidR="00701076">
        <w:t>d’origine</w:t>
      </w:r>
      <w:r>
        <w:t xml:space="preserve">, les parents adoptifs, l’État par l’intermédiaire d’une autorité compétente) ; </w:t>
      </w:r>
    </w:p>
    <w:p w14:paraId="0E2168CD" w14:textId="77777777" w:rsidR="004D02E4" w:rsidRPr="004E7392" w:rsidRDefault="004D02E4" w:rsidP="006A5870">
      <w:pPr>
        <w:pStyle w:val="PBBulletList"/>
      </w:pPr>
      <w:r>
        <w:t xml:space="preserve">les fondements sur lesquels la révocation ou l’annulation peut être accordée et la procédure à suivre (notamment s’il y a une limite d’âge ou un délai déterminé pour </w:t>
      </w:r>
      <w:r w:rsidR="006C2747">
        <w:t xml:space="preserve">la </w:t>
      </w:r>
      <w:r>
        <w:t>demander) ;</w:t>
      </w:r>
    </w:p>
    <w:p w14:paraId="32BE2C16" w14:textId="5173B278" w:rsidR="00701076" w:rsidRPr="004E7392" w:rsidRDefault="00701076" w:rsidP="00701076">
      <w:pPr>
        <w:pStyle w:val="PBBulletList"/>
      </w:pPr>
      <w:r>
        <w:t>les conséquences juridiques d’une révocation ou d’une annulation (par ex. extinction de la filiation des parents adoptifs et retrait de leur responsabilité parentale, restauration éventuelle de l’identité initiale de la personne), y compris pour ce qui est de</w:t>
      </w:r>
      <w:r w:rsidR="00115AC1" w:rsidRPr="007D72C1">
        <w:t>(s)</w:t>
      </w:r>
      <w:r w:rsidRPr="007D72C1">
        <w:t xml:space="preserve"> </w:t>
      </w:r>
      <w:r w:rsidR="00115AC1" w:rsidRPr="007D72C1">
        <w:t>(</w:t>
      </w:r>
      <w:r>
        <w:t>la</w:t>
      </w:r>
      <w:r w:rsidR="00115AC1" w:rsidRPr="007D72C1">
        <w:t>)</w:t>
      </w:r>
      <w:r>
        <w:t xml:space="preserve"> nationalité</w:t>
      </w:r>
      <w:r w:rsidR="00115AC1" w:rsidRPr="007D72C1">
        <w:t>(s)</w:t>
      </w:r>
      <w:r w:rsidR="00115AC1" w:rsidRPr="007D72C1">
        <w:rPr>
          <w:rStyle w:val="FootnoteReference"/>
        </w:rPr>
        <w:footnoteReference w:id="42"/>
      </w:r>
      <w:r>
        <w:t xml:space="preserve"> de l’adopté.</w:t>
      </w:r>
    </w:p>
    <w:p w14:paraId="44AE0788" w14:textId="77777777" w:rsidR="00701076" w:rsidRPr="004E7392" w:rsidRDefault="00701076" w:rsidP="009A3B06">
      <w:pPr>
        <w:pStyle w:val="PBParagraphNumber"/>
        <w:numPr>
          <w:ilvl w:val="0"/>
          <w:numId w:val="7"/>
        </w:numPr>
      </w:pPr>
      <w:r>
        <w:t>Lorsque la loi de l’État autorise ce dernier (par l’intermédiaire d’une autorité compétente) à demander la révocation ou l’annulation d’une adoption et que l’adopté est encore enfant, une telle décision ne peut être prise qu’après :</w:t>
      </w:r>
    </w:p>
    <w:p w14:paraId="6363C771" w14:textId="77777777" w:rsidR="00701076" w:rsidRPr="000176AE" w:rsidRDefault="00701076" w:rsidP="00701076">
      <w:pPr>
        <w:pStyle w:val="PBBulletList"/>
      </w:pPr>
      <w:r>
        <w:t xml:space="preserve">un examen complet par l’autorité compétente en matière de protection de l’enfant de la situation, des besoins et de l’intérêt supérieur de l’enfant (y compris, son opinion, </w:t>
      </w:r>
      <w:r w:rsidRPr="000176AE">
        <w:t>et en tenant compte de son âge, de sa maturité et de son consentement, le cas échéant) ;</w:t>
      </w:r>
    </w:p>
    <w:p w14:paraId="05E72E7E" w14:textId="77777777" w:rsidR="004D02E4" w:rsidRPr="004E7392" w:rsidRDefault="004D02E4" w:rsidP="006A5870">
      <w:pPr>
        <w:pStyle w:val="PBBulletList"/>
      </w:pPr>
      <w:r>
        <w:t xml:space="preserve">une décision de l’autorité compétente </w:t>
      </w:r>
      <w:r w:rsidR="00650CB2">
        <w:t xml:space="preserve">affirmant que </w:t>
      </w:r>
      <w:r>
        <w:t xml:space="preserve">le maintien de la filiation avec les parents adoptifs </w:t>
      </w:r>
      <w:r w:rsidR="00650CB2">
        <w:t xml:space="preserve">ne </w:t>
      </w:r>
      <w:r>
        <w:t xml:space="preserve">répond </w:t>
      </w:r>
      <w:r w:rsidR="00650CB2">
        <w:t xml:space="preserve">pas </w:t>
      </w:r>
      <w:r>
        <w:t xml:space="preserve">à l’intérêt supérieur de l’enfant ; et </w:t>
      </w:r>
    </w:p>
    <w:p w14:paraId="10EF5598" w14:textId="77777777" w:rsidR="004D02E4" w:rsidRPr="004F5D77" w:rsidRDefault="004D02E4" w:rsidP="006A5870">
      <w:pPr>
        <w:pStyle w:val="PBBulletList"/>
        <w:rPr>
          <w:color w:val="7030A0"/>
        </w:rPr>
      </w:pPr>
      <w:r>
        <w:t xml:space="preserve">l’établissement d’un nouveau projet de vie, en consultation avec, le cas échéant et dans la mesure du possible, toutes les personnes concernées. </w:t>
      </w:r>
    </w:p>
    <w:p w14:paraId="48B35613" w14:textId="77777777" w:rsidR="004D02E4" w:rsidRPr="004E7392" w:rsidRDefault="004D02E4" w:rsidP="009A3B06">
      <w:pPr>
        <w:pStyle w:val="PBParagraphNumber"/>
        <w:numPr>
          <w:ilvl w:val="0"/>
          <w:numId w:val="7"/>
        </w:numPr>
      </w:pPr>
      <w:r>
        <w:t xml:space="preserve">Le nouveau projet de vie de l’enfant après la révocation ou l’annulation peut prévoir : </w:t>
      </w:r>
    </w:p>
    <w:p w14:paraId="22F9F70A" w14:textId="77777777" w:rsidR="004D02E4" w:rsidRPr="004E7392" w:rsidRDefault="004D02E4" w:rsidP="006A5870">
      <w:pPr>
        <w:pStyle w:val="PBBulletList"/>
      </w:pPr>
      <w:r>
        <w:t xml:space="preserve">d’organiser le </w:t>
      </w:r>
      <w:r>
        <w:rPr>
          <w:b/>
          <w:bCs/>
        </w:rPr>
        <w:t>retour de l’enfant dans sa famille d’origine</w:t>
      </w:r>
      <w:r>
        <w:t xml:space="preserve">, si l’intérêt de l’enfant le commande, selon les circonstances actuelles et d’autres éléments, et après </w:t>
      </w:r>
      <w:r w:rsidR="00641641">
        <w:t>l’apport d’un soutien et de</w:t>
      </w:r>
      <w:r>
        <w:t xml:space="preserve"> conseils appropriés à toutes les parties. Dans un tel cas, l’État d’origine doit s’assurer que la famille d’origine est en mesure de prendre soin de l’enfant ; cette solution implique nécessairement un degré élevé de coopération entre l’État d’accueil et l’État d’origine ; ou</w:t>
      </w:r>
    </w:p>
    <w:p w14:paraId="6A86EFD4" w14:textId="77777777" w:rsidR="004D02E4" w:rsidRPr="004E7392" w:rsidRDefault="004D02E4" w:rsidP="006A5870">
      <w:pPr>
        <w:pStyle w:val="PBBulletList"/>
      </w:pPr>
      <w:r>
        <w:t xml:space="preserve">d’organiser un </w:t>
      </w:r>
      <w:r>
        <w:rPr>
          <w:b/>
          <w:bCs/>
        </w:rPr>
        <w:t>nouveau placement</w:t>
      </w:r>
      <w:r>
        <w:t xml:space="preserve"> de l’enfant en vue d’une </w:t>
      </w:r>
      <w:r>
        <w:rPr>
          <w:b/>
          <w:bCs/>
        </w:rPr>
        <w:t>adoption</w:t>
      </w:r>
      <w:r>
        <w:t> ; ou</w:t>
      </w:r>
    </w:p>
    <w:p w14:paraId="55AB96DE" w14:textId="450543B8" w:rsidR="004D02E4" w:rsidRPr="004E7392" w:rsidRDefault="004D02E4" w:rsidP="006A5870">
      <w:pPr>
        <w:pStyle w:val="PBBulletList"/>
      </w:pPr>
      <w:r>
        <w:t xml:space="preserve">de trouver une </w:t>
      </w:r>
      <w:r w:rsidR="00701076">
        <w:t xml:space="preserve">autre solution de </w:t>
      </w:r>
      <w:r w:rsidR="00701076">
        <w:rPr>
          <w:b/>
        </w:rPr>
        <w:t>replacement</w:t>
      </w:r>
      <w:r w:rsidR="00C661AB">
        <w:rPr>
          <w:b/>
        </w:rPr>
        <w:t xml:space="preserve"> </w:t>
      </w:r>
      <w:r w:rsidR="007528BF">
        <w:rPr>
          <w:b/>
        </w:rPr>
        <w:t>familial</w:t>
      </w:r>
      <w:r>
        <w:rPr>
          <w:b/>
          <w:bCs/>
        </w:rPr>
        <w:t xml:space="preserve"> durable</w:t>
      </w:r>
      <w:r w:rsidR="00701076">
        <w:rPr>
          <w:b/>
        </w:rPr>
        <w:t xml:space="preserve"> </w:t>
      </w:r>
      <w:r w:rsidR="00701076">
        <w:t xml:space="preserve">ou </w:t>
      </w:r>
      <w:r w:rsidR="00701076" w:rsidRPr="007D72C1">
        <w:t>un</w:t>
      </w:r>
      <w:r w:rsidR="00D562AC" w:rsidRPr="007D72C1">
        <w:t>e</w:t>
      </w:r>
      <w:r w:rsidR="00701076">
        <w:t xml:space="preserve"> autre </w:t>
      </w:r>
      <w:r w:rsidR="00D562AC" w:rsidRPr="007D72C1">
        <w:t xml:space="preserve">solution </w:t>
      </w:r>
      <w:r w:rsidR="00701076" w:rsidRPr="007D72C1">
        <w:t>approprié</w:t>
      </w:r>
      <w:r w:rsidR="00D562AC" w:rsidRPr="007D72C1">
        <w:t>e</w:t>
      </w:r>
      <w:r w:rsidR="00701076">
        <w:t xml:space="preserve"> dans l’intérêt supérieur de l’enfant.</w:t>
      </w:r>
      <w:r>
        <w:t xml:space="preserve"> </w:t>
      </w:r>
    </w:p>
    <w:p w14:paraId="32C7B058" w14:textId="77777777" w:rsidR="004D02E4" w:rsidRPr="004E7392" w:rsidRDefault="004D02E4" w:rsidP="009A3B06">
      <w:pPr>
        <w:pStyle w:val="PBParagraphNumber"/>
        <w:numPr>
          <w:ilvl w:val="0"/>
          <w:numId w:val="7"/>
        </w:numPr>
      </w:pPr>
      <w:r>
        <w:t xml:space="preserve">Les Autorités centrales devraient vivement encourager tout adopté adulte, parent </w:t>
      </w:r>
      <w:r w:rsidR="009E6DBB">
        <w:t xml:space="preserve">d’origine </w:t>
      </w:r>
      <w:r>
        <w:t xml:space="preserve">ou parent adoptif qui envisage la révocation ou l’annulation de l’adoption, à solliciter un soutien et des conseils juridiques avant d’engager toute procédure, notamment en ce qui concerne les éventuelles conséquences sur la </w:t>
      </w:r>
      <w:r w:rsidRPr="000176AE">
        <w:t>nationalité</w:t>
      </w:r>
      <w:r>
        <w:t xml:space="preserve"> de l’adopté. </w:t>
      </w:r>
      <w:r w:rsidRPr="000176AE">
        <w:t xml:space="preserve">Les États doivent s’efforcer de garantir que les adoptés ne perdent pas les avantages découlant de l’adoption (par ex. la nationalité) en cas de révocation ou d’annulation de celle-ci. </w:t>
      </w:r>
    </w:p>
    <w:p w14:paraId="31C4F6D0" w14:textId="3A5D6962" w:rsidR="00701076" w:rsidRPr="0005545E" w:rsidRDefault="0005545E" w:rsidP="0005545E">
      <w:pPr>
        <w:pStyle w:val="Heading3"/>
        <w:ind w:left="2268" w:hanging="1134"/>
        <w:rPr>
          <w:color w:val="0094D2" w:themeColor="accent1"/>
        </w:rPr>
      </w:pPr>
      <w:bookmarkStart w:id="140" w:name="_Toc90754816"/>
      <w:bookmarkStart w:id="141" w:name="_Toc94008826"/>
      <w:bookmarkStart w:id="142" w:name="_Toc100936044"/>
      <w:r>
        <w:rPr>
          <w:color w:val="0094D2" w:themeColor="accent1"/>
        </w:rPr>
        <w:lastRenderedPageBreak/>
        <w:t xml:space="preserve">6.2.2.4. </w:t>
      </w:r>
      <w:r>
        <w:rPr>
          <w:color w:val="0094D2" w:themeColor="accent1"/>
        </w:rPr>
        <w:tab/>
      </w:r>
      <w:r w:rsidR="00701076" w:rsidRPr="0005545E">
        <w:rPr>
          <w:color w:val="0094D2" w:themeColor="accent1"/>
        </w:rPr>
        <w:t>Considérations relatives à la non-reconnaissance de l’adoption</w:t>
      </w:r>
      <w:bookmarkEnd w:id="140"/>
      <w:bookmarkEnd w:id="141"/>
      <w:bookmarkEnd w:id="142"/>
    </w:p>
    <w:p w14:paraId="6C3D510B" w14:textId="77777777" w:rsidR="00701076" w:rsidRDefault="00701076" w:rsidP="009A3B06">
      <w:pPr>
        <w:pStyle w:val="PBParagraphNumber"/>
        <w:numPr>
          <w:ilvl w:val="0"/>
          <w:numId w:val="7"/>
        </w:numPr>
      </w:pPr>
      <w:r>
        <w:t xml:space="preserve">La Convention Adoption de 1993 énonce que la « reconnaissance d’une adoption ne peut être refusée dans un [É]tat contractant que si l’adoption est manifestement contraire à son ordre public, compte tenu de l’intérêt supérieur de l’enfant » (art. 24). Certains États peuvent juger la reconnaissance d’une adoption internationale dans le cadre de laquelle des pratiques illicites sont survenues contraires à leur ordre public (y compris les lois et législation). Ils peuvent donc refuser de reconnaître ladite adoption. </w:t>
      </w:r>
    </w:p>
    <w:p w14:paraId="075AF7C7" w14:textId="02473D14" w:rsidR="00701076" w:rsidRPr="000176AE" w:rsidRDefault="00701076" w:rsidP="009A3B06">
      <w:pPr>
        <w:pStyle w:val="PBParagraphNumber"/>
        <w:numPr>
          <w:ilvl w:val="0"/>
          <w:numId w:val="7"/>
        </w:numPr>
      </w:pPr>
      <w:r w:rsidRPr="000176AE">
        <w:t>« La non-reconnaissance de l’adoption constituerait une sanction extrême dans des cas très exceptionnels, par exemple, en cas de violation des droits fondamentaux de la famille [d’origine] »</w:t>
      </w:r>
      <w:r w:rsidRPr="000176AE">
        <w:rPr>
          <w:rStyle w:val="FootnoteReference"/>
        </w:rPr>
        <w:footnoteReference w:id="43"/>
      </w:r>
      <w:r w:rsidRPr="000176AE">
        <w:t xml:space="preserve"> et / ou </w:t>
      </w:r>
      <w:r w:rsidR="00C45062" w:rsidRPr="000176AE">
        <w:t>d’</w:t>
      </w:r>
      <w:r w:rsidRPr="000176AE">
        <w:t>une adoption illégale. Certaines pratiques illicites peuvent constituer de telles atteintes. La non-reconnaissance doit tenir compte de l’intérêt supérieur de l’enfant et des autres intérêts en jeu. Lors de l’évaluation de l’intérêt supérieur de l’enfant, il convient de tenir compte des souhaits et de l’opinion de l’adopté.</w:t>
      </w:r>
    </w:p>
    <w:p w14:paraId="47E04C9B" w14:textId="77777777" w:rsidR="00701076" w:rsidRPr="000176AE" w:rsidRDefault="00701076" w:rsidP="009A3B06">
      <w:pPr>
        <w:pStyle w:val="PBParagraphNumber"/>
        <w:numPr>
          <w:ilvl w:val="0"/>
          <w:numId w:val="7"/>
        </w:numPr>
      </w:pPr>
      <w:r w:rsidRPr="000176AE">
        <w:t xml:space="preserve">Pour éviter une filiation bancale (c.-à-d., une filiation différente dans différents États), les États devraient collaborer aux étapes de l’enquête et arriver à la même conclusion, afin d’éviter une situation dans laquelle les deux États ont des points de vue différents sur la validité (et la reconnaissance qui en résulte) de l’adoption. </w:t>
      </w:r>
    </w:p>
    <w:p w14:paraId="02E7C2CF" w14:textId="0BC62B59" w:rsidR="00701076" w:rsidRDefault="0005545E" w:rsidP="0005545E">
      <w:pPr>
        <w:pStyle w:val="Heading3"/>
      </w:pPr>
      <w:bookmarkStart w:id="143" w:name="_Toc64621545"/>
      <w:bookmarkStart w:id="144" w:name="_Toc90754817"/>
      <w:bookmarkStart w:id="145" w:name="_Toc100936045"/>
      <w:r>
        <w:t xml:space="preserve">6.2. </w:t>
      </w:r>
      <w:r>
        <w:tab/>
      </w:r>
      <w:r w:rsidR="00701076">
        <w:t>Mesures visant d’autres acteurs</w:t>
      </w:r>
      <w:r w:rsidR="00701076" w:rsidRPr="004E7392">
        <w:rPr>
          <w:rStyle w:val="FootnoteReference"/>
        </w:rPr>
        <w:footnoteReference w:id="44"/>
      </w:r>
      <w:bookmarkEnd w:id="143"/>
      <w:bookmarkEnd w:id="144"/>
      <w:bookmarkEnd w:id="145"/>
    </w:p>
    <w:p w14:paraId="10293347" w14:textId="2650552C" w:rsidR="00066130" w:rsidRDefault="0005545E" w:rsidP="0005545E">
      <w:pPr>
        <w:pStyle w:val="Heading3"/>
        <w:ind w:firstLine="567"/>
      </w:pPr>
      <w:bookmarkStart w:id="146" w:name="_Toc90754818"/>
      <w:bookmarkStart w:id="147" w:name="_Toc100936046"/>
      <w:r>
        <w:t xml:space="preserve">6.2.1. </w:t>
      </w:r>
      <w:r>
        <w:tab/>
      </w:r>
      <w:r w:rsidR="006062BE">
        <w:t>Autorités</w:t>
      </w:r>
      <w:bookmarkEnd w:id="146"/>
      <w:bookmarkEnd w:id="147"/>
    </w:p>
    <w:p w14:paraId="17A0E77D" w14:textId="77777777" w:rsidR="00701076" w:rsidRDefault="00701076" w:rsidP="009A3B06">
      <w:pPr>
        <w:pStyle w:val="PBParagraphNumber"/>
        <w:numPr>
          <w:ilvl w:val="0"/>
          <w:numId w:val="7"/>
        </w:numPr>
      </w:pPr>
      <w:r>
        <w:t xml:space="preserve">S’il ressort de l’enquête que le personnel, les </w:t>
      </w:r>
      <w:r w:rsidRPr="007D72C1">
        <w:t>volontaires ou les autres personnes travaillant</w:t>
      </w:r>
      <w:r>
        <w:t xml:space="preserve"> pour une Autorité centrale ou une autorité compétente ont été impliqués dans des pratiques illicites, il convient de réfléchir à la mesure la plus appropriée en fonction des circonstances de l’espèce. À titre d’exemple, il peut s’agir de mesures correctives et / ou de sanctions disciplinaires à l’instar de la rétrogradation, de la suspension des fonctions ou de la destitution. </w:t>
      </w:r>
    </w:p>
    <w:p w14:paraId="12DD75D6" w14:textId="4ADE42A7" w:rsidR="00701076" w:rsidRDefault="0005545E" w:rsidP="0005545E">
      <w:pPr>
        <w:pStyle w:val="Heading3"/>
        <w:ind w:firstLine="567"/>
      </w:pPr>
      <w:bookmarkStart w:id="148" w:name="_Toc90754819"/>
      <w:bookmarkStart w:id="149" w:name="_Toc100936047"/>
      <w:r>
        <w:t>6.2.2.</w:t>
      </w:r>
      <w:r>
        <w:tab/>
      </w:r>
      <w:r>
        <w:tab/>
      </w:r>
      <w:r w:rsidR="00701076" w:rsidRPr="007D72C1">
        <w:t>OAA</w:t>
      </w:r>
      <w:bookmarkEnd w:id="148"/>
      <w:bookmarkEnd w:id="149"/>
    </w:p>
    <w:p w14:paraId="54FE5AE6" w14:textId="77777777" w:rsidR="00701076" w:rsidRPr="004E7392" w:rsidRDefault="00701076" w:rsidP="009A3B06">
      <w:pPr>
        <w:pStyle w:val="PBParagraphNumber"/>
        <w:numPr>
          <w:ilvl w:val="0"/>
          <w:numId w:val="7"/>
        </w:numPr>
      </w:pPr>
      <w:r>
        <w:t>Lorsque des OAA, y compris leur personnel, représentants ou volontaires, sont impliqués dans des pratiques illicites, les autorités doivent déterminer quelle est la mesure la plus appropriée en fonction des circonstances de l’espèce, y compris la gravité de la conduite :</w:t>
      </w:r>
    </w:p>
    <w:p w14:paraId="3CF20052" w14:textId="01FEE509" w:rsidR="00701076" w:rsidRPr="004E7392" w:rsidRDefault="00701076" w:rsidP="00701076">
      <w:pPr>
        <w:pStyle w:val="PBBulletList"/>
      </w:pPr>
      <w:r>
        <w:t xml:space="preserve">Pour les fautes moins graves, les sanctions peuvent inclure </w:t>
      </w:r>
      <w:r>
        <w:rPr>
          <w:b/>
        </w:rPr>
        <w:t>une lettre de mise en garde</w:t>
      </w:r>
      <w:r>
        <w:t xml:space="preserve">, des </w:t>
      </w:r>
      <w:r>
        <w:rPr>
          <w:b/>
          <w:bCs/>
        </w:rPr>
        <w:t>mesures correctives</w:t>
      </w:r>
      <w:r>
        <w:t xml:space="preserve"> ou une </w:t>
      </w:r>
      <w:r>
        <w:rPr>
          <w:b/>
        </w:rPr>
        <w:t>amende</w:t>
      </w:r>
      <w:r>
        <w:t>.</w:t>
      </w:r>
    </w:p>
    <w:p w14:paraId="2B0330AB" w14:textId="2AA549AA" w:rsidR="00701076" w:rsidRPr="009E2842" w:rsidRDefault="00701076" w:rsidP="00701076">
      <w:pPr>
        <w:pStyle w:val="PBBulletList"/>
      </w:pPr>
      <w:r>
        <w:t xml:space="preserve">Pour les fautes plus graves, les sanctions peuvent inclure la </w:t>
      </w:r>
      <w:r>
        <w:rPr>
          <w:b/>
        </w:rPr>
        <w:t>suspension</w:t>
      </w:r>
      <w:r>
        <w:t xml:space="preserve"> de l’agrément, de l’autorisation, de l’approbation ou de la licence ou le </w:t>
      </w:r>
      <w:r>
        <w:rPr>
          <w:b/>
        </w:rPr>
        <w:t>retrait</w:t>
      </w:r>
      <w:r>
        <w:t xml:space="preserve"> (ou le refus de renouvellement) de cet agrément, de cette autorisation, de cette approbation ou de cette licence</w:t>
      </w:r>
      <w:r>
        <w:rPr>
          <w:rStyle w:val="FootnoteReference"/>
        </w:rPr>
        <w:footnoteReference w:id="45"/>
      </w:r>
      <w:r>
        <w:t>. Dans certains cas, la suspension peut être imposée dans l’idée d’un retrait de l’accréditation, de l’autorisation, de l’approbation ou de la licence si l’organisme ou l’institution ne prend aucune mesure pour remédier aux pratiques illicites observées</w:t>
      </w:r>
      <w:r w:rsidRPr="004E7392">
        <w:rPr>
          <w:rStyle w:val="FootnoteReference"/>
        </w:rPr>
        <w:footnoteReference w:id="46"/>
      </w:r>
      <w:r>
        <w:t>. Dans l’une ou l’autre de ces situations, des dispositions doivent être prises pour qu’un autre organisme ou autorité traite les dossiers d’adoption auparavant gérés par l’OAA visé par le retrait d’agrément.</w:t>
      </w:r>
    </w:p>
    <w:p w14:paraId="346ED2A9" w14:textId="08655CEA" w:rsidR="00701076" w:rsidRDefault="0005545E" w:rsidP="0005545E">
      <w:pPr>
        <w:pStyle w:val="Heading3"/>
        <w:ind w:firstLine="567"/>
      </w:pPr>
      <w:bookmarkStart w:id="150" w:name="_Toc90754820"/>
      <w:bookmarkStart w:id="151" w:name="_Toc100936048"/>
      <w:r>
        <w:lastRenderedPageBreak/>
        <w:t xml:space="preserve">6.2.3. </w:t>
      </w:r>
      <w:r>
        <w:tab/>
      </w:r>
      <w:r w:rsidR="00701076">
        <w:t>Institutions pour enfants, professionnels indépendants et autres acteurs</w:t>
      </w:r>
      <w:bookmarkEnd w:id="150"/>
      <w:bookmarkEnd w:id="151"/>
      <w:r w:rsidR="00701076">
        <w:t xml:space="preserve"> </w:t>
      </w:r>
    </w:p>
    <w:p w14:paraId="1A945C43" w14:textId="77777777" w:rsidR="00701076" w:rsidRPr="004E7392" w:rsidRDefault="00701076" w:rsidP="009A3B06">
      <w:pPr>
        <w:pStyle w:val="PBParagraphNumber"/>
        <w:numPr>
          <w:ilvl w:val="0"/>
          <w:numId w:val="7"/>
        </w:numPr>
      </w:pPr>
      <w:r>
        <w:t xml:space="preserve">Lorsque des </w:t>
      </w:r>
      <w:r w:rsidRPr="007D72C1">
        <w:t>institutions pour enfants</w:t>
      </w:r>
      <w:r>
        <w:t>, des professionnels indépendants ou d’autres acteurs (par ex.</w:t>
      </w:r>
      <w:r>
        <w:rPr>
          <w:i/>
        </w:rPr>
        <w:t xml:space="preserve"> </w:t>
      </w:r>
      <w:r>
        <w:t>des avocats, des intermédiaires, des interprètes, des chauffeurs) sont impliqués dans des pratiques illicites, les autorités doivent déterminer quelle est la mesure la plus appropriée en fonction des circonstances de l’espèce, y compris la gravité de la conduite :</w:t>
      </w:r>
    </w:p>
    <w:p w14:paraId="48A43907" w14:textId="2207BC7F" w:rsidR="00701076" w:rsidRPr="004E7392" w:rsidRDefault="00701076" w:rsidP="00701076">
      <w:pPr>
        <w:pStyle w:val="PBBulletList"/>
      </w:pPr>
      <w:r>
        <w:t>Pour les fautes moins graves, les sanctions peuvent inclure une lettre de mise en garde, des mesures correctives ou une amende.</w:t>
      </w:r>
    </w:p>
    <w:p w14:paraId="5F2C8E58" w14:textId="1DD719BF" w:rsidR="00701076" w:rsidRDefault="00701076" w:rsidP="00701076">
      <w:pPr>
        <w:pStyle w:val="PBBulletList"/>
      </w:pPr>
      <w:r>
        <w:t xml:space="preserve">Pour les fautes plus graves, les sanctions peuvent inclure : </w:t>
      </w:r>
    </w:p>
    <w:p w14:paraId="4B5DA6C7" w14:textId="77777777" w:rsidR="00701076" w:rsidRDefault="00701076" w:rsidP="00701076">
      <w:pPr>
        <w:pStyle w:val="PBBulletList"/>
        <w:numPr>
          <w:ilvl w:val="1"/>
          <w:numId w:val="2"/>
        </w:numPr>
      </w:pPr>
      <w:r>
        <w:t xml:space="preserve">Pour les institutions pour enfants : la possibilité que l’institution pour enfants perde l’autorisation de prendre en charge des enfants en attente d’une adoption ou qu’elle soit fermée (dans certains cas, leur autorisation ou licence peut être suspendue, dans d’autres elle peut leur être entièrement retirée). </w:t>
      </w:r>
    </w:p>
    <w:p w14:paraId="62D3EDD8" w14:textId="77777777" w:rsidR="00701076" w:rsidRDefault="00701076" w:rsidP="00701076">
      <w:pPr>
        <w:pStyle w:val="PBBulletList"/>
        <w:numPr>
          <w:ilvl w:val="1"/>
          <w:numId w:val="2"/>
        </w:numPr>
      </w:pPr>
      <w:r>
        <w:t>Pour les professionnels indépendants et autres acteurs : la suspension ou le retrait de leur licence, la suspension ou le retrait de leur affiliation au barreau, la rétrogradation, la suspension de fonctions, la révocation, etc.</w:t>
      </w:r>
    </w:p>
    <w:p w14:paraId="7758513B" w14:textId="77777777" w:rsidR="00701076" w:rsidRDefault="00701076" w:rsidP="00701076">
      <w:pPr>
        <w:pStyle w:val="PBBulletList"/>
      </w:pPr>
      <w:r>
        <w:t>Dans le cas des institutions pour enfants, des décisions appropriées et bien planifiées doivent être prises à l’égard des enfants résidant dans cette institution.</w:t>
      </w:r>
    </w:p>
    <w:p w14:paraId="12313581" w14:textId="25EA9A2A" w:rsidR="004F3675" w:rsidRDefault="00701076" w:rsidP="0005545E">
      <w:pPr>
        <w:pStyle w:val="Heading3"/>
        <w:numPr>
          <w:ilvl w:val="1"/>
          <w:numId w:val="15"/>
        </w:numPr>
      </w:pPr>
      <w:bookmarkStart w:id="152" w:name="_Toc64621546"/>
      <w:bookmarkStart w:id="153" w:name="_Toc90754821"/>
      <w:bookmarkStart w:id="154" w:name="_Toc100936049"/>
      <w:r>
        <w:t>Autres</w:t>
      </w:r>
      <w:bookmarkStart w:id="155" w:name="_Toc62299541"/>
      <w:bookmarkStart w:id="156" w:name="_Toc62299605"/>
      <w:bookmarkStart w:id="157" w:name="_Toc62299669"/>
      <w:bookmarkStart w:id="158" w:name="_Toc61616495"/>
      <w:bookmarkStart w:id="159" w:name="_Toc62299543"/>
      <w:bookmarkStart w:id="160" w:name="_Toc62299607"/>
      <w:bookmarkStart w:id="161" w:name="_Toc61255173"/>
      <w:bookmarkEnd w:id="155"/>
      <w:bookmarkEnd w:id="156"/>
      <w:bookmarkEnd w:id="157"/>
      <w:r w:rsidR="0062166C">
        <w:t xml:space="preserve"> mesures</w:t>
      </w:r>
      <w:bookmarkEnd w:id="152"/>
      <w:bookmarkEnd w:id="153"/>
      <w:bookmarkEnd w:id="154"/>
      <w:bookmarkEnd w:id="158"/>
      <w:bookmarkEnd w:id="159"/>
      <w:bookmarkEnd w:id="160"/>
      <w:r w:rsidR="0062166C">
        <w:t xml:space="preserve"> </w:t>
      </w:r>
      <w:bookmarkEnd w:id="161"/>
    </w:p>
    <w:p w14:paraId="04DE4D17" w14:textId="2460B541" w:rsidR="0062166C" w:rsidRDefault="0005545E" w:rsidP="0005545E">
      <w:pPr>
        <w:pStyle w:val="Heading3"/>
        <w:ind w:firstLine="567"/>
      </w:pPr>
      <w:r>
        <w:t>6.3.1.</w:t>
      </w:r>
      <w:r>
        <w:tab/>
      </w:r>
      <w:r>
        <w:tab/>
      </w:r>
      <w:bookmarkStart w:id="162" w:name="_Toc90754822"/>
      <w:bookmarkStart w:id="163" w:name="_Toc100936050"/>
      <w:r w:rsidR="0062166C">
        <w:t>Poursuites pénales</w:t>
      </w:r>
      <w:bookmarkEnd w:id="162"/>
      <w:bookmarkEnd w:id="163"/>
      <w:r w:rsidR="0062166C">
        <w:t xml:space="preserve"> </w:t>
      </w:r>
    </w:p>
    <w:p w14:paraId="5F4019CF" w14:textId="77777777" w:rsidR="00035E70" w:rsidRPr="000303F7" w:rsidRDefault="00035E70" w:rsidP="009A3B06">
      <w:pPr>
        <w:pStyle w:val="PBParagraphNumber"/>
        <w:numPr>
          <w:ilvl w:val="0"/>
          <w:numId w:val="7"/>
        </w:numPr>
      </w:pPr>
      <w:r>
        <w:t xml:space="preserve">Lorsque la situation soulève des interrogations quant à une éventuelle activité criminelle, les Autorités centrales ou toute autre autorité compétente doivent en alerter les forces de l’ordre dans les meilleurs délais, qui procéderont ensuite à une enquête judiciaire. La décision de poursuivre sera généralement prise par </w:t>
      </w:r>
      <w:r w:rsidR="00701076">
        <w:t>l’autorité</w:t>
      </w:r>
      <w:r>
        <w:t xml:space="preserve"> compétente (</w:t>
      </w:r>
      <w:r w:rsidR="00641641">
        <w:t>en principe</w:t>
      </w:r>
      <w:r>
        <w:t xml:space="preserve"> le Procureur général) sur la base des éléments de preuve disponibles, compte tenu des dispositions de droit pénal applicables. Dans la mesure du possible, les Autorités centrales doivent coopérer à l’enquête ou aux poursuites. </w:t>
      </w:r>
    </w:p>
    <w:p w14:paraId="392B0BB7" w14:textId="77777777" w:rsidR="00F9786D" w:rsidRPr="000303F7" w:rsidRDefault="002C15D4" w:rsidP="009A3B06">
      <w:pPr>
        <w:pStyle w:val="PBParagraphNumber"/>
        <w:numPr>
          <w:ilvl w:val="0"/>
          <w:numId w:val="7"/>
        </w:numPr>
      </w:pPr>
      <w:r>
        <w:t xml:space="preserve">Les États peuvent se référer aux Fiches de synthèse pour de plus amples informations concernant l’importance de légiférer en la matière, notamment de pénaliser les pratiques illicites et de </w:t>
      </w:r>
      <w:r w:rsidR="00243DDE">
        <w:t xml:space="preserve">fixer </w:t>
      </w:r>
      <w:r>
        <w:t xml:space="preserve">des peines suffisamment sévères pour dissuader toutes les personnes impliquées dans </w:t>
      </w:r>
      <w:r w:rsidR="00701076">
        <w:t>les adoptions internationales d’y recourir</w:t>
      </w:r>
      <w:r w:rsidR="00701076" w:rsidRPr="000303F7">
        <w:rPr>
          <w:rStyle w:val="FootnoteReference"/>
        </w:rPr>
        <w:footnoteReference w:id="47"/>
      </w:r>
      <w:r w:rsidR="00701076">
        <w:t>.</w:t>
      </w:r>
      <w:r>
        <w:t xml:space="preserve"> Les délais de prescription doivent être d’une durée suffisante pour garantir la poursuite des personnes impliquées dans des pratiques illicites. Dans tous les cas, si les poursuites pénales représentent un recours essentiel, elles ne doivent jamais être perçues comme la seule solution en matière de pratiques illicites.</w:t>
      </w:r>
    </w:p>
    <w:p w14:paraId="436D4C70" w14:textId="414BD038" w:rsidR="00701076" w:rsidRDefault="0005545E" w:rsidP="0005545E">
      <w:pPr>
        <w:pStyle w:val="Heading3"/>
        <w:ind w:firstLine="567"/>
      </w:pPr>
      <w:bookmarkStart w:id="164" w:name="_Toc100936051"/>
      <w:bookmarkStart w:id="165" w:name="_Toc90754823"/>
      <w:r>
        <w:t xml:space="preserve">6.3.2. </w:t>
      </w:r>
      <w:r>
        <w:tab/>
      </w:r>
      <w:r w:rsidR="00701076">
        <w:t>Procédure civile</w:t>
      </w:r>
      <w:bookmarkEnd w:id="164"/>
      <w:r w:rsidR="00701076">
        <w:t xml:space="preserve"> </w:t>
      </w:r>
      <w:bookmarkEnd w:id="165"/>
    </w:p>
    <w:p w14:paraId="531A402D" w14:textId="77777777" w:rsidR="00701076" w:rsidRPr="000176AE" w:rsidRDefault="00701076" w:rsidP="009A3B06">
      <w:pPr>
        <w:pStyle w:val="PBParagraphNumber"/>
        <w:numPr>
          <w:ilvl w:val="0"/>
          <w:numId w:val="7"/>
        </w:numPr>
      </w:pPr>
      <w:r w:rsidRPr="000176AE">
        <w:t>Dans certains États, les personnes qui ont subi les conséquences d’une pratique illicite peuvent bénéficier d’une procédure civile. Comme indiqué ci-dessus</w:t>
      </w:r>
      <w:r w:rsidRPr="000176AE">
        <w:rPr>
          <w:rStyle w:val="FootnoteReference"/>
        </w:rPr>
        <w:footnoteReference w:id="48"/>
      </w:r>
      <w:r w:rsidRPr="000176AE">
        <w:t xml:space="preserve">, les Autorités centrales ou les autres autorités compétentes doivent, sur demande, orienter les personnes qui cherchent des informations sur les solutions et les recours possibles vers le service de référence du barreau privé ou toute autre ressource susceptibles de les aider à obtenir des informations juridiques et / ou à trouver un praticien du droit. Elles doivent également leur fournir des informations générales, le cas échéant, quant à l’éventuelle assistance financière disponible (par ex., certains États peuvent </w:t>
      </w:r>
      <w:r w:rsidRPr="000176AE">
        <w:lastRenderedPageBreak/>
        <w:t>offrir des services pro bono, d’autres peuvent fournir une assistance juridique ou d’autres services à moindres coûts ou des services subventionnés fournis par d’autres autorités ou organes)</w:t>
      </w:r>
      <w:r w:rsidRPr="000176AE">
        <w:rPr>
          <w:rStyle w:val="FootnoteReference"/>
        </w:rPr>
        <w:footnoteReference w:id="49"/>
      </w:r>
      <w:r w:rsidRPr="000176AE">
        <w:t xml:space="preserve">. </w:t>
      </w:r>
    </w:p>
    <w:p w14:paraId="311CCFDF" w14:textId="77777777" w:rsidR="00701076" w:rsidRPr="000176AE" w:rsidRDefault="00701076" w:rsidP="009A3B06">
      <w:pPr>
        <w:pStyle w:val="PBParagraphNumber"/>
        <w:numPr>
          <w:ilvl w:val="0"/>
          <w:numId w:val="7"/>
        </w:numPr>
      </w:pPr>
      <w:r w:rsidRPr="000176AE">
        <w:t>[Les Autorités centrales ou d’autres autorités compétentes peuvent également fournir des informations sur les solutions offertes par la procédure civile. Par exemple, dans certains États, cela comprend la restauration de l’identité de l’adopté, la restauration de la nationalité de l’État d’origine (le cas échéant), la suspension de l’activité illicite, la révocation ou l’annulation de l’adoption internationale, ainsi que la réparation pécuniaire (par ex. dommages et intérêts, remboursement d’honoraires, etc.).</w:t>
      </w:r>
    </w:p>
    <w:p w14:paraId="395F6977" w14:textId="690A4B41" w:rsidR="00701076" w:rsidRPr="0060770F" w:rsidRDefault="0005545E" w:rsidP="0005545E">
      <w:pPr>
        <w:pStyle w:val="Heading3"/>
        <w:ind w:firstLine="567"/>
      </w:pPr>
      <w:bookmarkStart w:id="166" w:name="_Toc90754824"/>
      <w:bookmarkStart w:id="167" w:name="_Toc100936052"/>
      <w:r>
        <w:t xml:space="preserve">6.3.3. </w:t>
      </w:r>
      <w:r>
        <w:tab/>
      </w:r>
      <w:r w:rsidR="00701076">
        <w:t>[Tribunaux internationaux et régionaux et autres mécanismes internationaux</w:t>
      </w:r>
      <w:r w:rsidR="00701076" w:rsidRPr="0005545E">
        <w:rPr>
          <w:vertAlign w:val="superscript"/>
        </w:rPr>
        <w:footnoteReference w:id="50"/>
      </w:r>
      <w:bookmarkEnd w:id="166"/>
      <w:bookmarkEnd w:id="167"/>
    </w:p>
    <w:p w14:paraId="1C5DD0B3" w14:textId="77777777" w:rsidR="00937E74" w:rsidRPr="000303F7" w:rsidRDefault="008902B5" w:rsidP="009A3B06">
      <w:pPr>
        <w:pStyle w:val="PBParagraphNumber"/>
        <w:numPr>
          <w:ilvl w:val="0"/>
          <w:numId w:val="7"/>
        </w:numPr>
      </w:pPr>
      <w:bookmarkStart w:id="168" w:name="_Hlk62210878"/>
      <w:r>
        <w:t>Lorsqu</w:t>
      </w:r>
      <w:r w:rsidR="00AF278D">
        <w:t>’</w:t>
      </w:r>
      <w:r>
        <w:t xml:space="preserve">aucune mesure n’est prise pour remédier aux pratiques illicites, il est possible de recourir à des tribunaux et autres mécanismes internationaux auxquels l’État est </w:t>
      </w:r>
      <w:r w:rsidR="00641641">
        <w:t>P</w:t>
      </w:r>
      <w:r>
        <w:t>artie</w:t>
      </w:r>
      <w:r w:rsidR="00701076" w:rsidRPr="000303F7">
        <w:rPr>
          <w:rStyle w:val="FootnoteReference"/>
        </w:rPr>
        <w:footnoteReference w:id="51"/>
      </w:r>
      <w:r w:rsidR="00701076">
        <w:t>.</w:t>
      </w:r>
      <w:r>
        <w:t xml:space="preserve"> Parmi les traités qui prévoient des procédures de recours au profit des individus à </w:t>
      </w:r>
      <w:r w:rsidR="00701076">
        <w:t>l’échelle</w:t>
      </w:r>
      <w:r>
        <w:t xml:space="preserve"> internationale, on recense la </w:t>
      </w:r>
      <w:r w:rsidR="00701076">
        <w:rPr>
          <w:i/>
          <w:iCs/>
        </w:rPr>
        <w:t>Convention des Nations Unies relatives aux droits de l’enfant</w:t>
      </w:r>
      <w:r w:rsidR="00701076">
        <w:t xml:space="preserve"> (</w:t>
      </w:r>
      <w:r>
        <w:t>CNUDE</w:t>
      </w:r>
      <w:r w:rsidR="00701076">
        <w:t>)</w:t>
      </w:r>
      <w:r>
        <w:t xml:space="preserve"> (au moyen de son Protocole facultatif établissant une procédure de présentation de communications (OPIC)), le </w:t>
      </w:r>
      <w:r>
        <w:rPr>
          <w:i/>
          <w:iCs/>
        </w:rPr>
        <w:t>Pacte international relatif aux droits civils et politiques</w:t>
      </w:r>
      <w:r>
        <w:t xml:space="preserve"> et la </w:t>
      </w:r>
      <w:r>
        <w:rPr>
          <w:i/>
          <w:iCs/>
        </w:rPr>
        <w:t>Convention internationale pour la protection de toutes les personnes contre les disparitions forcées.</w:t>
      </w:r>
      <w:r>
        <w:t xml:space="preserve"> La </w:t>
      </w:r>
      <w:r>
        <w:rPr>
          <w:i/>
          <w:iCs/>
        </w:rPr>
        <w:t xml:space="preserve">Charte </w:t>
      </w:r>
      <w:r w:rsidR="005F1E1E">
        <w:rPr>
          <w:i/>
          <w:iCs/>
        </w:rPr>
        <w:t xml:space="preserve">africaine des droits et du </w:t>
      </w:r>
      <w:r w:rsidR="00701076">
        <w:rPr>
          <w:i/>
        </w:rPr>
        <w:t>bienêtre de l’enfant</w:t>
      </w:r>
      <w:r>
        <w:t xml:space="preserve"> </w:t>
      </w:r>
      <w:r w:rsidR="00115AA8">
        <w:t xml:space="preserve">et </w:t>
      </w:r>
      <w:r>
        <w:t xml:space="preserve">la </w:t>
      </w:r>
      <w:r>
        <w:rPr>
          <w:i/>
          <w:iCs/>
        </w:rPr>
        <w:t xml:space="preserve">Convention européenne des droits de </w:t>
      </w:r>
      <w:r w:rsidR="00701076">
        <w:rPr>
          <w:i/>
        </w:rPr>
        <w:t>l’homme</w:t>
      </w:r>
      <w:r>
        <w:t xml:space="preserve"> et la </w:t>
      </w:r>
      <w:r>
        <w:rPr>
          <w:i/>
          <w:iCs/>
        </w:rPr>
        <w:t>Convention interaméricaine des droits de l’homme</w:t>
      </w:r>
      <w:r>
        <w:t xml:space="preserve"> prévoient des mécanismes régionaux de recours. </w:t>
      </w:r>
    </w:p>
    <w:p w14:paraId="561C2E08" w14:textId="383FC2B5" w:rsidR="009E10B4" w:rsidRDefault="00131190" w:rsidP="009A3B06">
      <w:pPr>
        <w:pStyle w:val="PBParagraphNumber"/>
        <w:numPr>
          <w:ilvl w:val="0"/>
          <w:numId w:val="7"/>
        </w:numPr>
      </w:pPr>
      <w:r>
        <w:t>Il n’est possible de recourir à ces mécanismes qu’à condition que la pratique survenue dans le cadre d’une adoption internationale constitue une violation telle que décrite dans l’instrument international sur lequel s’appuie le mécanisme et après épuisement de tous les recours internes (ainsi que d’autres critères d’admissibilité). Les États parties à ces instruments peuvent donner des informations sur ces mécanismes aux personnes intéressées</w:t>
      </w:r>
      <w:r w:rsidRPr="007D72C1">
        <w:t>.</w:t>
      </w:r>
      <w:r w:rsidR="008B4686" w:rsidRPr="007D72C1">
        <w:t>]</w:t>
      </w:r>
      <w:r>
        <w:t xml:space="preserve"> </w:t>
      </w:r>
    </w:p>
    <w:p w14:paraId="121EBBEE" w14:textId="77777777" w:rsidR="00932075" w:rsidRPr="006D612A" w:rsidRDefault="00932075" w:rsidP="00EC5291">
      <w:pPr>
        <w:pStyle w:val="PBParagraphNumber"/>
        <w:numPr>
          <w:ilvl w:val="0"/>
          <w:numId w:val="0"/>
        </w:numPr>
        <w:shd w:val="clear" w:color="auto" w:fill="DEE9D3"/>
        <w:ind w:left="567"/>
        <w:jc w:val="center"/>
        <w:rPr>
          <w:b/>
          <w:color w:val="515C1D"/>
          <w:sz w:val="6"/>
          <w:szCs w:val="6"/>
        </w:rPr>
      </w:pPr>
    </w:p>
    <w:p w14:paraId="401C56D4" w14:textId="77777777" w:rsidR="00701076" w:rsidRPr="00DD776F" w:rsidRDefault="00701076" w:rsidP="00701076">
      <w:pPr>
        <w:pStyle w:val="PBParagraphNumber"/>
        <w:numPr>
          <w:ilvl w:val="0"/>
          <w:numId w:val="0"/>
        </w:numPr>
        <w:shd w:val="clear" w:color="auto" w:fill="DEE9D3"/>
        <w:ind w:left="567"/>
        <w:jc w:val="center"/>
        <w:rPr>
          <w:b/>
          <w:color w:val="006600"/>
        </w:rPr>
      </w:pPr>
      <w:r>
        <w:rPr>
          <w:b/>
          <w:color w:val="006600"/>
        </w:rPr>
        <w:t>[Par ailleurs, en cas de pratiques illicites systémiques (présumées) :</w:t>
      </w:r>
    </w:p>
    <w:p w14:paraId="1A3BD3CA" w14:textId="77777777" w:rsidR="00701076" w:rsidRPr="00DD776F" w:rsidRDefault="00701076" w:rsidP="00701076">
      <w:pPr>
        <w:pStyle w:val="PBBulletList"/>
        <w:shd w:val="clear" w:color="auto" w:fill="DEE9D3"/>
        <w:rPr>
          <w:color w:val="006600"/>
        </w:rPr>
      </w:pPr>
      <w:r>
        <w:rPr>
          <w:color w:val="006600"/>
        </w:rPr>
        <w:t xml:space="preserve">Les Autorités centrales et toute autre autorité compétente doivent avoir conscience que si leur État est Partie à l’OPIC (ainsi qu’à la CNUDE et / ou à l’OPSC), le Comité des droits de l’enfant peut ouvrir une procédure d’enquête s’il reçoit des informations fiables indiquant des violations graves ou systématiques des droits énoncés dans la CNUDE ou dans l’OPSC par l’État. Cela peut recouvrir des pratiques illicites systémiques en matière d’adoption internationale. Cette information peut être transmise par tout acteur et il n’est pas nécessaire que les recours internes soient épuisés pour engager une telle procédure. Le Comité sollicitera la coopération de l’État à tous les stades de l’enquête.] </w:t>
      </w:r>
    </w:p>
    <w:p w14:paraId="0438BEE2" w14:textId="77777777" w:rsidR="00701076" w:rsidRPr="00333844" w:rsidRDefault="00701076" w:rsidP="00701076">
      <w:pPr>
        <w:pStyle w:val="PBParagraphNumber"/>
        <w:numPr>
          <w:ilvl w:val="0"/>
          <w:numId w:val="0"/>
        </w:numPr>
        <w:shd w:val="clear" w:color="auto" w:fill="DAE5D8"/>
        <w:ind w:left="567"/>
        <w:jc w:val="center"/>
        <w:rPr>
          <w:sz w:val="6"/>
          <w:szCs w:val="6"/>
        </w:rPr>
      </w:pPr>
    </w:p>
    <w:p w14:paraId="0FFF970E" w14:textId="68ED150B" w:rsidR="00701076" w:rsidRPr="00BF59EB" w:rsidRDefault="0005545E" w:rsidP="0005545E">
      <w:pPr>
        <w:pStyle w:val="Heading3"/>
        <w:ind w:firstLine="567"/>
      </w:pPr>
      <w:bookmarkStart w:id="169" w:name="_Toc90754825"/>
      <w:bookmarkStart w:id="170" w:name="_Toc100936053"/>
      <w:r>
        <w:t xml:space="preserve">6.3.4. </w:t>
      </w:r>
      <w:r>
        <w:tab/>
      </w:r>
      <w:r w:rsidR="00701076">
        <w:t>[Autres mesures</w:t>
      </w:r>
      <w:r w:rsidR="00701076" w:rsidRPr="0005545E">
        <w:rPr>
          <w:vertAlign w:val="superscript"/>
        </w:rPr>
        <w:footnoteReference w:id="52"/>
      </w:r>
      <w:bookmarkEnd w:id="169"/>
      <w:bookmarkEnd w:id="170"/>
    </w:p>
    <w:p w14:paraId="5B52BB57" w14:textId="77777777" w:rsidR="00701076" w:rsidRPr="006D612A" w:rsidRDefault="00701076" w:rsidP="00701076">
      <w:pPr>
        <w:pStyle w:val="PBParagraphNumber"/>
        <w:numPr>
          <w:ilvl w:val="0"/>
          <w:numId w:val="0"/>
        </w:numPr>
        <w:shd w:val="clear" w:color="auto" w:fill="DEE9D3"/>
        <w:ind w:left="567"/>
        <w:jc w:val="center"/>
        <w:rPr>
          <w:b/>
          <w:color w:val="515C1D"/>
          <w:sz w:val="6"/>
          <w:szCs w:val="6"/>
        </w:rPr>
      </w:pPr>
    </w:p>
    <w:p w14:paraId="0FE9EED8" w14:textId="77777777" w:rsidR="00701076" w:rsidRPr="00EF60DC" w:rsidRDefault="00701076" w:rsidP="00701076">
      <w:pPr>
        <w:pStyle w:val="PBParagraphNumber"/>
        <w:numPr>
          <w:ilvl w:val="0"/>
          <w:numId w:val="0"/>
        </w:numPr>
        <w:shd w:val="clear" w:color="auto" w:fill="DEE9D3"/>
        <w:ind w:left="567"/>
        <w:jc w:val="center"/>
        <w:rPr>
          <w:b/>
          <w:color w:val="006600"/>
        </w:rPr>
      </w:pPr>
      <w:r>
        <w:rPr>
          <w:b/>
          <w:color w:val="006600"/>
        </w:rPr>
        <w:t>En cas de pratiques illicites systémiques (présumées) :</w:t>
      </w:r>
    </w:p>
    <w:p w14:paraId="1C7CA013" w14:textId="77777777" w:rsidR="00701076" w:rsidRPr="00EF60DC" w:rsidRDefault="00701076" w:rsidP="00701076">
      <w:pPr>
        <w:pStyle w:val="PBBulletList"/>
        <w:shd w:val="clear" w:color="auto" w:fill="DEE9D3"/>
        <w:rPr>
          <w:color w:val="006600"/>
        </w:rPr>
      </w:pPr>
      <w:r>
        <w:rPr>
          <w:color w:val="006600"/>
        </w:rPr>
        <w:t xml:space="preserve">Certaines autorités ont assuré la liaison avec leur ministre respectif en vue d’évoquer la possibilité que le gouvernement présente des excuses nationales. </w:t>
      </w:r>
    </w:p>
    <w:p w14:paraId="7415B6F1" w14:textId="77777777" w:rsidR="00701076" w:rsidRPr="00EF60DC" w:rsidRDefault="00701076" w:rsidP="00701076">
      <w:pPr>
        <w:pStyle w:val="PBBulletList"/>
        <w:shd w:val="clear" w:color="auto" w:fill="DEE9D3"/>
        <w:rPr>
          <w:color w:val="006600"/>
        </w:rPr>
      </w:pPr>
      <w:r>
        <w:rPr>
          <w:color w:val="006600"/>
        </w:rPr>
        <w:lastRenderedPageBreak/>
        <w:t>Les États peuvent également souhaiter examiner si un système de justice réparatrice</w:t>
      </w:r>
      <w:r>
        <w:rPr>
          <w:rStyle w:val="FootnoteReference"/>
          <w:color w:val="006600"/>
        </w:rPr>
        <w:footnoteReference w:id="53"/>
      </w:r>
      <w:r>
        <w:rPr>
          <w:color w:val="006600"/>
        </w:rPr>
        <w:t xml:space="preserve"> et une justice transitionnelle</w:t>
      </w:r>
      <w:r>
        <w:rPr>
          <w:rStyle w:val="FootnoteReference"/>
          <w:color w:val="006600"/>
        </w:rPr>
        <w:t xml:space="preserve"> </w:t>
      </w:r>
      <w:r>
        <w:rPr>
          <w:rStyle w:val="FootnoteReference"/>
          <w:color w:val="006600"/>
        </w:rPr>
        <w:footnoteReference w:id="54"/>
      </w:r>
      <w:r>
        <w:rPr>
          <w:color w:val="006600"/>
        </w:rPr>
        <w:t xml:space="preserve"> </w:t>
      </w:r>
      <w:bookmarkStart w:id="171" w:name="_Toc64621547"/>
      <w:r>
        <w:rPr>
          <w:color w:val="006600"/>
        </w:rPr>
        <w:t xml:space="preserve">peuvent être appropriés.] </w:t>
      </w:r>
    </w:p>
    <w:p w14:paraId="001824AE" w14:textId="77777777" w:rsidR="00784C17" w:rsidRDefault="00784C17" w:rsidP="004E301E">
      <w:pPr>
        <w:pStyle w:val="Heading3"/>
        <w:numPr>
          <w:ilvl w:val="1"/>
          <w:numId w:val="15"/>
        </w:numPr>
      </w:pPr>
      <w:bookmarkStart w:id="172" w:name="_Toc61255172"/>
      <w:bookmarkStart w:id="173" w:name="_Toc61616494"/>
      <w:bookmarkStart w:id="174" w:name="_Toc62299542"/>
      <w:bookmarkStart w:id="175" w:name="_Toc62299606"/>
      <w:bookmarkStart w:id="176" w:name="_Toc90754826"/>
      <w:bookmarkStart w:id="177" w:name="_Toc100936054"/>
      <w:bookmarkEnd w:id="168"/>
      <w:r>
        <w:t xml:space="preserve">Mesures visant à renforcer le CADRE JURIDIQUE et à </w:t>
      </w:r>
      <w:r w:rsidR="00182B25">
        <w:t xml:space="preserve">traiter des </w:t>
      </w:r>
      <w:r>
        <w:t>facteurs propices</w:t>
      </w:r>
      <w:bookmarkEnd w:id="171"/>
      <w:bookmarkEnd w:id="172"/>
      <w:bookmarkEnd w:id="173"/>
      <w:bookmarkEnd w:id="174"/>
      <w:bookmarkEnd w:id="175"/>
      <w:bookmarkEnd w:id="176"/>
      <w:bookmarkEnd w:id="177"/>
      <w:r>
        <w:t xml:space="preserve"> </w:t>
      </w:r>
    </w:p>
    <w:p w14:paraId="3943D4B1" w14:textId="77777777" w:rsidR="00784C17" w:rsidRPr="000303F7" w:rsidRDefault="00784C17" w:rsidP="009A3B06">
      <w:pPr>
        <w:pStyle w:val="PBParagraphNumber"/>
        <w:numPr>
          <w:ilvl w:val="0"/>
          <w:numId w:val="7"/>
        </w:numPr>
      </w:pPr>
      <w:r>
        <w:t xml:space="preserve">Les États doivent s’engager à </w:t>
      </w:r>
      <w:r w:rsidR="00182B25">
        <w:t>traiter des</w:t>
      </w:r>
      <w:r>
        <w:t xml:space="preserve"> facteurs propices qui favorisent </w:t>
      </w:r>
      <w:r w:rsidR="005737FB">
        <w:t>et / ou</w:t>
      </w:r>
      <w:r>
        <w:t xml:space="preserve"> facilitent les pratiques illicites. À cet égard, les États peuvent solliciter une assistance technique (voir Partie V – Lignes directrices).</w:t>
      </w:r>
    </w:p>
    <w:p w14:paraId="7A436DF4" w14:textId="77777777" w:rsidR="00784C17" w:rsidRPr="000303F7" w:rsidRDefault="00784C17" w:rsidP="00784C17">
      <w:pPr>
        <w:pStyle w:val="PBParagraphNumber"/>
        <w:numPr>
          <w:ilvl w:val="0"/>
          <w:numId w:val="1"/>
        </w:numPr>
      </w:pPr>
      <w:r>
        <w:t xml:space="preserve">Les États doivent envisager de </w:t>
      </w:r>
      <w:r>
        <w:rPr>
          <w:b/>
          <w:bCs/>
        </w:rPr>
        <w:t>modifier</w:t>
      </w:r>
      <w:r>
        <w:t xml:space="preserve"> leurs lois, règlements, pratiques, procédures ou protocoles pour les rendre plus « robustes » et efficaces pour ce qui est de prévenir toute future pratique illicite</w:t>
      </w:r>
      <w:r w:rsidR="005F1E1E">
        <w:t xml:space="preserve"> et d’y remédier</w:t>
      </w:r>
      <w:r>
        <w:t>.</w:t>
      </w:r>
      <w:r w:rsidR="00701076">
        <w:t xml:space="preserve"> Ils devraient également envisager l’ajout de ressources pour la formation et le développement des meilleures pratiques.</w:t>
      </w:r>
    </w:p>
    <w:p w14:paraId="07DE2773" w14:textId="77777777" w:rsidR="00701076" w:rsidRDefault="00701076" w:rsidP="004E301E">
      <w:pPr>
        <w:pStyle w:val="Heading3"/>
        <w:numPr>
          <w:ilvl w:val="1"/>
          <w:numId w:val="15"/>
        </w:numPr>
      </w:pPr>
      <w:bookmarkStart w:id="178" w:name="_Toc61255171"/>
      <w:bookmarkStart w:id="179" w:name="_Toc61616493"/>
      <w:bookmarkStart w:id="180" w:name="_Toc62299540"/>
      <w:bookmarkStart w:id="181" w:name="_Toc62299604"/>
      <w:bookmarkStart w:id="182" w:name="_Toc64621548"/>
      <w:bookmarkStart w:id="183" w:name="_Toc90754827"/>
      <w:bookmarkStart w:id="184" w:name="_Toc100936055"/>
      <w:r>
        <w:t>Mesures concernant les autres États concernés</w:t>
      </w:r>
      <w:bookmarkEnd w:id="178"/>
      <w:bookmarkEnd w:id="179"/>
      <w:bookmarkEnd w:id="180"/>
      <w:bookmarkEnd w:id="181"/>
      <w:bookmarkEnd w:id="182"/>
      <w:bookmarkEnd w:id="183"/>
      <w:bookmarkEnd w:id="184"/>
    </w:p>
    <w:p w14:paraId="709C195A" w14:textId="77777777" w:rsidR="00784C17" w:rsidRPr="004E7392" w:rsidRDefault="00784C17" w:rsidP="00784C17">
      <w:pPr>
        <w:pStyle w:val="PBParagraphNumber"/>
        <w:numPr>
          <w:ilvl w:val="0"/>
          <w:numId w:val="1"/>
        </w:numPr>
      </w:pPr>
      <w:r>
        <w:t xml:space="preserve">Les États peuvent envisager de recommander que l’autre État concerné (qu’il s’agisse de l’État </w:t>
      </w:r>
      <w:r w:rsidR="00701076">
        <w:t>d’origine</w:t>
      </w:r>
      <w:r>
        <w:t xml:space="preserve"> ou de l’État d’accueil) procède à une enquête quant à la </w:t>
      </w:r>
      <w:r>
        <w:rPr>
          <w:b/>
          <w:bCs/>
        </w:rPr>
        <w:t>légalité de la procédure d’adoption</w:t>
      </w:r>
      <w:r>
        <w:t xml:space="preserve"> dans son État.</w:t>
      </w:r>
    </w:p>
    <w:p w14:paraId="2F8582D7" w14:textId="77777777" w:rsidR="00784C17" w:rsidRPr="004E7392" w:rsidRDefault="00784C17" w:rsidP="009A3B06">
      <w:pPr>
        <w:pStyle w:val="PBParagraphNumber"/>
        <w:numPr>
          <w:ilvl w:val="0"/>
          <w:numId w:val="7"/>
        </w:numPr>
      </w:pPr>
      <w:r>
        <w:t xml:space="preserve">Selon les circonstances et le type de pratiques illicites, il peut s’avérer nécessaire pour les États d’envisager la </w:t>
      </w:r>
      <w:r>
        <w:rPr>
          <w:b/>
          <w:bCs/>
        </w:rPr>
        <w:t>suspension de leur programme d’adoption internationale</w:t>
      </w:r>
      <w:r>
        <w:t xml:space="preserve"> avec l’État concerné, que ce soit de manière permanente ou temporaire, jusqu’à ce que des mesures efficaces soient prises pour remédier à la situation. Si l’on doit en arriver là, les États doivent également </w:t>
      </w:r>
      <w:r w:rsidR="007E0A5B">
        <w:t>di</w:t>
      </w:r>
      <w:r w:rsidR="004B31E3">
        <w:t>s</w:t>
      </w:r>
      <w:r w:rsidR="007E0A5B">
        <w:t xml:space="preserve">poser </w:t>
      </w:r>
      <w:r>
        <w:t xml:space="preserve">d’un protocole pour les dossiers en </w:t>
      </w:r>
      <w:r w:rsidR="0046195F">
        <w:t>cours</w:t>
      </w:r>
      <w:r>
        <w:t>.</w:t>
      </w:r>
    </w:p>
    <w:p w14:paraId="2FF9305F" w14:textId="77777777" w:rsidR="00784C17" w:rsidRPr="006D612A" w:rsidRDefault="00784C17" w:rsidP="00EC5291">
      <w:pPr>
        <w:pStyle w:val="PBParagraphNumber"/>
        <w:numPr>
          <w:ilvl w:val="0"/>
          <w:numId w:val="0"/>
        </w:numPr>
        <w:shd w:val="clear" w:color="auto" w:fill="DEE9D3"/>
        <w:ind w:left="567"/>
        <w:jc w:val="center"/>
        <w:rPr>
          <w:b/>
          <w:color w:val="515C1D"/>
          <w:sz w:val="6"/>
          <w:szCs w:val="6"/>
        </w:rPr>
      </w:pPr>
    </w:p>
    <w:p w14:paraId="05C1842F" w14:textId="77777777" w:rsidR="00784C17" w:rsidRPr="00FC6E17" w:rsidRDefault="00784C17" w:rsidP="00EC5291">
      <w:pPr>
        <w:pStyle w:val="PBParagraphNumber"/>
        <w:numPr>
          <w:ilvl w:val="0"/>
          <w:numId w:val="0"/>
        </w:numPr>
        <w:shd w:val="clear" w:color="auto" w:fill="DEE9D3"/>
        <w:ind w:left="567"/>
        <w:jc w:val="center"/>
        <w:rPr>
          <w:b/>
          <w:color w:val="006600"/>
        </w:rPr>
      </w:pPr>
      <w:r>
        <w:rPr>
          <w:b/>
          <w:color w:val="006600"/>
        </w:rPr>
        <w:t>Par ailleurs, en cas de pratiques illicites</w:t>
      </w:r>
      <w:r w:rsidR="00DA2B93">
        <w:rPr>
          <w:b/>
          <w:color w:val="006600"/>
        </w:rPr>
        <w:t xml:space="preserve"> systémiques</w:t>
      </w:r>
      <w:r w:rsidR="00701076">
        <w:rPr>
          <w:b/>
          <w:color w:val="006600"/>
        </w:rPr>
        <w:t xml:space="preserve"> (présumées)</w:t>
      </w:r>
      <w:r>
        <w:rPr>
          <w:b/>
          <w:color w:val="006600"/>
        </w:rPr>
        <w:t> :</w:t>
      </w:r>
    </w:p>
    <w:p w14:paraId="6BF8A01E" w14:textId="77777777" w:rsidR="00784C17" w:rsidRDefault="00784C17" w:rsidP="00EC5291">
      <w:pPr>
        <w:pStyle w:val="PBBulletList"/>
        <w:shd w:val="clear" w:color="auto" w:fill="DEE9D3"/>
        <w:rPr>
          <w:color w:val="006600"/>
        </w:rPr>
      </w:pPr>
      <w:r>
        <w:rPr>
          <w:color w:val="006600"/>
        </w:rPr>
        <w:t>Une décision de suspension du programme d’adoption internationale peut s’avérer</w:t>
      </w:r>
      <w:r w:rsidR="0046195F">
        <w:rPr>
          <w:color w:val="006600"/>
        </w:rPr>
        <w:t xml:space="preserve"> encore</w:t>
      </w:r>
      <w:r>
        <w:rPr>
          <w:color w:val="006600"/>
        </w:rPr>
        <w:t xml:space="preserve"> plus pertinente </w:t>
      </w:r>
      <w:r w:rsidR="00DC098C">
        <w:rPr>
          <w:color w:val="006600"/>
        </w:rPr>
        <w:t xml:space="preserve">en cas </w:t>
      </w:r>
      <w:r>
        <w:rPr>
          <w:color w:val="006600"/>
        </w:rPr>
        <w:t>de pratiques illicites</w:t>
      </w:r>
      <w:r w:rsidR="00DC098C">
        <w:rPr>
          <w:color w:val="006600"/>
        </w:rPr>
        <w:t xml:space="preserve"> systémiques</w:t>
      </w:r>
      <w:r>
        <w:rPr>
          <w:color w:val="006600"/>
        </w:rPr>
        <w:t xml:space="preserve">. </w:t>
      </w:r>
    </w:p>
    <w:p w14:paraId="3C237CB6" w14:textId="77777777" w:rsidR="0008396B" w:rsidRPr="006B0624" w:rsidRDefault="00784C17" w:rsidP="00EC5291">
      <w:pPr>
        <w:pStyle w:val="PBBulletList"/>
        <w:shd w:val="clear" w:color="auto" w:fill="DEE9D3"/>
      </w:pPr>
      <w:r>
        <w:rPr>
          <w:color w:val="006600"/>
        </w:rPr>
        <w:t>Les États dans lesquels de</w:t>
      </w:r>
      <w:r w:rsidR="00DC098C">
        <w:rPr>
          <w:color w:val="006600"/>
        </w:rPr>
        <w:t>s</w:t>
      </w:r>
      <w:r>
        <w:rPr>
          <w:color w:val="006600"/>
        </w:rPr>
        <w:t xml:space="preserve"> pratiques illicites</w:t>
      </w:r>
      <w:r w:rsidR="00DC098C">
        <w:rPr>
          <w:color w:val="006600"/>
        </w:rPr>
        <w:t xml:space="preserve"> systémiques</w:t>
      </w:r>
      <w:r>
        <w:rPr>
          <w:color w:val="006600"/>
        </w:rPr>
        <w:t xml:space="preserve"> </w:t>
      </w:r>
      <w:r w:rsidR="00DC098C">
        <w:rPr>
          <w:color w:val="006600"/>
        </w:rPr>
        <w:t>ont</w:t>
      </w:r>
      <w:r>
        <w:rPr>
          <w:color w:val="006600"/>
        </w:rPr>
        <w:t xml:space="preserve"> été constatée</w:t>
      </w:r>
      <w:r w:rsidR="00DC098C">
        <w:rPr>
          <w:color w:val="006600"/>
        </w:rPr>
        <w:t>s</w:t>
      </w:r>
      <w:r>
        <w:rPr>
          <w:color w:val="006600"/>
        </w:rPr>
        <w:t xml:space="preserve"> peuvent également partager la situation et la manière dont elle a été réglée avec d’autres États dans un souci de coopération, afin d’en tirer des leçons et de permettre aux autres États de prendre des mesures visant à prévenir ces mêmes </w:t>
      </w:r>
      <w:r w:rsidR="00921A46">
        <w:rPr>
          <w:color w:val="006600"/>
        </w:rPr>
        <w:t>pratiques illicites systémiques</w:t>
      </w:r>
      <w:r>
        <w:rPr>
          <w:color w:val="006600"/>
        </w:rPr>
        <w:t>. Par exemple, si un OAA en particulier est impliqué dans des pratiques illicites dans un État, d’autres États d’origine dans lesquels cet OAA exerce ses activités devraient prendre des mesures et, si nécessaire, restreindre ses activités ou suspendre ses opérations. Voir ci-après Partie V – Lignes directrices</w:t>
      </w:r>
      <w:r w:rsidR="00701076">
        <w:rPr>
          <w:color w:val="006600"/>
        </w:rPr>
        <w:t xml:space="preserve"> </w:t>
      </w:r>
    </w:p>
    <w:p w14:paraId="3874157A" w14:textId="77777777" w:rsidR="002E6C74" w:rsidRPr="006B0624" w:rsidRDefault="002E6C74" w:rsidP="00701076">
      <w:pPr>
        <w:pStyle w:val="PBParagraphNumber"/>
        <w:numPr>
          <w:ilvl w:val="0"/>
          <w:numId w:val="0"/>
        </w:numPr>
        <w:ind w:left="567"/>
      </w:pPr>
    </w:p>
    <w:p w14:paraId="1ECF1BA1" w14:textId="44CEBB62" w:rsidR="00784C17" w:rsidRPr="00FC6E17" w:rsidRDefault="00784C17" w:rsidP="00701076"/>
    <w:sectPr w:rsidR="00784C17" w:rsidRPr="00FC6E17" w:rsidSect="002672D3">
      <w:headerReference w:type="default" r:id="rId23"/>
      <w:footerReference w:type="default" r:id="rId24"/>
      <w:footerReference w:type="first" r:id="rId25"/>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AF46F" w14:textId="77777777" w:rsidR="00901C96" w:rsidRDefault="00901C96" w:rsidP="00037583">
      <w:pPr>
        <w:spacing w:after="0" w:line="240" w:lineRule="auto"/>
      </w:pPr>
      <w:r>
        <w:separator/>
      </w:r>
    </w:p>
  </w:endnote>
  <w:endnote w:type="continuationSeparator" w:id="0">
    <w:p w14:paraId="31EB1C1D" w14:textId="77777777" w:rsidR="00901C96" w:rsidRDefault="00901C96" w:rsidP="00037583">
      <w:pPr>
        <w:spacing w:after="0" w:line="240" w:lineRule="auto"/>
      </w:pPr>
      <w:r>
        <w:continuationSeparator/>
      </w:r>
    </w:p>
  </w:endnote>
  <w:endnote w:type="continuationNotice" w:id="1">
    <w:p w14:paraId="27561730" w14:textId="77777777" w:rsidR="00901C96" w:rsidRDefault="00901C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2A6F69-5D84-4A98-8F3D-9B69380E617A}"/>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2" w:fontKey="{6F70FF2F-CDF4-48CA-9BAC-981EC347594B}"/>
    <w:embedBold r:id="rId3" w:fontKey="{E865FA7C-929E-48B6-A6A9-3764331755C4}"/>
    <w:embedItalic r:id="rId4" w:fontKey="{FEF4296D-B2A2-46F9-BE0B-A2320E0D3BD3}"/>
    <w:embedBoldItalic r:id="rId5" w:fontKey="{5DBF27F1-7504-44EA-B21F-97E768BE5E4B}"/>
  </w:font>
  <w:font w:name="Franklin Gothic Medium">
    <w:panose1 w:val="020B0603020102020204"/>
    <w:charset w:val="00"/>
    <w:family w:val="swiss"/>
    <w:pitch w:val="variable"/>
    <w:sig w:usb0="00000287" w:usb1="00000000" w:usb2="00000000" w:usb3="00000000" w:csb0="0000009F" w:csb1="00000000"/>
    <w:embedRegular r:id="rId6" w:fontKey="{3F72BA9A-E7CB-4B55-B2A8-78A6E85B886B}"/>
    <w:embedBold r:id="rId7" w:fontKey="{1EFDA7C8-3907-41F8-A73A-999E99854452}"/>
    <w:embedItalic r:id="rId8" w:fontKey="{517D4940-4F82-4C3C-95DD-40ECF28C52C1}"/>
  </w:font>
  <w:font w:name="MS Gothic">
    <w:altName w:val="ＭＳ ゴシック"/>
    <w:panose1 w:val="020B0609070205080204"/>
    <w:charset w:val="80"/>
    <w:family w:val="modern"/>
    <w:pitch w:val="fixed"/>
    <w:sig w:usb0="E00002FF" w:usb1="6AC7FDFB" w:usb2="08000012" w:usb3="00000000" w:csb0="0002009F" w:csb1="00000000"/>
    <w:embedRegular r:id="rId9" w:subsetted="1" w:fontKey="{B315196E-7B4F-438C-A648-087BF9C13664}"/>
  </w:font>
  <w:font w:name="Segoe UI">
    <w:panose1 w:val="020B0502040204020203"/>
    <w:charset w:val="00"/>
    <w:family w:val="swiss"/>
    <w:pitch w:val="variable"/>
    <w:sig w:usb0="E4002EFF" w:usb1="C000E47F" w:usb2="00000009" w:usb3="00000000" w:csb0="000001FF" w:csb1="00000000"/>
    <w:embedRegular r:id="rId10" w:fontKey="{C312B828-6935-40C0-8840-D618F83B936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FreeSerif">
    <w:altName w:val="Times New Roman"/>
    <w:panose1 w:val="00000000000000000000"/>
    <w:charset w:val="00"/>
    <w:family w:val="roman"/>
    <w:notTrueType/>
    <w:pitch w:val="default"/>
  </w:font>
  <w:font w:name="FreeSerif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2B50" w14:textId="77777777" w:rsidR="00E278A8" w:rsidRDefault="00E278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57" w:type="dxa"/>
        <w:right w:w="57" w:type="dxa"/>
      </w:tblCellMar>
      <w:tblLook w:val="04A0" w:firstRow="1" w:lastRow="0" w:firstColumn="1" w:lastColumn="0" w:noHBand="0" w:noVBand="1"/>
    </w:tblPr>
    <w:tblGrid>
      <w:gridCol w:w="5097"/>
      <w:gridCol w:w="5097"/>
    </w:tblGrid>
    <w:tr w:rsidR="00701076" w:rsidRPr="006D612A" w14:paraId="75F7E4F1" w14:textId="77777777" w:rsidTr="006D612A">
      <w:tc>
        <w:tcPr>
          <w:tcW w:w="5097" w:type="dxa"/>
          <w:shd w:val="clear" w:color="auto" w:fill="auto"/>
          <w:vAlign w:val="center"/>
        </w:tcPr>
        <w:p w14:paraId="0980E9FC" w14:textId="77777777" w:rsidR="00701076" w:rsidRPr="006D612A" w:rsidRDefault="00701076" w:rsidP="006D612A">
          <w:pPr>
            <w:pStyle w:val="Footer"/>
            <w:spacing w:after="40"/>
            <w:jc w:val="right"/>
            <w:rPr>
              <w:color w:val="024987"/>
              <w:sz w:val="20"/>
              <w:szCs w:val="20"/>
            </w:rPr>
          </w:pPr>
          <w:r>
            <w:rPr>
              <w:b/>
              <w:color w:val="024987"/>
              <w:sz w:val="24"/>
            </w:rPr>
            <w:t>H</w:t>
          </w:r>
          <w:r>
            <w:rPr>
              <w:color w:val="024987"/>
              <w:sz w:val="20"/>
            </w:rPr>
            <w:t xml:space="preserve">ague </w:t>
          </w:r>
          <w:r>
            <w:rPr>
              <w:b/>
              <w:color w:val="024987"/>
              <w:sz w:val="24"/>
            </w:rPr>
            <w:t>C</w:t>
          </w:r>
          <w:r>
            <w:rPr>
              <w:color w:val="024987"/>
              <w:sz w:val="20"/>
            </w:rPr>
            <w:t xml:space="preserve">onference on Private International Law </w:t>
          </w:r>
        </w:p>
      </w:tc>
      <w:tc>
        <w:tcPr>
          <w:tcW w:w="5097" w:type="dxa"/>
          <w:shd w:val="clear" w:color="auto" w:fill="auto"/>
          <w:vAlign w:val="center"/>
        </w:tcPr>
        <w:p w14:paraId="319D2DEF" w14:textId="77777777" w:rsidR="00701076" w:rsidRPr="006D612A" w:rsidRDefault="00701076" w:rsidP="006D612A">
          <w:pPr>
            <w:pStyle w:val="Footer"/>
            <w:spacing w:after="40"/>
            <w:jc w:val="left"/>
            <w:rPr>
              <w:color w:val="024987"/>
              <w:sz w:val="20"/>
              <w:szCs w:val="20"/>
            </w:rPr>
          </w:pPr>
          <w:r>
            <w:rPr>
              <w:b/>
              <w:color w:val="024987"/>
              <w:sz w:val="24"/>
            </w:rPr>
            <w:t>C</w:t>
          </w:r>
          <w:r>
            <w:rPr>
              <w:color w:val="024987"/>
              <w:sz w:val="20"/>
            </w:rPr>
            <w:t xml:space="preserve">onférence de La </w:t>
          </w:r>
          <w:r>
            <w:rPr>
              <w:b/>
              <w:color w:val="024987"/>
              <w:sz w:val="24"/>
            </w:rPr>
            <w:t>H</w:t>
          </w:r>
          <w:r>
            <w:rPr>
              <w:color w:val="024987"/>
              <w:sz w:val="20"/>
            </w:rPr>
            <w:t>aye de droit international privé</w:t>
          </w:r>
        </w:p>
      </w:tc>
    </w:tr>
    <w:tr w:rsidR="00701076" w:rsidRPr="006D612A" w14:paraId="1BC7AACA" w14:textId="77777777" w:rsidTr="006D612A">
      <w:tc>
        <w:tcPr>
          <w:tcW w:w="5097" w:type="dxa"/>
          <w:shd w:val="clear" w:color="auto" w:fill="auto"/>
          <w:vAlign w:val="center"/>
        </w:tcPr>
        <w:p w14:paraId="4216D774" w14:textId="77777777" w:rsidR="00701076" w:rsidRPr="006D612A" w:rsidRDefault="00E278A8" w:rsidP="006D612A">
          <w:pPr>
            <w:pStyle w:val="Footer"/>
            <w:spacing w:after="40"/>
            <w:jc w:val="right"/>
            <w:rPr>
              <w:color w:val="024987"/>
              <w:sz w:val="16"/>
              <w:szCs w:val="16"/>
            </w:rPr>
          </w:pPr>
          <w:hyperlink r:id="rId1" w:history="1">
            <w:r w:rsidR="00701076">
              <w:rPr>
                <w:rStyle w:val="Hyperlink"/>
                <w:sz w:val="16"/>
              </w:rPr>
              <w:t>secretariat@hcch.net</w:t>
            </w:r>
          </w:hyperlink>
        </w:p>
      </w:tc>
      <w:tc>
        <w:tcPr>
          <w:tcW w:w="5097" w:type="dxa"/>
          <w:shd w:val="clear" w:color="auto" w:fill="auto"/>
          <w:vAlign w:val="center"/>
        </w:tcPr>
        <w:p w14:paraId="0154582F" w14:textId="77777777" w:rsidR="00701076" w:rsidRPr="006D612A" w:rsidRDefault="00E278A8" w:rsidP="006D612A">
          <w:pPr>
            <w:pStyle w:val="Footer"/>
            <w:spacing w:after="40"/>
            <w:jc w:val="left"/>
            <w:rPr>
              <w:color w:val="024987"/>
              <w:sz w:val="16"/>
              <w:szCs w:val="16"/>
            </w:rPr>
          </w:pPr>
          <w:hyperlink r:id="rId2" w:history="1">
            <w:r w:rsidR="00701076">
              <w:rPr>
                <w:rStyle w:val="Hyperlink"/>
                <w:sz w:val="16"/>
              </w:rPr>
              <w:t>www.hcch.net</w:t>
            </w:r>
          </w:hyperlink>
        </w:p>
      </w:tc>
    </w:tr>
    <w:tr w:rsidR="00701076" w:rsidRPr="006D612A" w14:paraId="75D500A1" w14:textId="77777777" w:rsidTr="006D612A">
      <w:tc>
        <w:tcPr>
          <w:tcW w:w="5097" w:type="dxa"/>
          <w:shd w:val="clear" w:color="auto" w:fill="auto"/>
          <w:vAlign w:val="center"/>
        </w:tcPr>
        <w:p w14:paraId="55EFC533" w14:textId="77777777" w:rsidR="00701076" w:rsidRPr="003C20D4" w:rsidRDefault="00701076" w:rsidP="006D612A">
          <w:pPr>
            <w:pStyle w:val="Footer"/>
            <w:spacing w:after="40"/>
            <w:jc w:val="right"/>
            <w:rPr>
              <w:color w:val="024987"/>
              <w:sz w:val="16"/>
              <w:szCs w:val="16"/>
              <w:lang w:val="en-US"/>
            </w:rPr>
          </w:pPr>
          <w:r w:rsidRPr="003C20D4">
            <w:rPr>
              <w:color w:val="024987"/>
              <w:sz w:val="16"/>
              <w:lang w:val="en-US"/>
            </w:rPr>
            <w:t>Regional Office for Asia and the Pacific (ROAP)</w:t>
          </w:r>
        </w:p>
      </w:tc>
      <w:tc>
        <w:tcPr>
          <w:tcW w:w="5097" w:type="dxa"/>
          <w:shd w:val="clear" w:color="auto" w:fill="auto"/>
          <w:vAlign w:val="center"/>
        </w:tcPr>
        <w:p w14:paraId="6A6D153F" w14:textId="77777777" w:rsidR="00701076" w:rsidRPr="006D612A" w:rsidRDefault="00701076" w:rsidP="006D612A">
          <w:pPr>
            <w:pStyle w:val="Footer"/>
            <w:spacing w:after="40"/>
            <w:jc w:val="left"/>
            <w:rPr>
              <w:color w:val="024987"/>
              <w:sz w:val="16"/>
              <w:szCs w:val="16"/>
            </w:rPr>
          </w:pPr>
          <w:r>
            <w:rPr>
              <w:color w:val="024987"/>
              <w:sz w:val="16"/>
            </w:rPr>
            <w:t>Bureau régional pour l’Asie et le Pacifique (BRAP)</w:t>
          </w:r>
        </w:p>
      </w:tc>
    </w:tr>
    <w:tr w:rsidR="00701076" w:rsidRPr="006D612A" w14:paraId="15FB6EAE" w14:textId="77777777" w:rsidTr="006D612A">
      <w:tc>
        <w:tcPr>
          <w:tcW w:w="5097" w:type="dxa"/>
          <w:shd w:val="clear" w:color="auto" w:fill="auto"/>
          <w:vAlign w:val="center"/>
        </w:tcPr>
        <w:p w14:paraId="07860C2A" w14:textId="77777777" w:rsidR="00701076" w:rsidRPr="003C20D4" w:rsidRDefault="00701076" w:rsidP="006D612A">
          <w:pPr>
            <w:pStyle w:val="Footer"/>
            <w:spacing w:after="40"/>
            <w:jc w:val="right"/>
            <w:rPr>
              <w:color w:val="024987"/>
              <w:sz w:val="16"/>
              <w:szCs w:val="16"/>
              <w:lang w:val="en-US"/>
            </w:rPr>
          </w:pPr>
          <w:r w:rsidRPr="003C20D4">
            <w:rPr>
              <w:color w:val="024987"/>
              <w:sz w:val="16"/>
              <w:lang w:val="en-US"/>
            </w:rPr>
            <w:t>Regional Office for Latin America and the Caribbean (ROLAC)</w:t>
          </w:r>
        </w:p>
      </w:tc>
      <w:tc>
        <w:tcPr>
          <w:tcW w:w="5097" w:type="dxa"/>
          <w:shd w:val="clear" w:color="auto" w:fill="auto"/>
          <w:vAlign w:val="center"/>
        </w:tcPr>
        <w:p w14:paraId="3C8D5B7C" w14:textId="77777777" w:rsidR="00701076" w:rsidRPr="006D612A" w:rsidRDefault="00701076" w:rsidP="006D612A">
          <w:pPr>
            <w:pStyle w:val="Footer"/>
            <w:spacing w:after="40"/>
            <w:jc w:val="left"/>
            <w:rPr>
              <w:color w:val="024987"/>
              <w:sz w:val="16"/>
              <w:szCs w:val="16"/>
            </w:rPr>
          </w:pPr>
          <w:r>
            <w:rPr>
              <w:color w:val="024987"/>
              <w:sz w:val="16"/>
            </w:rPr>
            <w:t>Bureau régional pour l’Amérique latine et les Caraïbes (BRALC)</w:t>
          </w:r>
        </w:p>
      </w:tc>
    </w:tr>
  </w:tbl>
  <w:p w14:paraId="69D1B963" w14:textId="77777777" w:rsidR="00701076" w:rsidRPr="0023033E" w:rsidRDefault="00701076" w:rsidP="005C2BE8">
    <w:pPr>
      <w:pStyle w:val="Footer"/>
      <w:spacing w:after="40"/>
      <w:jc w:val="center"/>
      <w:rPr>
        <w:color w:val="04549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2627" w14:textId="77777777" w:rsidR="00701076" w:rsidRPr="006D612A" w:rsidRDefault="00701076">
    <w:pPr>
      <w:pStyle w:val="Footer"/>
      <w:jc w:val="right"/>
      <w:rPr>
        <w:color w:val="A2B93B"/>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BC036" w14:textId="77777777" w:rsidR="00701076" w:rsidRPr="006D612A" w:rsidRDefault="00701076" w:rsidP="006D612A">
    <w:pPr>
      <w:pStyle w:val="Header"/>
      <w:tabs>
        <w:tab w:val="clear" w:pos="4513"/>
        <w:tab w:val="clear" w:pos="9026"/>
      </w:tabs>
      <w:jc w:val="right"/>
      <w:rPr>
        <w:color w:val="A2B93B"/>
        <w:sz w:val="18"/>
        <w:szCs w:val="18"/>
      </w:rPr>
    </w:pPr>
  </w:p>
  <w:p w14:paraId="0DF9A911" w14:textId="77777777" w:rsidR="00701076" w:rsidRPr="00B428E3" w:rsidRDefault="00701076" w:rsidP="00B74EFA">
    <w:pPr>
      <w:pStyle w:val="Header"/>
      <w:tabs>
        <w:tab w:val="clear" w:pos="4513"/>
        <w:tab w:val="clear" w:pos="9026"/>
      </w:tabs>
      <w:jc w:val="right"/>
      <w:rPr>
        <w:color w:val="002060"/>
        <w:sz w:val="18"/>
        <w:szCs w:val="18"/>
      </w:rPr>
    </w:pP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sidRPr="00B428E3">
      <w:rPr>
        <w:color w:val="002060"/>
        <w:sz w:val="18"/>
      </w:rPr>
      <w:t>1</w:t>
    </w:r>
    <w:r w:rsidRPr="00B428E3">
      <w:rPr>
        <w:color w:val="002060"/>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CB4F" w14:textId="559FD1F3" w:rsidR="00A2029B" w:rsidRPr="0008396B" w:rsidRDefault="00A2029B" w:rsidP="0008396B">
    <w:pPr>
      <w:pStyle w:val="Footer"/>
      <w:rPr>
        <w:color w:val="002060"/>
        <w:sz w:val="18"/>
        <w:szCs w:val="18"/>
      </w:rPr>
    </w:pPr>
    <w:r>
      <w:rPr>
        <w:color w:val="002060"/>
        <w:sz w:val="18"/>
      </w:rPr>
      <w:t>Procédure type</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113</w:t>
    </w:r>
    <w:r w:rsidRPr="00B428E3">
      <w:rPr>
        <w:color w:val="002060"/>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B0F3" w14:textId="32E480E3" w:rsidR="00A2029B" w:rsidRPr="0008396B" w:rsidRDefault="00A2029B" w:rsidP="0008396B">
    <w:pPr>
      <w:pStyle w:val="Footer"/>
      <w:rPr>
        <w:color w:val="002060"/>
        <w:sz w:val="18"/>
        <w:szCs w:val="18"/>
      </w:rPr>
    </w:pPr>
    <w:r>
      <w:rPr>
        <w:color w:val="002060"/>
        <w:sz w:val="18"/>
      </w:rPr>
      <w:t>Procédure type</w:t>
    </w:r>
    <w:r>
      <w:rPr>
        <w:color w:val="002060"/>
        <w:sz w:val="18"/>
      </w:rPr>
      <w:ptab w:relativeTo="margin" w:alignment="center" w:leader="none"/>
    </w:r>
    <w:r>
      <w:rPr>
        <w:color w:val="002060"/>
        <w:sz w:val="18"/>
      </w:rPr>
      <w:ptab w:relativeTo="margin" w:alignment="right" w:leader="none"/>
    </w:r>
    <w:r w:rsidRPr="00B428E3">
      <w:rPr>
        <w:color w:val="002060"/>
        <w:sz w:val="18"/>
      </w:rPr>
      <w:fldChar w:fldCharType="begin"/>
    </w:r>
    <w:r w:rsidRPr="00B428E3">
      <w:rPr>
        <w:color w:val="002060"/>
        <w:sz w:val="18"/>
      </w:rPr>
      <w:instrText xml:space="preserve"> PAGE   \* MERGEFORMAT </w:instrText>
    </w:r>
    <w:r w:rsidRPr="00B428E3">
      <w:rPr>
        <w:color w:val="002060"/>
        <w:sz w:val="18"/>
      </w:rPr>
      <w:fldChar w:fldCharType="separate"/>
    </w:r>
    <w:r>
      <w:rPr>
        <w:noProof/>
        <w:color w:val="002060"/>
        <w:sz w:val="18"/>
      </w:rPr>
      <w:t>112</w:t>
    </w:r>
    <w:r w:rsidRPr="00B428E3">
      <w:rPr>
        <w:color w:val="00206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8FBA4" w14:textId="77777777" w:rsidR="00901C96" w:rsidRPr="009701D2" w:rsidRDefault="00901C96" w:rsidP="00B74EFA">
      <w:pPr>
        <w:spacing w:after="120" w:line="240" w:lineRule="auto"/>
        <w:rPr>
          <w:color w:val="A2B93B" w:themeColor="accent6"/>
        </w:rPr>
      </w:pPr>
      <w:r w:rsidRPr="009701D2">
        <w:rPr>
          <w:color w:val="A2B93B" w:themeColor="accent6"/>
        </w:rPr>
        <w:separator/>
      </w:r>
    </w:p>
  </w:footnote>
  <w:footnote w:type="continuationSeparator" w:id="0">
    <w:p w14:paraId="1543231C" w14:textId="77777777" w:rsidR="00901C96" w:rsidRDefault="00901C96" w:rsidP="00037583">
      <w:pPr>
        <w:spacing w:after="0" w:line="240" w:lineRule="auto"/>
      </w:pPr>
      <w:r>
        <w:continuationSeparator/>
      </w:r>
    </w:p>
  </w:footnote>
  <w:footnote w:type="continuationNotice" w:id="1">
    <w:p w14:paraId="5504B93F" w14:textId="77777777" w:rsidR="00901C96" w:rsidRDefault="00901C96">
      <w:pPr>
        <w:spacing w:after="0" w:line="240" w:lineRule="auto"/>
      </w:pPr>
    </w:p>
  </w:footnote>
  <w:footnote w:id="2">
    <w:p w14:paraId="47C5DA0A" w14:textId="35D4CBF1" w:rsidR="00A2029B" w:rsidRPr="00621DA7" w:rsidRDefault="00A2029B" w:rsidP="00F0545A">
      <w:pPr>
        <w:pStyle w:val="PBfootnote"/>
        <w:rPr>
          <w:color w:val="002060"/>
        </w:rPr>
      </w:pPr>
      <w:r w:rsidRPr="00DF0B7A">
        <w:rPr>
          <w:rStyle w:val="FootnoteReference"/>
          <w:color w:val="002060"/>
        </w:rPr>
        <w:footnoteRef/>
      </w:r>
      <w:r w:rsidR="00701076">
        <w:rPr>
          <w:color w:val="002060"/>
        </w:rPr>
        <w:t xml:space="preserve"> </w:t>
      </w:r>
      <w:r w:rsidR="00701076">
        <w:rPr>
          <w:color w:val="002060"/>
        </w:rPr>
        <w:tab/>
      </w:r>
      <w:r w:rsidR="00701076" w:rsidRPr="00621DA7">
        <w:rPr>
          <w:color w:val="002060"/>
        </w:rPr>
        <w:t>Cette Procédure type s’applique également aux pratiques illicites présumées lorsque la procédure d’adoption a lieu mais que l’enfant n’a pas encore été adopté (c.-à-d. que l’enfant n’est pas encore un « adopté ») ; toutefois, par souci de commodité, le terme adopté renvoie également à ces enfants.</w:t>
      </w:r>
    </w:p>
  </w:footnote>
  <w:footnote w:id="3">
    <w:p w14:paraId="0C4A828F" w14:textId="77777777" w:rsidR="00701076" w:rsidRPr="004404C2" w:rsidRDefault="00701076" w:rsidP="00701076">
      <w:pPr>
        <w:pStyle w:val="PBfootnote"/>
        <w:rPr>
          <w:color w:val="002060"/>
        </w:rPr>
      </w:pPr>
      <w:r w:rsidRPr="00621DA7">
        <w:rPr>
          <w:rStyle w:val="FootnoteReference"/>
          <w:color w:val="002060"/>
        </w:rPr>
        <w:footnoteRef/>
      </w:r>
      <w:r w:rsidRPr="00621DA7">
        <w:rPr>
          <w:color w:val="002060"/>
        </w:rPr>
        <w:tab/>
        <w:t>La Procédure type renvoie parfois aux « parents (/famille) » pour indiquer que la mesure concerne spécifiquement les parents (d’origine ou adoptifs), mais, dans certains cas, elle peut également impliquer d’autres membres de la famille (nucléaire) (voir la définition de « famille </w:t>
      </w:r>
      <w:r>
        <w:rPr>
          <w:color w:val="002060"/>
        </w:rPr>
        <w:t>» dans le glossaire de la Boîte à outils).</w:t>
      </w:r>
    </w:p>
  </w:footnote>
  <w:footnote w:id="4">
    <w:p w14:paraId="217F6205" w14:textId="77777777" w:rsidR="00701076" w:rsidRPr="003C20D4" w:rsidRDefault="00701076" w:rsidP="00701076">
      <w:pPr>
        <w:pStyle w:val="PBfootnote"/>
        <w:rPr>
          <w:color w:val="002060"/>
          <w:lang w:val="en-US"/>
        </w:rPr>
      </w:pPr>
      <w:r>
        <w:rPr>
          <w:rStyle w:val="FootnoteReference"/>
          <w:color w:val="002060"/>
        </w:rPr>
        <w:footnoteRef/>
      </w:r>
      <w:r w:rsidRPr="003C20D4">
        <w:rPr>
          <w:color w:val="002060"/>
          <w:lang w:val="en-US"/>
        </w:rPr>
        <w:tab/>
        <w:t>Voir CNUDE, art. 21 et HCR, « </w:t>
      </w:r>
      <w:hyperlink r:id="rId1" w:history="1">
        <w:r w:rsidRPr="007D72C1">
          <w:rPr>
            <w:rStyle w:val="Hyperlink"/>
            <w:lang w:val="en-GB"/>
          </w:rPr>
          <w:t>Guidelines on Assessing and Determining the Best Interests of the Child</w:t>
        </w:r>
      </w:hyperlink>
      <w:r w:rsidRPr="003C20D4">
        <w:rPr>
          <w:color w:val="002060"/>
          <w:lang w:val="en-US"/>
        </w:rPr>
        <w:t> », 2021.</w:t>
      </w:r>
    </w:p>
  </w:footnote>
  <w:footnote w:id="5">
    <w:p w14:paraId="2EE02AE4" w14:textId="77777777" w:rsidR="00701076" w:rsidRPr="00621DA7" w:rsidRDefault="00701076" w:rsidP="00701076">
      <w:pPr>
        <w:pStyle w:val="PBfootnote"/>
        <w:rPr>
          <w:color w:val="002060"/>
        </w:rPr>
      </w:pPr>
      <w:r w:rsidRPr="00621DA7">
        <w:rPr>
          <w:rStyle w:val="FootnoteReference"/>
          <w:color w:val="002060"/>
        </w:rPr>
        <w:footnoteRef/>
      </w:r>
      <w:r w:rsidRPr="00621DA7">
        <w:rPr>
          <w:color w:val="002060"/>
        </w:rPr>
        <w:t xml:space="preserve"> </w:t>
      </w:r>
      <w:r w:rsidRPr="00621DA7">
        <w:rPr>
          <w:color w:val="002060"/>
        </w:rPr>
        <w:tab/>
        <w:t>Rapport du Groupe de travail sur la prévention des pratiques illicites en matière d’adoption internationale et la manière d’y remédier (réunion du 8 au 10 juillet 2020 (Rapport du Groupe de travail de 2020), para. 22.</w:t>
      </w:r>
    </w:p>
  </w:footnote>
  <w:footnote w:id="6">
    <w:p w14:paraId="68DA34D5" w14:textId="50DC7DD9" w:rsidR="00A2029B" w:rsidRPr="004404C2" w:rsidRDefault="00A2029B" w:rsidP="006314ED">
      <w:pPr>
        <w:pStyle w:val="PBfootnote"/>
        <w:rPr>
          <w:color w:val="002060"/>
        </w:rPr>
      </w:pPr>
      <w:r w:rsidRPr="00DF0B7A">
        <w:rPr>
          <w:rStyle w:val="FootnoteReference"/>
          <w:color w:val="002060"/>
        </w:rPr>
        <w:footnoteRef/>
      </w:r>
      <w:r w:rsidR="00701076">
        <w:rPr>
          <w:color w:val="002060"/>
        </w:rPr>
        <w:t xml:space="preserve"> </w:t>
      </w:r>
      <w:r w:rsidR="00701076">
        <w:rPr>
          <w:color w:val="002060"/>
        </w:rPr>
        <w:tab/>
      </w:r>
      <w:r w:rsidR="00701076">
        <w:rPr>
          <w:i/>
          <w:color w:val="002060"/>
        </w:rPr>
        <w:t>Ibid.</w:t>
      </w:r>
      <w:r w:rsidR="00701076">
        <w:rPr>
          <w:color w:val="002060"/>
        </w:rPr>
        <w:t>, para. 21.</w:t>
      </w:r>
    </w:p>
  </w:footnote>
  <w:footnote w:id="7">
    <w:p w14:paraId="1629BE93" w14:textId="77777777" w:rsidR="00701076" w:rsidRPr="00A35380" w:rsidRDefault="00701076" w:rsidP="00701076">
      <w:pPr>
        <w:pStyle w:val="PBfootnote"/>
        <w:rPr>
          <w:color w:val="002060"/>
        </w:rPr>
      </w:pPr>
      <w:r w:rsidRPr="00A35380">
        <w:rPr>
          <w:rStyle w:val="FootnoteReference"/>
          <w:color w:val="002060"/>
        </w:rPr>
        <w:footnoteRef/>
      </w:r>
      <w:r w:rsidRPr="00A35380">
        <w:rPr>
          <w:color w:val="002060"/>
        </w:rPr>
        <w:t xml:space="preserve"> </w:t>
      </w:r>
      <w:r w:rsidRPr="00A35380">
        <w:rPr>
          <w:color w:val="002060"/>
        </w:rPr>
        <w:tab/>
        <w:t>Dans certains États, malgré la prescription dans le cadre de poursuites pénales ou d’une enquête criminelle, il est possible pour une Autorité centrale d’enquêter et de répondre de manière appropriée. Le délai de prescription ne permettrait toutefois pas à la personne concernée de demander réparation en justice pour le préjudice causé.</w:t>
      </w:r>
    </w:p>
  </w:footnote>
  <w:footnote w:id="8">
    <w:p w14:paraId="5A80D628" w14:textId="77777777" w:rsidR="00701076" w:rsidRPr="004404C2" w:rsidRDefault="00701076" w:rsidP="00701076">
      <w:pPr>
        <w:pStyle w:val="PBfootnote"/>
        <w:rPr>
          <w:color w:val="002060"/>
        </w:rPr>
      </w:pPr>
      <w:r>
        <w:rPr>
          <w:rStyle w:val="FootnoteReference"/>
          <w:color w:val="002060"/>
        </w:rPr>
        <w:footnoteRef/>
      </w:r>
      <w:r>
        <w:rPr>
          <w:color w:val="002060"/>
        </w:rPr>
        <w:t xml:space="preserve"> </w:t>
      </w:r>
      <w:r>
        <w:rPr>
          <w:color w:val="002060"/>
        </w:rPr>
        <w:tab/>
        <w:t xml:space="preserve">Voir le Protocole de l’Autorité centrale australienne </w:t>
      </w:r>
      <w:hyperlink r:id="rId2" w:history="1">
        <w:r>
          <w:rPr>
            <w:rStyle w:val="Hyperlink"/>
            <w:i/>
          </w:rPr>
          <w:t>Protocole concernant la suite à donner aux allégations de traite d’enfants dans le cadre de l’adoption internationale</w:t>
        </w:r>
      </w:hyperlink>
      <w:r>
        <w:rPr>
          <w:color w:val="002060"/>
        </w:rPr>
        <w:t>, 2021 (« </w:t>
      </w:r>
      <w:hyperlink r:id="rId3" w:history="1">
        <w:r>
          <w:rPr>
            <w:rStyle w:val="Hyperlink"/>
            <w:color w:val="002060"/>
            <w:u w:val="none"/>
          </w:rPr>
          <w:t>Protocole australien</w:t>
        </w:r>
      </w:hyperlink>
      <w:r>
        <w:rPr>
          <w:color w:val="002060"/>
        </w:rPr>
        <w:t> »).</w:t>
      </w:r>
    </w:p>
  </w:footnote>
  <w:footnote w:id="9">
    <w:p w14:paraId="1BA4A4AF" w14:textId="5941EAE0" w:rsidR="00A2029B" w:rsidRPr="00925934" w:rsidRDefault="00A2029B" w:rsidP="000D0F7E">
      <w:pPr>
        <w:pStyle w:val="PBfootnote"/>
        <w:rPr>
          <w:color w:val="002060"/>
        </w:rPr>
      </w:pPr>
      <w:r w:rsidRPr="00925934">
        <w:rPr>
          <w:rStyle w:val="FootnoteReference"/>
          <w:color w:val="002060"/>
        </w:rPr>
        <w:footnoteRef/>
      </w:r>
      <w:r w:rsidR="00701076" w:rsidRPr="00925934">
        <w:rPr>
          <w:color w:val="002060"/>
        </w:rPr>
        <w:tab/>
      </w:r>
      <w:r w:rsidR="00701076" w:rsidRPr="00925934">
        <w:rPr>
          <w:i/>
          <w:color w:val="002060"/>
        </w:rPr>
        <w:t>Ibid</w:t>
      </w:r>
      <w:r w:rsidR="00701076" w:rsidRPr="00925934">
        <w:rPr>
          <w:color w:val="002060"/>
        </w:rPr>
        <w:t>.</w:t>
      </w:r>
    </w:p>
  </w:footnote>
  <w:footnote w:id="10">
    <w:p w14:paraId="164E937C" w14:textId="77777777" w:rsidR="00A2029B" w:rsidRPr="00DF0B7A" w:rsidRDefault="00A2029B" w:rsidP="00AE7634">
      <w:pPr>
        <w:pStyle w:val="PBfootnote"/>
        <w:rPr>
          <w:color w:val="002060"/>
        </w:rPr>
      </w:pPr>
      <w:r w:rsidRPr="00DF0B7A">
        <w:rPr>
          <w:rStyle w:val="FootnoteReference"/>
          <w:color w:val="002060"/>
        </w:rPr>
        <w:footnoteRef/>
      </w:r>
      <w:r w:rsidRPr="00DF0B7A">
        <w:rPr>
          <w:color w:val="002060"/>
        </w:rPr>
        <w:tab/>
        <w:t>Par ex. ce qui peut apparaître aux (futurs) parents adoptifs comme une simple incohérence peut en réalité être révélateur d’une pratique illicite.</w:t>
      </w:r>
    </w:p>
  </w:footnote>
  <w:footnote w:id="11">
    <w:p w14:paraId="5F7CC194" w14:textId="33A1979B" w:rsidR="00A2029B" w:rsidRPr="00DF0B7A" w:rsidRDefault="00A2029B" w:rsidP="00B13971">
      <w:pPr>
        <w:pStyle w:val="PBfootnote"/>
        <w:rPr>
          <w:color w:val="002060"/>
        </w:rPr>
      </w:pPr>
      <w:r w:rsidRPr="00DF0B7A">
        <w:rPr>
          <w:rStyle w:val="FootnoteReference"/>
          <w:color w:val="002060"/>
        </w:rPr>
        <w:footnoteRef/>
      </w:r>
      <w:r w:rsidRPr="00DF0B7A">
        <w:rPr>
          <w:color w:val="002060"/>
        </w:rPr>
        <w:tab/>
        <w:t xml:space="preserve">Voir </w:t>
      </w:r>
      <w:hyperlink r:id="rId4" w:history="1">
        <w:r w:rsidRPr="00A67B10">
          <w:rPr>
            <w:rStyle w:val="Hyperlink"/>
            <w:iCs/>
          </w:rPr>
          <w:t>Document de réflexion de l’Australie de 2012</w:t>
        </w:r>
      </w:hyperlink>
      <w:r w:rsidR="00701076">
        <w:rPr>
          <w:color w:val="002060"/>
        </w:rPr>
        <w:t>, p. 8. Voir également les Lignes directrices des Nations Unies de 2009 relatives à la protection de remplacement pour les enfants</w:t>
      </w:r>
    </w:p>
  </w:footnote>
  <w:footnote w:id="12">
    <w:p w14:paraId="501B3A2F" w14:textId="77777777" w:rsidR="00A2029B" w:rsidRPr="00DF0B7A" w:rsidRDefault="00A2029B" w:rsidP="00235382">
      <w:pPr>
        <w:pStyle w:val="PBfootnote"/>
        <w:rPr>
          <w:color w:val="002060"/>
        </w:rPr>
      </w:pPr>
      <w:r w:rsidRPr="00DF0B7A">
        <w:rPr>
          <w:rStyle w:val="FootnoteReference"/>
          <w:color w:val="002060"/>
        </w:rPr>
        <w:footnoteRef/>
      </w:r>
      <w:r w:rsidRPr="00DF0B7A">
        <w:rPr>
          <w:color w:val="002060"/>
        </w:rPr>
        <w:tab/>
        <w:t>Plusieurs termes peuvent être utilisés (</w:t>
      </w:r>
      <w:r>
        <w:rPr>
          <w:color w:val="002060"/>
        </w:rPr>
        <w:t>par ex.</w:t>
      </w:r>
      <w:r w:rsidRPr="00DF0B7A">
        <w:rPr>
          <w:color w:val="002060"/>
        </w:rPr>
        <w:t xml:space="preserve"> victimes, personnes ayant un vécu).</w:t>
      </w:r>
      <w:r w:rsidRPr="007D72C1">
        <w:rPr>
          <w:color w:val="002060"/>
        </w:rPr>
        <w:t xml:space="preserve"> </w:t>
      </w:r>
    </w:p>
  </w:footnote>
  <w:footnote w:id="13">
    <w:p w14:paraId="3F93FABC" w14:textId="67F4C11E" w:rsidR="00A2029B" w:rsidRPr="006A3AED" w:rsidRDefault="00A2029B" w:rsidP="00E92CFA">
      <w:pPr>
        <w:pStyle w:val="PBfootnote"/>
        <w:rPr>
          <w:color w:val="002060"/>
        </w:rPr>
      </w:pPr>
      <w:r w:rsidRPr="00DF0B7A">
        <w:rPr>
          <w:rStyle w:val="FootnoteReference"/>
          <w:color w:val="002060"/>
        </w:rPr>
        <w:footnoteRef/>
      </w:r>
      <w:r w:rsidR="00701076">
        <w:t xml:space="preserve"> </w:t>
      </w:r>
      <w:r w:rsidR="00701076">
        <w:tab/>
      </w:r>
      <w:r w:rsidR="00701076" w:rsidRPr="006A3AED">
        <w:rPr>
          <w:color w:val="002060"/>
        </w:rPr>
        <w:t>Les personnes touchées peuvent inclure l’adopté, un enfant en attente d’une adoption, les parents d’origine et les (futurs) parents adoptifs. Dans certains cas, les personnes touchées peuvent aussi inclure d’autres membres de la famille d’origine ou de la famille adoptive (notamment des frères et sœurs). Certains des services présentés dans cette Procédure type peuvent également être mis à disposition de membres de la famille qui ne sont ni les parents (d’origine ou adoptifs) ni l’adopté. Chaque État doit déterminer à qui s’adressent ces services dans l’État concerné.</w:t>
      </w:r>
    </w:p>
  </w:footnote>
  <w:footnote w:id="14">
    <w:p w14:paraId="2B06DA16" w14:textId="77777777" w:rsidR="00701076" w:rsidRPr="006A3AED" w:rsidRDefault="00701076" w:rsidP="00701076">
      <w:pPr>
        <w:pStyle w:val="PBfootnote"/>
        <w:rPr>
          <w:color w:val="002060"/>
        </w:rPr>
      </w:pPr>
      <w:r w:rsidRPr="006A3AED">
        <w:rPr>
          <w:rStyle w:val="FootnoteReference"/>
          <w:color w:val="002060"/>
        </w:rPr>
        <w:footnoteRef/>
      </w:r>
      <w:r w:rsidRPr="006A3AED">
        <w:rPr>
          <w:color w:val="002060"/>
        </w:rPr>
        <w:t xml:space="preserve"> </w:t>
      </w:r>
      <w:r w:rsidRPr="006A3AED">
        <w:rPr>
          <w:color w:val="002060"/>
        </w:rPr>
        <w:tab/>
        <w:t xml:space="preserve">Les États peuvent également envisager d’élaborer un protocole concernant les endroits où les personnes touchées peuvent bénéficier d’une assistance. Voir par exemple le Protocole australien, </w:t>
      </w:r>
      <w:r w:rsidRPr="006A3AED">
        <w:rPr>
          <w:i/>
          <w:color w:val="002060"/>
        </w:rPr>
        <w:t>supra</w:t>
      </w:r>
      <w:r w:rsidRPr="006A3AED">
        <w:rPr>
          <w:color w:val="002060"/>
        </w:rPr>
        <w:t xml:space="preserve"> note </w:t>
      </w:r>
      <w:r w:rsidRPr="006A3AED">
        <w:rPr>
          <w:color w:val="002060"/>
        </w:rPr>
        <w:fldChar w:fldCharType="begin"/>
      </w:r>
      <w:r w:rsidRPr="006A3AED">
        <w:rPr>
          <w:color w:val="002060"/>
        </w:rPr>
        <w:instrText xml:space="preserve"> NOTEREF _Ref89251736 \h  \* MERGEFORMAT </w:instrText>
      </w:r>
      <w:r w:rsidRPr="006A3AED">
        <w:rPr>
          <w:color w:val="002060"/>
        </w:rPr>
      </w:r>
      <w:r w:rsidRPr="006A3AED">
        <w:rPr>
          <w:color w:val="002060"/>
        </w:rPr>
        <w:fldChar w:fldCharType="separate"/>
      </w:r>
      <w:r w:rsidRPr="006A3AED">
        <w:rPr>
          <w:color w:val="002060"/>
        </w:rPr>
        <w:t>7</w:t>
      </w:r>
      <w:r w:rsidRPr="006A3AED">
        <w:rPr>
          <w:color w:val="002060"/>
        </w:rPr>
        <w:fldChar w:fldCharType="end"/>
      </w:r>
      <w:r w:rsidRPr="006A3AED">
        <w:rPr>
          <w:color w:val="002060"/>
        </w:rPr>
        <w:t>, qui comprend un grand nombre des services mentionnés dans cette section.</w:t>
      </w:r>
    </w:p>
  </w:footnote>
  <w:footnote w:id="15">
    <w:p w14:paraId="49492814" w14:textId="70A47E83" w:rsidR="001316EE" w:rsidRPr="006A3AED" w:rsidRDefault="001316EE" w:rsidP="001316EE">
      <w:pPr>
        <w:pStyle w:val="PBfootnote"/>
        <w:rPr>
          <w:color w:val="002060"/>
        </w:rPr>
      </w:pPr>
      <w:r w:rsidRPr="006A3AED">
        <w:rPr>
          <w:rStyle w:val="FootnoteReference"/>
          <w:color w:val="002060"/>
        </w:rPr>
        <w:footnoteRef/>
      </w:r>
      <w:r w:rsidRPr="006A3AED">
        <w:rPr>
          <w:color w:val="002060"/>
        </w:rPr>
        <w:t xml:space="preserve"> </w:t>
      </w:r>
      <w:r w:rsidRPr="006A3AED">
        <w:rPr>
          <w:color w:val="002060"/>
        </w:rPr>
        <w:tab/>
        <w:t>Les adoptés, les familles d’origine et les familles adoptives peuvent choisir d’accéder à d’autres services ou ressources.</w:t>
      </w:r>
    </w:p>
  </w:footnote>
  <w:footnote w:id="16">
    <w:p w14:paraId="5009D883" w14:textId="25E89DA6" w:rsidR="00A2029B" w:rsidRPr="00DF0B7A" w:rsidRDefault="00A2029B" w:rsidP="003F260B">
      <w:pPr>
        <w:pStyle w:val="PBfootnote"/>
        <w:rPr>
          <w:color w:val="002060"/>
        </w:rPr>
      </w:pPr>
      <w:r w:rsidRPr="006A3AED">
        <w:rPr>
          <w:rStyle w:val="FootnoteReference"/>
          <w:color w:val="002060"/>
        </w:rPr>
        <w:footnoteRef/>
      </w:r>
      <w:r w:rsidR="00701076" w:rsidRPr="006A3AED">
        <w:rPr>
          <w:color w:val="002060"/>
        </w:rPr>
        <w:t xml:space="preserve"> </w:t>
      </w:r>
      <w:r w:rsidR="00701076" w:rsidRPr="006A3AED">
        <w:rPr>
          <w:color w:val="002060"/>
        </w:rPr>
        <w:tab/>
        <w:t>Voir Protocole austr</w:t>
      </w:r>
      <w:r w:rsidR="00701076">
        <w:rPr>
          <w:color w:val="002060"/>
        </w:rPr>
        <w:t xml:space="preserve">alien, </w:t>
      </w:r>
      <w:r w:rsidR="00701076">
        <w:rPr>
          <w:i/>
          <w:color w:val="002060"/>
        </w:rPr>
        <w:t>supra</w:t>
      </w:r>
      <w:r w:rsidR="00701076">
        <w:rPr>
          <w:color w:val="002060"/>
        </w:rPr>
        <w:t xml:space="preserve"> note </w:t>
      </w:r>
      <w:r w:rsidR="00701076" w:rsidRPr="004404C2">
        <w:rPr>
          <w:color w:val="002060"/>
        </w:rPr>
        <w:fldChar w:fldCharType="begin"/>
      </w:r>
      <w:r w:rsidR="00701076" w:rsidRPr="004404C2">
        <w:rPr>
          <w:color w:val="002060"/>
        </w:rPr>
        <w:instrText xml:space="preserve"> NOTEREF _Ref89251736 \h  \* MERGEFORMAT </w:instrText>
      </w:r>
      <w:r w:rsidR="00701076" w:rsidRPr="004404C2">
        <w:rPr>
          <w:color w:val="002060"/>
        </w:rPr>
      </w:r>
      <w:r w:rsidR="00701076" w:rsidRPr="004404C2">
        <w:rPr>
          <w:color w:val="002060"/>
        </w:rPr>
        <w:fldChar w:fldCharType="separate"/>
      </w:r>
      <w:r w:rsidR="00701076">
        <w:rPr>
          <w:color w:val="002060"/>
        </w:rPr>
        <w:t>7</w:t>
      </w:r>
      <w:r w:rsidR="00701076" w:rsidRPr="004404C2">
        <w:rPr>
          <w:color w:val="002060"/>
        </w:rPr>
        <w:fldChar w:fldCharType="end"/>
      </w:r>
      <w:r w:rsidR="00701076">
        <w:t> </w:t>
      </w:r>
      <w:r w:rsidR="00701076">
        <w:rPr>
          <w:color w:val="002060"/>
        </w:rPr>
        <w:t xml:space="preserve">: </w:t>
      </w:r>
      <w:hyperlink r:id="rId5" w:history="1">
        <w:r w:rsidR="00701076">
          <w:rPr>
            <w:rStyle w:val="Hyperlink"/>
          </w:rPr>
          <w:t>Service de soutien familial en matière d’adoption internationale financé par le Gouvernement australien</w:t>
        </w:r>
      </w:hyperlink>
      <w:r w:rsidR="00701076">
        <w:rPr>
          <w:color w:val="002060"/>
        </w:rPr>
        <w:t>.</w:t>
      </w:r>
    </w:p>
  </w:footnote>
  <w:footnote w:id="17">
    <w:p w14:paraId="24C3F18F" w14:textId="77777777" w:rsidR="00701076" w:rsidRPr="004404C2" w:rsidRDefault="00701076" w:rsidP="00701076">
      <w:pPr>
        <w:pStyle w:val="PBfootnote"/>
        <w:rPr>
          <w:color w:val="002060"/>
        </w:rPr>
      </w:pPr>
      <w:r>
        <w:rPr>
          <w:rStyle w:val="FootnoteReference"/>
          <w:color w:val="002060"/>
        </w:rPr>
        <w:footnoteRef/>
      </w:r>
      <w:r>
        <w:rPr>
          <w:color w:val="002060"/>
        </w:rPr>
        <w:tab/>
        <w:t xml:space="preserve">Voir C. Baglietto, N. Cantwell, M. Dambach (Ed.), </w:t>
      </w:r>
      <w:hyperlink r:id="rId6" w:history="1">
        <w:r w:rsidRPr="00DB0916">
          <w:rPr>
            <w:rStyle w:val="Hyperlink"/>
            <w:i/>
            <w:iCs/>
          </w:rPr>
          <w:t>Faire face aux adoptions illégales :</w:t>
        </w:r>
      </w:hyperlink>
      <w:hyperlink r:id="rId7" w:history="1">
        <w:r w:rsidRPr="00DB0916">
          <w:rPr>
            <w:rStyle w:val="Hyperlink"/>
            <w:i/>
            <w:iCs/>
          </w:rPr>
          <w:t xml:space="preserve"> Un manuel professionnel</w:t>
        </w:r>
      </w:hyperlink>
      <w:r>
        <w:rPr>
          <w:color w:val="002060"/>
        </w:rPr>
        <w:t xml:space="preserve">, SSI, Genève (Suisse), 2016, (ci-après, « Manuel SSI »), Chapitre 3. Voir aussi la </w:t>
      </w:r>
      <w:hyperlink r:id="rId8" w:history="1">
        <w:r w:rsidRPr="00DB0916">
          <w:rPr>
            <w:rStyle w:val="Hyperlink"/>
          </w:rPr>
          <w:t>liste des médiateurs internationaux par pays</w:t>
        </w:r>
      </w:hyperlink>
      <w:r>
        <w:rPr>
          <w:color w:val="002060"/>
        </w:rPr>
        <w:t>.</w:t>
      </w:r>
    </w:p>
  </w:footnote>
  <w:footnote w:id="18">
    <w:p w14:paraId="0C16B7DF" w14:textId="15BA44A8" w:rsidR="00A2029B" w:rsidRPr="00DF0B7A" w:rsidRDefault="00A2029B" w:rsidP="00FC19E2">
      <w:pPr>
        <w:pStyle w:val="PBfootnote"/>
        <w:rPr>
          <w:color w:val="002060"/>
        </w:rPr>
      </w:pPr>
      <w:r w:rsidRPr="00DF0B7A">
        <w:rPr>
          <w:rStyle w:val="FootnoteReference"/>
          <w:color w:val="002060"/>
        </w:rPr>
        <w:footnoteRef/>
      </w:r>
      <w:r w:rsidR="00701076">
        <w:rPr>
          <w:color w:val="002060"/>
        </w:rPr>
        <w:t xml:space="preserve"> </w:t>
      </w:r>
      <w:r w:rsidR="00701076">
        <w:rPr>
          <w:color w:val="002060"/>
        </w:rPr>
        <w:tab/>
        <w:t xml:space="preserve">Manuel SSI, </w:t>
      </w:r>
      <w:r w:rsidR="00701076">
        <w:rPr>
          <w:i/>
          <w:color w:val="002060"/>
        </w:rPr>
        <w:t>ibid.</w:t>
      </w:r>
      <w:r w:rsidR="00701076">
        <w:rPr>
          <w:color w:val="002060"/>
        </w:rPr>
        <w:t xml:space="preserve"> chapitre 7. Dans un État fédéral, cela implique une coordination avec les juridictions pertinentes de l’État. Les adoptés, les familles d’origine et les (futurs) familles adoptives sont susceptibles d’initier des </w:t>
      </w:r>
      <w:r w:rsidR="00701076" w:rsidRPr="007D72C1">
        <w:rPr>
          <w:color w:val="002060"/>
        </w:rPr>
        <w:t>requêtes</w:t>
      </w:r>
      <w:r w:rsidR="00701076">
        <w:rPr>
          <w:color w:val="002060"/>
        </w:rPr>
        <w:t xml:space="preserve"> privées concernant des préoccupations en matière de pratiques illicites, par l’intermédiaire des forces de l’ordre, de détectives privés, d’ONG ou autres. De telles enquêtes peuvent survenir en parallèle ou en lieu et place de l’</w:t>
      </w:r>
      <w:r w:rsidR="00701076" w:rsidRPr="007D72C1">
        <w:rPr>
          <w:color w:val="002060"/>
        </w:rPr>
        <w:t>enquête</w:t>
      </w:r>
      <w:r w:rsidR="00701076">
        <w:rPr>
          <w:color w:val="002060"/>
        </w:rPr>
        <w:t xml:space="preserve"> officielle réalisée par l’intermédiaire de l’Autorité centrale. Lorsque des </w:t>
      </w:r>
      <w:r w:rsidR="00701076" w:rsidRPr="007D72C1">
        <w:rPr>
          <w:color w:val="002060"/>
        </w:rPr>
        <w:t>requêtes</w:t>
      </w:r>
      <w:r w:rsidR="00701076">
        <w:rPr>
          <w:color w:val="002060"/>
        </w:rPr>
        <w:t xml:space="preserve"> privées ont lieu, l’Autorité centrale doit être informée de toute préoccupation en matière de pratiques illicites, étant entendu qu’il peut y avoir des répercussions plus importantes à envisager.</w:t>
      </w:r>
    </w:p>
  </w:footnote>
  <w:footnote w:id="19">
    <w:p w14:paraId="5E988CF9" w14:textId="28D530B4" w:rsidR="00A2029B" w:rsidRPr="007D72C1" w:rsidRDefault="00A2029B" w:rsidP="00FC19E2">
      <w:pPr>
        <w:pStyle w:val="PBfootnote"/>
        <w:rPr>
          <w:color w:val="002060"/>
        </w:rPr>
      </w:pPr>
      <w:r w:rsidRPr="00DF0B7A">
        <w:rPr>
          <w:rStyle w:val="FootnoteReference"/>
          <w:color w:val="002060"/>
        </w:rPr>
        <w:footnoteRef/>
      </w:r>
      <w:r w:rsidR="00701076">
        <w:rPr>
          <w:color w:val="002060"/>
        </w:rPr>
        <w:t xml:space="preserve"> </w:t>
      </w:r>
      <w:r w:rsidR="00701076">
        <w:rPr>
          <w:color w:val="002060"/>
        </w:rPr>
        <w:tab/>
      </w:r>
      <w:r w:rsidR="00701076" w:rsidRPr="007D72C1">
        <w:rPr>
          <w:color w:val="002060"/>
        </w:rPr>
        <w:t xml:space="preserve">Voir également la partie III « Liste récapitulative » de la présente Boîte à outils, qui contient davantage de questions pour aider les Autorités centrales à prendre leurs décisions et le Manuel SSI, </w:t>
      </w:r>
      <w:r w:rsidR="00701076">
        <w:rPr>
          <w:i/>
          <w:color w:val="002060"/>
        </w:rPr>
        <w:t xml:space="preserve">supra </w:t>
      </w:r>
      <w:r w:rsidR="00701076">
        <w:rPr>
          <w:color w:val="002060"/>
        </w:rPr>
        <w:t>note </w:t>
      </w:r>
      <w:r w:rsidR="00701076" w:rsidRPr="004404C2">
        <w:rPr>
          <w:color w:val="002060"/>
        </w:rPr>
        <w:fldChar w:fldCharType="begin"/>
      </w:r>
      <w:r w:rsidR="00701076" w:rsidRPr="004404C2">
        <w:rPr>
          <w:color w:val="002060"/>
        </w:rPr>
        <w:instrText xml:space="preserve"> NOTEREF _Ref90797401 \h  \* MERGEFORMAT </w:instrText>
      </w:r>
      <w:r w:rsidR="00701076" w:rsidRPr="004404C2">
        <w:rPr>
          <w:color w:val="002060"/>
        </w:rPr>
      </w:r>
      <w:r w:rsidR="00701076" w:rsidRPr="004404C2">
        <w:rPr>
          <w:color w:val="002060"/>
        </w:rPr>
        <w:fldChar w:fldCharType="separate"/>
      </w:r>
      <w:r w:rsidR="00701076">
        <w:rPr>
          <w:color w:val="002060"/>
        </w:rPr>
        <w:t>16</w:t>
      </w:r>
      <w:r w:rsidR="00701076" w:rsidRPr="004404C2">
        <w:rPr>
          <w:color w:val="002060"/>
        </w:rPr>
        <w:fldChar w:fldCharType="end"/>
      </w:r>
      <w:r w:rsidR="00701076">
        <w:rPr>
          <w:color w:val="002060"/>
        </w:rPr>
        <w:t xml:space="preserve">, </w:t>
      </w:r>
      <w:r w:rsidR="00701076" w:rsidRPr="007D72C1">
        <w:rPr>
          <w:color w:val="002060"/>
        </w:rPr>
        <w:t>chapitre 5.</w:t>
      </w:r>
    </w:p>
  </w:footnote>
  <w:footnote w:id="20">
    <w:p w14:paraId="1D6517AF" w14:textId="77777777" w:rsidR="00701076" w:rsidRPr="004404C2" w:rsidRDefault="00701076" w:rsidP="00701076">
      <w:pPr>
        <w:pStyle w:val="PBfootnote"/>
        <w:rPr>
          <w:color w:val="002060"/>
        </w:rPr>
      </w:pPr>
      <w:r>
        <w:rPr>
          <w:rStyle w:val="FootnoteReference"/>
          <w:color w:val="002060"/>
        </w:rPr>
        <w:footnoteRef/>
      </w:r>
      <w:r>
        <w:rPr>
          <w:color w:val="002060"/>
        </w:rPr>
        <w:t xml:space="preserve"> </w:t>
      </w:r>
      <w:r>
        <w:rPr>
          <w:color w:val="002060"/>
        </w:rPr>
        <w:tab/>
        <w:t xml:space="preserve">Voir Protocole australien, </w:t>
      </w:r>
      <w:r>
        <w:rPr>
          <w:i/>
          <w:color w:val="002060"/>
        </w:rPr>
        <w:t>supra</w:t>
      </w:r>
      <w:r>
        <w:rPr>
          <w:color w:val="002060"/>
        </w:rPr>
        <w:t xml:space="preserve"> note </w:t>
      </w:r>
      <w:r w:rsidRPr="004404C2">
        <w:rPr>
          <w:color w:val="002060"/>
        </w:rPr>
        <w:fldChar w:fldCharType="begin"/>
      </w:r>
      <w:r w:rsidRPr="004404C2">
        <w:rPr>
          <w:color w:val="002060"/>
        </w:rPr>
        <w:instrText xml:space="preserve"> NOTEREF _Ref89251736 \h  \* MERGEFORMAT </w:instrText>
      </w:r>
      <w:r w:rsidRPr="004404C2">
        <w:rPr>
          <w:color w:val="002060"/>
        </w:rPr>
      </w:r>
      <w:r w:rsidRPr="004404C2">
        <w:rPr>
          <w:color w:val="002060"/>
        </w:rPr>
        <w:fldChar w:fldCharType="separate"/>
      </w:r>
      <w:r>
        <w:rPr>
          <w:color w:val="002060"/>
        </w:rPr>
        <w:t>7</w:t>
      </w:r>
      <w:r w:rsidRPr="004404C2">
        <w:rPr>
          <w:color w:val="002060"/>
        </w:rPr>
        <w:fldChar w:fldCharType="end"/>
      </w:r>
      <w:r>
        <w:rPr>
          <w:color w:val="002060"/>
        </w:rPr>
        <w:t xml:space="preserve">. Par ex. des inquiétudes similaires dans des dossiers distincts. </w:t>
      </w:r>
    </w:p>
  </w:footnote>
  <w:footnote w:id="21">
    <w:p w14:paraId="4A4A4547" w14:textId="77777777" w:rsidR="00701076" w:rsidRPr="004404C2" w:rsidRDefault="00701076" w:rsidP="00701076">
      <w:pPr>
        <w:pStyle w:val="PBfootnote"/>
        <w:rPr>
          <w:color w:val="002060"/>
        </w:rPr>
      </w:pPr>
      <w:r>
        <w:rPr>
          <w:rStyle w:val="FootnoteReference"/>
          <w:color w:val="002060"/>
        </w:rPr>
        <w:footnoteRef/>
      </w:r>
      <w:r>
        <w:rPr>
          <w:color w:val="002060"/>
        </w:rPr>
        <w:tab/>
        <w:t>À cet égard, les États concernés devraient édicter des lois visant à déterminer quelles informations peuvent être recueillies par l’Autorité centrale et les autres autorités compétentes et à quelles fins. La législation doit aussi prévoir des règles relatives à la conservation et à l’utilisation ultérieure des informations.</w:t>
      </w:r>
    </w:p>
  </w:footnote>
  <w:footnote w:id="22">
    <w:p w14:paraId="1E50912F" w14:textId="6BCCA5DF" w:rsidR="00701076" w:rsidRPr="007D72C1" w:rsidRDefault="00701076" w:rsidP="00701076">
      <w:pPr>
        <w:pStyle w:val="PBfootnote"/>
        <w:rPr>
          <w:color w:val="002060"/>
        </w:rPr>
      </w:pPr>
      <w:r>
        <w:rPr>
          <w:rStyle w:val="FootnoteReference"/>
          <w:color w:val="002060"/>
        </w:rPr>
        <w:footnoteRef/>
      </w:r>
      <w:r w:rsidRPr="007D72C1">
        <w:rPr>
          <w:color w:val="002060"/>
        </w:rPr>
        <w:t xml:space="preserve"> </w:t>
      </w:r>
      <w:r w:rsidRPr="007D72C1">
        <w:rPr>
          <w:color w:val="002060"/>
        </w:rPr>
        <w:tab/>
        <w:t>Voir SSI, « </w:t>
      </w:r>
      <w:r w:rsidRPr="007D72C1">
        <w:t xml:space="preserve"> </w:t>
      </w:r>
      <w:hyperlink r:id="rId9" w:history="1">
        <w:r w:rsidR="003F7F62" w:rsidRPr="007D72C1">
          <w:rPr>
            <w:rStyle w:val="Hyperlink"/>
          </w:rPr>
          <w:t>Le recours aux tests ADN : une garantie suffisante pour déterminer l’identité de l’enfant et des parents biologiques</w:t>
        </w:r>
        <w:r w:rsidR="007D72C1">
          <w:rPr>
            <w:rStyle w:val="Hyperlink"/>
          </w:rPr>
          <w:t> </w:t>
        </w:r>
        <w:r w:rsidR="003F7F62" w:rsidRPr="007D72C1">
          <w:rPr>
            <w:rStyle w:val="Hyperlink"/>
          </w:rPr>
          <w:t>?</w:t>
        </w:r>
      </w:hyperlink>
      <w:r w:rsidRPr="007D72C1">
        <w:rPr>
          <w:color w:val="002060"/>
        </w:rPr>
        <w:t xml:space="preserve"> », (en anglais uniquement) dans la </w:t>
      </w:r>
      <w:r w:rsidRPr="007D72C1">
        <w:rPr>
          <w:i/>
          <w:color w:val="002060"/>
        </w:rPr>
        <w:t>Revue mensuelle SSI / CIR No 222</w:t>
      </w:r>
      <w:r w:rsidRPr="007D72C1">
        <w:rPr>
          <w:color w:val="002060"/>
        </w:rPr>
        <w:t xml:space="preserve">, juin 2018. </w:t>
      </w:r>
    </w:p>
  </w:footnote>
  <w:footnote w:id="23">
    <w:p w14:paraId="13DE6A21" w14:textId="37ED61FE" w:rsidR="00A2029B" w:rsidRPr="00DF0B7A" w:rsidRDefault="00A2029B" w:rsidP="00F95DAA">
      <w:pPr>
        <w:pStyle w:val="PBfootnote"/>
        <w:rPr>
          <w:color w:val="002060"/>
        </w:rPr>
      </w:pPr>
      <w:r w:rsidRPr="00DF0B7A">
        <w:rPr>
          <w:rStyle w:val="FootnoteReference"/>
          <w:color w:val="002060"/>
        </w:rPr>
        <w:footnoteRef/>
      </w:r>
      <w:r w:rsidR="00701076">
        <w:tab/>
      </w:r>
      <w:r w:rsidR="00701076" w:rsidRPr="0005514A">
        <w:rPr>
          <w:i/>
          <w:color w:val="002060"/>
        </w:rPr>
        <w:t>Ibid</w:t>
      </w:r>
      <w:r w:rsidR="00701076" w:rsidRPr="0005514A">
        <w:rPr>
          <w:color w:val="002060"/>
        </w:rPr>
        <w:t>.</w:t>
      </w:r>
    </w:p>
  </w:footnote>
  <w:footnote w:id="24">
    <w:p w14:paraId="569A345A" w14:textId="264B0184" w:rsidR="00701076" w:rsidRPr="004404C2" w:rsidRDefault="00701076" w:rsidP="00701076">
      <w:pPr>
        <w:pStyle w:val="PBfootnote"/>
        <w:rPr>
          <w:color w:val="002060"/>
        </w:rPr>
      </w:pPr>
      <w:r>
        <w:rPr>
          <w:rStyle w:val="FootnoteReference"/>
          <w:color w:val="002060"/>
        </w:rPr>
        <w:footnoteRef/>
      </w:r>
      <w:r>
        <w:rPr>
          <w:color w:val="002060"/>
        </w:rPr>
        <w:t xml:space="preserve"> </w:t>
      </w:r>
      <w:r w:rsidRPr="0005514A">
        <w:rPr>
          <w:color w:val="002060"/>
        </w:rPr>
        <w:tab/>
        <w:t xml:space="preserve">Par ex., la </w:t>
      </w:r>
      <w:hyperlink r:id="rId10" w:history="1">
        <w:r>
          <w:rPr>
            <w:rStyle w:val="Hyperlink"/>
          </w:rPr>
          <w:t>France</w:t>
        </w:r>
      </w:hyperlink>
      <w:r>
        <w:rPr>
          <w:color w:val="002060"/>
        </w:rPr>
        <w:t xml:space="preserve">, </w:t>
      </w:r>
      <w:r w:rsidRPr="0005514A">
        <w:rPr>
          <w:color w:val="002060"/>
        </w:rPr>
        <w:t xml:space="preserve">les Pays-Bas </w:t>
      </w:r>
      <w:r w:rsidR="00492E87" w:rsidRPr="007D72C1">
        <w:rPr>
          <w:color w:val="021E43"/>
        </w:rPr>
        <w:t>(</w:t>
      </w:r>
      <w:hyperlink r:id="rId11" w:history="1">
        <w:r>
          <w:rPr>
            <w:rStyle w:val="Hyperlink"/>
          </w:rPr>
          <w:t>Committee Investigating Intercountry Adoption in the past</w:t>
        </w:r>
      </w:hyperlink>
      <w:r w:rsidRPr="0005514A">
        <w:rPr>
          <w:color w:val="002060"/>
        </w:rPr>
        <w:t xml:space="preserve">), la </w:t>
      </w:r>
      <w:hyperlink r:id="rId12" w:history="1">
        <w:r>
          <w:rPr>
            <w:rStyle w:val="Hyperlink"/>
          </w:rPr>
          <w:t>Suède</w:t>
        </w:r>
      </w:hyperlink>
      <w:r>
        <w:t xml:space="preserve"> </w:t>
      </w:r>
      <w:r w:rsidRPr="0005514A">
        <w:rPr>
          <w:color w:val="002060"/>
        </w:rPr>
        <w:t>et la Suisse</w:t>
      </w:r>
      <w:r w:rsidR="009A1680" w:rsidRPr="0005514A">
        <w:rPr>
          <w:color w:val="002060"/>
        </w:rPr>
        <w:t xml:space="preserve"> </w:t>
      </w:r>
      <w:hyperlink r:id="rId13" w:history="1">
        <w:r>
          <w:rPr>
            <w:rStyle w:val="Hyperlink"/>
          </w:rPr>
          <w:t>(Conseil fédéral</w:t>
        </w:r>
      </w:hyperlink>
      <w:r>
        <w:rPr>
          <w:rStyle w:val="Hyperlink"/>
        </w:rPr>
        <w:t>).</w:t>
      </w:r>
    </w:p>
  </w:footnote>
  <w:footnote w:id="25">
    <w:p w14:paraId="74D73BA8" w14:textId="7DAF080C" w:rsidR="00701076" w:rsidRPr="004404C2" w:rsidRDefault="00701076" w:rsidP="00701076">
      <w:pPr>
        <w:pStyle w:val="PBfootnote"/>
        <w:rPr>
          <w:color w:val="002060"/>
        </w:rPr>
      </w:pPr>
      <w:r w:rsidRPr="007D72C1">
        <w:rPr>
          <w:rStyle w:val="FootnoteReference"/>
          <w:color w:val="002060"/>
        </w:rPr>
        <w:footnoteRef/>
      </w:r>
      <w:r w:rsidRPr="007D72C1">
        <w:rPr>
          <w:color w:val="002060"/>
        </w:rPr>
        <w:t xml:space="preserve"> </w:t>
      </w:r>
      <w:r w:rsidRPr="007D72C1">
        <w:rPr>
          <w:color w:val="002060"/>
        </w:rPr>
        <w:tab/>
      </w:r>
      <w:r w:rsidRPr="004E301E">
        <w:rPr>
          <w:color w:val="002060"/>
          <w:u w:val="single"/>
        </w:rPr>
        <w:t>Note pour la réunion de la Commission spéciale de 2022</w:t>
      </w:r>
      <w:r w:rsidRPr="004E301E">
        <w:rPr>
          <w:color w:val="002060"/>
        </w:rPr>
        <w:t xml:space="preserve"> : voir le Rapport du Groupe de travail de 2020, </w:t>
      </w:r>
      <w:r w:rsidRPr="004E301E">
        <w:rPr>
          <w:i/>
          <w:color w:val="002060"/>
        </w:rPr>
        <w:t>supra</w:t>
      </w:r>
      <w:r w:rsidRPr="004E301E">
        <w:rPr>
          <w:color w:val="002060"/>
        </w:rPr>
        <w:t xml:space="preserve"> note </w:t>
      </w:r>
      <w:r w:rsidRPr="004E301E">
        <w:rPr>
          <w:color w:val="002060"/>
        </w:rPr>
        <w:fldChar w:fldCharType="begin"/>
      </w:r>
      <w:r w:rsidRPr="004E301E">
        <w:rPr>
          <w:color w:val="002060"/>
        </w:rPr>
        <w:instrText xml:space="preserve"> NOTEREF _Ref94009393 \h  \* MERGEFORMAT </w:instrText>
      </w:r>
      <w:r w:rsidRPr="004E301E">
        <w:rPr>
          <w:color w:val="002060"/>
        </w:rPr>
      </w:r>
      <w:r w:rsidRPr="004E301E">
        <w:rPr>
          <w:color w:val="002060"/>
        </w:rPr>
        <w:fldChar w:fldCharType="separate"/>
      </w:r>
      <w:r w:rsidRPr="004E301E">
        <w:rPr>
          <w:color w:val="002060"/>
        </w:rPr>
        <w:t>4</w:t>
      </w:r>
      <w:r w:rsidRPr="004E301E">
        <w:rPr>
          <w:color w:val="002060"/>
        </w:rPr>
        <w:fldChar w:fldCharType="end"/>
      </w:r>
      <w:r w:rsidRPr="004E301E">
        <w:rPr>
          <w:color w:val="002060"/>
        </w:rPr>
        <w:t>, para. 21 concernant les commissions : « Certains participants ont souligné les défis éventuels liés à certains des services et la nature politique de certaines des mesures décrites dans la procédure type. Néanmoins, de nombreux participants ont souligné l’importance que la procédure type s’adresse à tous les acteurs étatiques et ont reconnu l’intérêt de proposer un large éventail de mesures.</w:t>
      </w:r>
      <w:r w:rsidR="003C2CBA" w:rsidRPr="004E301E">
        <w:rPr>
          <w:color w:val="002060"/>
        </w:rPr>
        <w:t> »</w:t>
      </w:r>
    </w:p>
  </w:footnote>
  <w:footnote w:id="26">
    <w:p w14:paraId="00188981" w14:textId="77777777" w:rsidR="00A2029B" w:rsidRPr="00DF0B7A" w:rsidRDefault="00A2029B" w:rsidP="00A6235A">
      <w:pPr>
        <w:pStyle w:val="PBfootnote"/>
        <w:rPr>
          <w:color w:val="002060"/>
        </w:rPr>
      </w:pPr>
      <w:r w:rsidRPr="00DF0B7A">
        <w:rPr>
          <w:rStyle w:val="FootnoteReference"/>
          <w:color w:val="002060"/>
        </w:rPr>
        <w:footnoteRef/>
      </w:r>
      <w:r w:rsidRPr="00DF0B7A">
        <w:rPr>
          <w:color w:val="002060"/>
        </w:rPr>
        <w:tab/>
        <w:t xml:space="preserve">La loi de l’État qui enquête englobe ses lois et règlements, mais aussi tout traité régional ou international auquel l’État est Partie, autrement dit, y compris la Convention Adoption de 1993 et la CNUDE. L’expression « autorité chargée de l’enquête » peut supposer l’action conjointe de l’Autorité centrale et des forces de l’ordre. </w:t>
      </w:r>
    </w:p>
  </w:footnote>
  <w:footnote w:id="27">
    <w:p w14:paraId="485FDBE0" w14:textId="77777777" w:rsidR="00A2029B" w:rsidRPr="00DF0B7A" w:rsidRDefault="00A2029B" w:rsidP="00E60C79">
      <w:pPr>
        <w:pStyle w:val="PBfootnote"/>
        <w:rPr>
          <w:color w:val="002060"/>
        </w:rPr>
      </w:pPr>
      <w:r w:rsidRPr="00DF0B7A">
        <w:rPr>
          <w:rStyle w:val="FootnoteReference"/>
          <w:color w:val="002060"/>
        </w:rPr>
        <w:footnoteRef/>
      </w:r>
      <w:r w:rsidRPr="00DF0B7A">
        <w:rPr>
          <w:color w:val="002060"/>
        </w:rPr>
        <w:tab/>
        <w:t>Voir GGP No 1, Chapitre 2.3.3.</w:t>
      </w:r>
    </w:p>
  </w:footnote>
  <w:footnote w:id="28">
    <w:p w14:paraId="2082FB31" w14:textId="77777777" w:rsidR="00701076" w:rsidRPr="004404C2" w:rsidRDefault="00701076" w:rsidP="00701076">
      <w:pPr>
        <w:pStyle w:val="PBfootnote"/>
        <w:rPr>
          <w:color w:val="002060"/>
        </w:rPr>
      </w:pPr>
      <w:r>
        <w:rPr>
          <w:rStyle w:val="FootnoteReference"/>
          <w:color w:val="002060"/>
        </w:rPr>
        <w:footnoteRef/>
      </w:r>
      <w:r>
        <w:rPr>
          <w:color w:val="002060"/>
        </w:rPr>
        <w:t xml:space="preserve"> </w:t>
      </w:r>
      <w:r>
        <w:rPr>
          <w:color w:val="002060"/>
        </w:rPr>
        <w:tab/>
        <w:t xml:space="preserve">Voir Protocole australien, </w:t>
      </w:r>
      <w:r>
        <w:rPr>
          <w:i/>
          <w:color w:val="002060"/>
        </w:rPr>
        <w:t>supra</w:t>
      </w:r>
      <w:r>
        <w:rPr>
          <w:color w:val="002060"/>
        </w:rPr>
        <w:t xml:space="preserve"> note </w:t>
      </w:r>
      <w:r w:rsidRPr="004404C2">
        <w:rPr>
          <w:color w:val="002060"/>
        </w:rPr>
        <w:fldChar w:fldCharType="begin"/>
      </w:r>
      <w:r w:rsidRPr="004404C2">
        <w:rPr>
          <w:color w:val="002060"/>
        </w:rPr>
        <w:instrText xml:space="preserve"> NOTEREF _Ref89251736 \h  \* MERGEFORMAT </w:instrText>
      </w:r>
      <w:r w:rsidRPr="004404C2">
        <w:rPr>
          <w:color w:val="002060"/>
        </w:rPr>
      </w:r>
      <w:r w:rsidRPr="004404C2">
        <w:rPr>
          <w:color w:val="002060"/>
        </w:rPr>
        <w:fldChar w:fldCharType="separate"/>
      </w:r>
      <w:r>
        <w:rPr>
          <w:color w:val="002060"/>
        </w:rPr>
        <w:t>7</w:t>
      </w:r>
      <w:r w:rsidRPr="004404C2">
        <w:rPr>
          <w:color w:val="002060"/>
        </w:rPr>
        <w:fldChar w:fldCharType="end"/>
      </w:r>
      <w:r>
        <w:rPr>
          <w:color w:val="002060"/>
        </w:rPr>
        <w:t>.</w:t>
      </w:r>
    </w:p>
  </w:footnote>
  <w:footnote w:id="29">
    <w:p w14:paraId="5BEB4D9B" w14:textId="55870591" w:rsidR="00A2029B" w:rsidRPr="00D56433" w:rsidRDefault="00A2029B" w:rsidP="00701076">
      <w:pPr>
        <w:pStyle w:val="FootnoteText"/>
        <w:ind w:left="284" w:hanging="284"/>
        <w:rPr>
          <w:color w:val="002060"/>
          <w:szCs w:val="18"/>
        </w:rPr>
      </w:pPr>
      <w:r>
        <w:rPr>
          <w:rStyle w:val="FootnoteReference"/>
          <w:color w:val="002060"/>
          <w:szCs w:val="18"/>
        </w:rPr>
        <w:footnoteRef/>
      </w:r>
      <w:r w:rsidR="00701076">
        <w:rPr>
          <w:color w:val="002060"/>
        </w:rPr>
        <w:t xml:space="preserve"> </w:t>
      </w:r>
      <w:r w:rsidR="00701076">
        <w:rPr>
          <w:color w:val="002060"/>
        </w:rPr>
        <w:tab/>
        <w:t xml:space="preserve">Il s’agit de situations dans lesquelles l’enquête montre </w:t>
      </w:r>
      <w:r w:rsidR="00701076" w:rsidRPr="00D56433">
        <w:rPr>
          <w:color w:val="002060"/>
        </w:rPr>
        <w:t>de manière positive</w:t>
      </w:r>
      <w:r w:rsidR="00701076">
        <w:rPr>
          <w:color w:val="002060"/>
        </w:rPr>
        <w:t xml:space="preserve"> qu’une pratique illicite n’a pas été commise ; de situations dans lesquelles il existe des preuves fiables à l’appui de l’allégation, mais qui sont insuffisantes pour étayer pleinement la plainte ; et de situations dans lesquelles l’enquête n’est pas concluante, ce qui pourrait être dû en partie à des dossiers manquants ou incomplets. Voir également </w:t>
      </w:r>
      <w:r w:rsidR="00701076">
        <w:rPr>
          <w:i/>
          <w:color w:val="002060"/>
        </w:rPr>
        <w:t>supra</w:t>
      </w:r>
      <w:r w:rsidR="00701076">
        <w:rPr>
          <w:color w:val="002060"/>
        </w:rPr>
        <w:t xml:space="preserve"> note </w:t>
      </w:r>
      <w:r w:rsidR="00701076" w:rsidRPr="004404C2">
        <w:rPr>
          <w:color w:val="002060"/>
        </w:rPr>
        <w:fldChar w:fldCharType="begin"/>
      </w:r>
      <w:r w:rsidR="00701076" w:rsidRPr="004404C2">
        <w:rPr>
          <w:color w:val="002060"/>
        </w:rPr>
        <w:instrText xml:space="preserve"> NOTEREF _Ref90563544 \h  \* MERGEFORMAT </w:instrText>
      </w:r>
      <w:r w:rsidR="00701076" w:rsidRPr="004404C2">
        <w:rPr>
          <w:color w:val="002060"/>
        </w:rPr>
      </w:r>
      <w:r w:rsidR="00701076" w:rsidRPr="004404C2">
        <w:rPr>
          <w:color w:val="002060"/>
        </w:rPr>
        <w:fldChar w:fldCharType="separate"/>
      </w:r>
      <w:r w:rsidR="00701076">
        <w:rPr>
          <w:color w:val="002060"/>
        </w:rPr>
        <w:t>6</w:t>
      </w:r>
      <w:r w:rsidR="00701076" w:rsidRPr="004404C2">
        <w:rPr>
          <w:color w:val="002060"/>
        </w:rPr>
        <w:fldChar w:fldCharType="end"/>
      </w:r>
      <w:r w:rsidR="00701076">
        <w:rPr>
          <w:color w:val="002060"/>
        </w:rPr>
        <w:t xml:space="preserve"> pour les délais de prescription.</w:t>
      </w:r>
    </w:p>
  </w:footnote>
  <w:footnote w:id="30">
    <w:p w14:paraId="6D0D2619" w14:textId="77777777" w:rsidR="00701076" w:rsidRPr="00D56433" w:rsidRDefault="00701076" w:rsidP="00701076">
      <w:pPr>
        <w:pStyle w:val="FootnoteText"/>
        <w:ind w:left="284" w:hanging="284"/>
        <w:rPr>
          <w:color w:val="002060"/>
          <w:szCs w:val="18"/>
        </w:rPr>
      </w:pPr>
      <w:r>
        <w:rPr>
          <w:rStyle w:val="FootnoteReference"/>
          <w:color w:val="002060"/>
          <w:szCs w:val="18"/>
        </w:rPr>
        <w:footnoteRef/>
      </w:r>
      <w:r w:rsidRPr="00D56433">
        <w:rPr>
          <w:color w:val="002060"/>
        </w:rPr>
        <w:t xml:space="preserve"> </w:t>
      </w:r>
      <w:r w:rsidRPr="00D56433">
        <w:rPr>
          <w:color w:val="002060"/>
        </w:rPr>
        <w:tab/>
        <w:t>Sur ce point, les autorités et organes peuvent s’aider des Fiches de synthèse de la présente Boîte à outils.</w:t>
      </w:r>
      <w:r>
        <w:rPr>
          <w:color w:val="002060"/>
        </w:rPr>
        <w:t xml:space="preserve"> Les autorités compétentes doivent s’efforcer de suivre les mesures suggérées dans les Fiches de synthèse pour prévenir de tels facteurs propices.</w:t>
      </w:r>
      <w:r>
        <w:rPr>
          <w:color w:val="002060"/>
        </w:rPr>
        <w:tab/>
      </w:r>
    </w:p>
  </w:footnote>
  <w:footnote w:id="31">
    <w:p w14:paraId="2C7B716A" w14:textId="77777777" w:rsidR="00701076" w:rsidRPr="004404C2" w:rsidRDefault="00701076" w:rsidP="00701076">
      <w:pPr>
        <w:pStyle w:val="PBfootnote"/>
        <w:rPr>
          <w:color w:val="002060"/>
        </w:rPr>
      </w:pPr>
      <w:r>
        <w:rPr>
          <w:rStyle w:val="FootnoteReference"/>
          <w:color w:val="002060"/>
        </w:rPr>
        <w:footnoteRef/>
      </w:r>
      <w:r>
        <w:rPr>
          <w:color w:val="002060"/>
        </w:rPr>
        <w:tab/>
        <w:t>Voir GGP No 1, para. 533.</w:t>
      </w:r>
    </w:p>
  </w:footnote>
  <w:footnote w:id="32">
    <w:p w14:paraId="16BAAB61" w14:textId="77777777" w:rsidR="00701076" w:rsidRPr="004404C2" w:rsidRDefault="00701076" w:rsidP="00701076">
      <w:pPr>
        <w:pStyle w:val="PBfootnote"/>
        <w:rPr>
          <w:color w:val="002060"/>
        </w:rPr>
      </w:pPr>
      <w:r>
        <w:rPr>
          <w:rStyle w:val="FootnoteReference"/>
          <w:color w:val="002060"/>
        </w:rPr>
        <w:footnoteRef/>
      </w:r>
      <w:r>
        <w:rPr>
          <w:color w:val="002060"/>
        </w:rPr>
        <w:tab/>
        <w:t xml:space="preserve">Voir </w:t>
      </w:r>
      <w:hyperlink r:id="rId14" w:history="1">
        <w:r>
          <w:rPr>
            <w:rStyle w:val="Hyperlink"/>
            <w:color w:val="002060"/>
          </w:rPr>
          <w:t>Note sur la résidence habituelle</w:t>
        </w:r>
      </w:hyperlink>
      <w:r>
        <w:rPr>
          <w:color w:val="002060"/>
        </w:rPr>
        <w:t>, para. 80. Tous les États ont également des obligations au titre de la CNUDE et / ou de l’OPSC.</w:t>
      </w:r>
    </w:p>
  </w:footnote>
  <w:footnote w:id="33">
    <w:p w14:paraId="124D60BD" w14:textId="77777777" w:rsidR="00701076" w:rsidRPr="004404C2" w:rsidRDefault="00701076" w:rsidP="00701076">
      <w:pPr>
        <w:pStyle w:val="PBfootnote"/>
        <w:rPr>
          <w:color w:val="002060"/>
        </w:rPr>
      </w:pPr>
      <w:r>
        <w:rPr>
          <w:rStyle w:val="FootnoteReference"/>
          <w:color w:val="002060"/>
        </w:rPr>
        <w:footnoteRef/>
      </w:r>
      <w:r>
        <w:rPr>
          <w:color w:val="002060"/>
        </w:rPr>
        <w:tab/>
        <w:t>Voir GGP No 1, para. 527.</w:t>
      </w:r>
    </w:p>
  </w:footnote>
  <w:footnote w:id="34">
    <w:p w14:paraId="3D84E47D" w14:textId="77777777" w:rsidR="00701076" w:rsidRPr="004404C2" w:rsidRDefault="00701076" w:rsidP="00701076">
      <w:pPr>
        <w:pStyle w:val="PBfootnote"/>
        <w:rPr>
          <w:color w:val="002060"/>
        </w:rPr>
      </w:pPr>
      <w:r>
        <w:rPr>
          <w:rStyle w:val="FootnoteReference"/>
          <w:color w:val="002060"/>
        </w:rPr>
        <w:footnoteRef/>
      </w:r>
      <w:r>
        <w:rPr>
          <w:color w:val="002060"/>
        </w:rPr>
        <w:t xml:space="preserve"> </w:t>
      </w:r>
      <w:r>
        <w:rPr>
          <w:color w:val="002060"/>
        </w:rPr>
        <w:tab/>
        <w:t xml:space="preserve">Voir également les Lignes directrices de l’ONU relatives à la protection de remplacement pour les enfants et la </w:t>
      </w:r>
      <w:hyperlink r:id="rId15" w:history="1">
        <w:r>
          <w:rPr>
            <w:rStyle w:val="Hyperlink"/>
          </w:rPr>
          <w:t>Résolution de l’AGNU de 2019 sur les droits de l’enfant</w:t>
        </w:r>
      </w:hyperlink>
      <w:r>
        <w:rPr>
          <w:color w:val="002060"/>
        </w:rPr>
        <w:t>.</w:t>
      </w:r>
    </w:p>
  </w:footnote>
  <w:footnote w:id="35">
    <w:p w14:paraId="2E3E613C" w14:textId="77777777" w:rsidR="00701076" w:rsidRPr="004404C2" w:rsidRDefault="00701076" w:rsidP="00701076">
      <w:pPr>
        <w:pStyle w:val="PBfootnote"/>
        <w:rPr>
          <w:color w:val="002060"/>
        </w:rPr>
      </w:pPr>
      <w:r>
        <w:rPr>
          <w:rStyle w:val="FootnoteReference"/>
          <w:color w:val="002060"/>
        </w:rPr>
        <w:footnoteRef/>
      </w:r>
      <w:r>
        <w:rPr>
          <w:color w:val="002060"/>
        </w:rPr>
        <w:tab/>
        <w:t xml:space="preserve">Cela peut notamment être le cas, par ex. si le consentement des parents d’origine de l’enfant n’a pas été obtenu. Cependant, il n’est pas nécessairement pertinent d’impliquer les parents d’origine pour une pratique illicite survenue pendant la période de socialisation, dans laquelle ces derniers ne sont pas impliqués. </w:t>
      </w:r>
    </w:p>
  </w:footnote>
  <w:footnote w:id="36">
    <w:p w14:paraId="2A24FBC3" w14:textId="77777777" w:rsidR="00701076" w:rsidRPr="004404C2" w:rsidRDefault="00701076" w:rsidP="00701076">
      <w:pPr>
        <w:pStyle w:val="PBfootnote"/>
        <w:rPr>
          <w:color w:val="002060"/>
        </w:rPr>
      </w:pPr>
      <w:r>
        <w:rPr>
          <w:rStyle w:val="FootnoteReference"/>
          <w:color w:val="002060"/>
        </w:rPr>
        <w:footnoteRef/>
      </w:r>
      <w:r>
        <w:rPr>
          <w:color w:val="002060"/>
        </w:rPr>
        <w:t xml:space="preserve"> </w:t>
      </w:r>
      <w:r>
        <w:rPr>
          <w:color w:val="002060"/>
        </w:rPr>
        <w:tab/>
      </w:r>
      <w:r w:rsidRPr="00D56433">
        <w:rPr>
          <w:color w:val="002060"/>
        </w:rPr>
        <w:t xml:space="preserve">Cela inclut les situations dans lesquelles l’adoption a déjà été finalisée même si le certificat de conformité visé à l’art. 23 n’a pas encore été délivré. </w:t>
      </w:r>
    </w:p>
  </w:footnote>
  <w:footnote w:id="37">
    <w:p w14:paraId="67DB2DD2" w14:textId="77777777" w:rsidR="00701076" w:rsidRPr="004404C2" w:rsidRDefault="00701076" w:rsidP="00701076">
      <w:pPr>
        <w:pStyle w:val="PBfootnote"/>
        <w:rPr>
          <w:color w:val="002060"/>
        </w:rPr>
      </w:pPr>
      <w:r>
        <w:rPr>
          <w:rStyle w:val="FootnoteReference"/>
          <w:color w:val="002060"/>
        </w:rPr>
        <w:footnoteRef/>
      </w:r>
      <w:r>
        <w:rPr>
          <w:color w:val="002060"/>
        </w:rPr>
        <w:tab/>
        <w:t>Voir GGP No 1, para. 605.</w:t>
      </w:r>
    </w:p>
  </w:footnote>
  <w:footnote w:id="38">
    <w:p w14:paraId="5E79C427" w14:textId="77777777" w:rsidR="00701076" w:rsidRPr="00D56433" w:rsidRDefault="00701076" w:rsidP="00701076">
      <w:pPr>
        <w:pStyle w:val="FootnoteText"/>
        <w:ind w:left="284" w:hanging="284"/>
        <w:rPr>
          <w:color w:val="002060"/>
          <w:szCs w:val="18"/>
        </w:rPr>
      </w:pPr>
      <w:r>
        <w:rPr>
          <w:rStyle w:val="FootnoteReference"/>
          <w:color w:val="002060"/>
          <w:szCs w:val="18"/>
        </w:rPr>
        <w:footnoteRef/>
      </w:r>
      <w:r>
        <w:rPr>
          <w:color w:val="002060"/>
        </w:rPr>
        <w:t xml:space="preserve"> </w:t>
      </w:r>
      <w:r>
        <w:rPr>
          <w:color w:val="002060"/>
        </w:rPr>
        <w:tab/>
      </w:r>
      <w:r w:rsidRPr="00D56433">
        <w:rPr>
          <w:color w:val="002060"/>
        </w:rPr>
        <w:t xml:space="preserve">Toutefois, si l’enfant n’est pas présent dans l’État de sa résidence habituelle et que des problèmes de protection de l’enfant doivent être traités d’urgence, les autorités compétentes de l’État où l’enfant est physiquement présent peuvent être impliquées. La Convention HCCH Protection des enfants de 1996 serait particulièrement utile dans de telles situations. </w:t>
      </w:r>
    </w:p>
  </w:footnote>
  <w:footnote w:id="39">
    <w:p w14:paraId="0066F778" w14:textId="77777777" w:rsidR="00701076" w:rsidRPr="00D56433" w:rsidRDefault="00701076" w:rsidP="00701076">
      <w:pPr>
        <w:pStyle w:val="PBfootnote"/>
        <w:rPr>
          <w:color w:val="002060"/>
        </w:rPr>
      </w:pPr>
      <w:r w:rsidRPr="00D56433">
        <w:rPr>
          <w:rStyle w:val="FootnoteReference"/>
          <w:color w:val="002060"/>
        </w:rPr>
        <w:footnoteRef/>
      </w:r>
      <w:r w:rsidRPr="00D56433">
        <w:rPr>
          <w:color w:val="002060"/>
        </w:rPr>
        <w:tab/>
        <w:t xml:space="preserve">Si un enfant est placé en institution, cela ne doit être fait que dans le respect de la loi de son État de résidence habituelle, ainsi que des critères et procédures énoncés dans les Lignes directrices de l’ONU relatives à la protection de remplacement pour les enfants. </w:t>
      </w:r>
    </w:p>
  </w:footnote>
  <w:footnote w:id="40">
    <w:p w14:paraId="09306E45" w14:textId="77777777" w:rsidR="00701076" w:rsidRPr="004404C2" w:rsidRDefault="00701076" w:rsidP="00701076">
      <w:pPr>
        <w:pStyle w:val="PBfootnote"/>
        <w:rPr>
          <w:color w:val="002060"/>
        </w:rPr>
      </w:pPr>
      <w:r>
        <w:rPr>
          <w:rStyle w:val="FootnoteReference"/>
          <w:color w:val="002060"/>
        </w:rPr>
        <w:footnoteRef/>
      </w:r>
      <w:r w:rsidRPr="00D56433">
        <w:rPr>
          <w:color w:val="002060"/>
        </w:rPr>
        <w:t xml:space="preserve"> </w:t>
      </w:r>
      <w:r w:rsidRPr="00D56433">
        <w:rPr>
          <w:color w:val="002060"/>
        </w:rPr>
        <w:tab/>
        <w:t>Il peut également être pertinent d’examiner si l’enfant s’est intégré dans sa famille adoptive, si une longue période s’est écoulée depuis l’adoption, si l’enfant (selon son âge et sa maturité) a exprimé sa préférence (</w:t>
      </w:r>
      <w:r>
        <w:rPr>
          <w:color w:val="002060"/>
        </w:rPr>
        <w:t>ou selon le cas, son consentement) pour son maintien dans la famille adoptive) </w:t>
      </w:r>
      <w:r w:rsidRPr="00D56433">
        <w:rPr>
          <w:color w:val="002060"/>
        </w:rPr>
        <w:t>;</w:t>
      </w:r>
    </w:p>
  </w:footnote>
  <w:footnote w:id="41">
    <w:p w14:paraId="2202FEF9" w14:textId="77777777" w:rsidR="00701076" w:rsidRPr="004404C2" w:rsidRDefault="00701076" w:rsidP="00701076">
      <w:pPr>
        <w:pStyle w:val="PBfootnote"/>
      </w:pPr>
      <w:r>
        <w:rPr>
          <w:rStyle w:val="FootnoteReference"/>
          <w:color w:val="002060"/>
        </w:rPr>
        <w:footnoteRef/>
      </w:r>
      <w:r>
        <w:rPr>
          <w:color w:val="002060"/>
        </w:rPr>
        <w:t xml:space="preserve"> </w:t>
      </w:r>
      <w:r>
        <w:rPr>
          <w:color w:val="002060"/>
        </w:rPr>
        <w:tab/>
        <w:t>Voir la section 6.1.2.4. ci-dessous pour les mesures qui peuvent affecter la filiation de l’enfant.</w:t>
      </w:r>
    </w:p>
  </w:footnote>
  <w:footnote w:id="42">
    <w:p w14:paraId="69259838" w14:textId="5F740DEE" w:rsidR="00115AC1" w:rsidRPr="005C11E2" w:rsidRDefault="00115AC1" w:rsidP="00115AC1">
      <w:pPr>
        <w:pStyle w:val="PBfootnote"/>
        <w:rPr>
          <w:color w:val="002060"/>
        </w:rPr>
      </w:pPr>
      <w:r w:rsidRPr="000176AE">
        <w:rPr>
          <w:rStyle w:val="FootnoteReference"/>
          <w:color w:val="002060"/>
        </w:rPr>
        <w:footnoteRef/>
      </w:r>
      <w:r w:rsidRPr="00C042EA">
        <w:rPr>
          <w:color w:val="002060"/>
        </w:rPr>
        <w:t xml:space="preserve"> </w:t>
      </w:r>
      <w:r w:rsidRPr="00C042EA">
        <w:rPr>
          <w:color w:val="002060"/>
        </w:rPr>
        <w:tab/>
      </w:r>
      <w:r w:rsidR="005C11E2" w:rsidRPr="005C11E2">
        <w:rPr>
          <w:color w:val="002060"/>
        </w:rPr>
        <w:t>La nationalité désigne le statut juridique d'un individu relevant d'un État souverain et bénéficiant des droits et de la protection du gouvernement de cet État. Dans certains États, ce statut juridique est désigné par le terme « citoyenneté ». Les références à la « nationalité » doivent donc être comprises comme incluant la « citoyenneté ».</w:t>
      </w:r>
    </w:p>
  </w:footnote>
  <w:footnote w:id="43">
    <w:p w14:paraId="67FC5742" w14:textId="77777777" w:rsidR="00701076" w:rsidRPr="004404C2" w:rsidRDefault="00701076" w:rsidP="00701076">
      <w:pPr>
        <w:pStyle w:val="PBfootnote"/>
        <w:rPr>
          <w:color w:val="002060"/>
        </w:rPr>
      </w:pPr>
      <w:r>
        <w:rPr>
          <w:rStyle w:val="FootnoteReference"/>
          <w:color w:val="002060"/>
        </w:rPr>
        <w:footnoteRef/>
      </w:r>
      <w:r>
        <w:rPr>
          <w:color w:val="002060"/>
        </w:rPr>
        <w:tab/>
        <w:t xml:space="preserve">Voir GGP No 1, para. 529. </w:t>
      </w:r>
    </w:p>
  </w:footnote>
  <w:footnote w:id="44">
    <w:p w14:paraId="56AC7480" w14:textId="77777777" w:rsidR="00701076" w:rsidRPr="004404C2" w:rsidRDefault="00701076" w:rsidP="00701076">
      <w:pPr>
        <w:pStyle w:val="PBfootnote"/>
        <w:rPr>
          <w:color w:val="002060"/>
        </w:rPr>
      </w:pPr>
      <w:r>
        <w:rPr>
          <w:rStyle w:val="FootnoteReference"/>
          <w:color w:val="002060"/>
        </w:rPr>
        <w:footnoteRef/>
      </w:r>
      <w:r w:rsidRPr="000176AE">
        <w:rPr>
          <w:color w:val="002060"/>
        </w:rPr>
        <w:t xml:space="preserve"> </w:t>
      </w:r>
      <w:r w:rsidRPr="000176AE">
        <w:rPr>
          <w:color w:val="002060"/>
        </w:rPr>
        <w:tab/>
        <w:t>Voir aussi section 6.3.</w:t>
      </w:r>
      <w:r>
        <w:rPr>
          <w:color w:val="002060"/>
        </w:rPr>
        <w:t xml:space="preserve"> </w:t>
      </w:r>
    </w:p>
  </w:footnote>
  <w:footnote w:id="45">
    <w:p w14:paraId="30FE3BDA" w14:textId="77777777" w:rsidR="00701076" w:rsidRPr="000176AE" w:rsidRDefault="00701076" w:rsidP="000176AE">
      <w:pPr>
        <w:pStyle w:val="PBfootnote"/>
        <w:rPr>
          <w:color w:val="002060"/>
        </w:rPr>
      </w:pPr>
      <w:r w:rsidRPr="000176AE">
        <w:rPr>
          <w:rStyle w:val="FootnoteReference"/>
          <w:color w:val="002060"/>
        </w:rPr>
        <w:footnoteRef/>
      </w:r>
      <w:r w:rsidRPr="000176AE">
        <w:rPr>
          <w:color w:val="002060"/>
        </w:rPr>
        <w:t xml:space="preserve"> </w:t>
      </w:r>
      <w:r w:rsidRPr="000176AE">
        <w:rPr>
          <w:color w:val="002060"/>
        </w:rPr>
        <w:tab/>
        <w:t>Voir GGP No 2, para. 324 ; si en fin de compte l’agrément et / ou l’autorisation est retiré, le Bureau Permanent doit en être informé afin d’actualiser le site web de la HCCH en tant que de besoin.</w:t>
      </w:r>
    </w:p>
  </w:footnote>
  <w:footnote w:id="46">
    <w:p w14:paraId="244ADC82" w14:textId="77777777" w:rsidR="00701076" w:rsidRPr="002650D1" w:rsidRDefault="00701076" w:rsidP="000176AE">
      <w:pPr>
        <w:pStyle w:val="FootnoteText"/>
        <w:ind w:left="284" w:hanging="284"/>
        <w:rPr>
          <w:color w:val="002060"/>
          <w:lang w:val="es-ES"/>
        </w:rPr>
      </w:pPr>
      <w:r>
        <w:rPr>
          <w:rStyle w:val="FootnoteReference"/>
          <w:color w:val="002060"/>
        </w:rPr>
        <w:footnoteRef/>
      </w:r>
      <w:r w:rsidRPr="002650D1">
        <w:rPr>
          <w:color w:val="002060"/>
          <w:lang w:val="es-ES"/>
        </w:rPr>
        <w:t xml:space="preserve"> </w:t>
      </w:r>
      <w:r w:rsidRPr="002650D1">
        <w:rPr>
          <w:color w:val="002060"/>
          <w:lang w:val="es-ES"/>
        </w:rPr>
        <w:tab/>
      </w:r>
      <w:r w:rsidRPr="002650D1">
        <w:rPr>
          <w:i/>
          <w:color w:val="002060"/>
          <w:lang w:val="es-ES"/>
        </w:rPr>
        <w:t>Ibid.</w:t>
      </w:r>
      <w:r w:rsidRPr="002650D1">
        <w:rPr>
          <w:color w:val="002060"/>
          <w:lang w:val="es-ES"/>
        </w:rPr>
        <w:t>, para. 324.</w:t>
      </w:r>
    </w:p>
  </w:footnote>
  <w:footnote w:id="47">
    <w:p w14:paraId="66FA378C" w14:textId="77777777" w:rsidR="00701076" w:rsidRPr="0005514A" w:rsidRDefault="00701076" w:rsidP="00701076">
      <w:pPr>
        <w:pStyle w:val="PBfootnote"/>
        <w:rPr>
          <w:color w:val="002060"/>
        </w:rPr>
      </w:pPr>
      <w:r>
        <w:rPr>
          <w:rStyle w:val="FootnoteReference"/>
          <w:color w:val="002060"/>
        </w:rPr>
        <w:footnoteRef/>
      </w:r>
      <w:r w:rsidRPr="0005514A">
        <w:rPr>
          <w:color w:val="002060"/>
        </w:rPr>
        <w:t xml:space="preserve"> </w:t>
      </w:r>
      <w:r w:rsidRPr="0005514A">
        <w:rPr>
          <w:color w:val="002060"/>
        </w:rPr>
        <w:tab/>
        <w:t xml:space="preserve">Voir Manuel SSI, </w:t>
      </w:r>
      <w:r w:rsidRPr="0005514A">
        <w:rPr>
          <w:i/>
          <w:color w:val="002060"/>
        </w:rPr>
        <w:t xml:space="preserve">supra </w:t>
      </w:r>
      <w:r w:rsidRPr="0005514A">
        <w:rPr>
          <w:color w:val="002060"/>
        </w:rPr>
        <w:t>note </w:t>
      </w:r>
      <w:r w:rsidRPr="0005514A">
        <w:rPr>
          <w:color w:val="002060"/>
        </w:rPr>
        <w:fldChar w:fldCharType="begin"/>
      </w:r>
      <w:r w:rsidRPr="0005514A">
        <w:rPr>
          <w:color w:val="002060"/>
        </w:rPr>
        <w:instrText xml:space="preserve"> NOTEREF _Ref90797401 \h  \* MERGEFORMAT </w:instrText>
      </w:r>
      <w:r w:rsidRPr="0005514A">
        <w:rPr>
          <w:color w:val="002060"/>
        </w:rPr>
      </w:r>
      <w:r w:rsidRPr="0005514A">
        <w:rPr>
          <w:color w:val="002060"/>
        </w:rPr>
        <w:fldChar w:fldCharType="separate"/>
      </w:r>
      <w:r w:rsidRPr="0005514A">
        <w:rPr>
          <w:color w:val="002060"/>
        </w:rPr>
        <w:t>16</w:t>
      </w:r>
      <w:r w:rsidRPr="0005514A">
        <w:rPr>
          <w:color w:val="002060"/>
        </w:rPr>
        <w:fldChar w:fldCharType="end"/>
      </w:r>
      <w:r w:rsidRPr="0005514A">
        <w:rPr>
          <w:color w:val="002060"/>
        </w:rPr>
        <w:t>, chapitre 5.</w:t>
      </w:r>
    </w:p>
  </w:footnote>
  <w:footnote w:id="48">
    <w:p w14:paraId="2831EB46" w14:textId="77777777" w:rsidR="00701076" w:rsidRPr="0005514A" w:rsidRDefault="00701076" w:rsidP="00701076">
      <w:pPr>
        <w:pStyle w:val="PBfootnote"/>
        <w:rPr>
          <w:color w:val="002060"/>
          <w:lang w:val="es-ES"/>
        </w:rPr>
      </w:pPr>
      <w:r>
        <w:rPr>
          <w:color w:val="002060"/>
          <w:vertAlign w:val="superscript"/>
        </w:rPr>
        <w:footnoteRef/>
      </w:r>
      <w:r w:rsidRPr="002650D1">
        <w:rPr>
          <w:color w:val="002060"/>
          <w:lang w:val="es-ES"/>
        </w:rPr>
        <w:t xml:space="preserve"> </w:t>
      </w:r>
      <w:r w:rsidRPr="002650D1">
        <w:rPr>
          <w:color w:val="002060"/>
          <w:lang w:val="es-ES"/>
        </w:rPr>
        <w:tab/>
        <w:t>Para. </w:t>
      </w:r>
      <w:r w:rsidRPr="004404C2">
        <w:rPr>
          <w:color w:val="002060"/>
        </w:rPr>
        <w:fldChar w:fldCharType="begin"/>
      </w:r>
      <w:r w:rsidRPr="002650D1">
        <w:rPr>
          <w:color w:val="002060"/>
          <w:lang w:val="es-ES"/>
        </w:rPr>
        <w:instrText xml:space="preserve"> REF _Ref93046174 \r \h  \* MERGEFORMAT </w:instrText>
      </w:r>
      <w:r w:rsidRPr="004404C2">
        <w:rPr>
          <w:color w:val="002060"/>
        </w:rPr>
      </w:r>
      <w:r w:rsidRPr="004404C2">
        <w:rPr>
          <w:color w:val="002060"/>
        </w:rPr>
        <w:fldChar w:fldCharType="separate"/>
      </w:r>
      <w:r w:rsidRPr="0005514A">
        <w:rPr>
          <w:color w:val="002060"/>
          <w:lang w:val="es-ES"/>
        </w:rPr>
        <w:t>21</w:t>
      </w:r>
      <w:r w:rsidRPr="004404C2">
        <w:rPr>
          <w:color w:val="002060"/>
        </w:rPr>
        <w:fldChar w:fldCharType="end"/>
      </w:r>
      <w:r w:rsidRPr="0005514A">
        <w:rPr>
          <w:color w:val="002060"/>
          <w:lang w:val="es-ES"/>
        </w:rPr>
        <w:t>.</w:t>
      </w:r>
    </w:p>
  </w:footnote>
  <w:footnote w:id="49">
    <w:p w14:paraId="1E1BA81C" w14:textId="77777777" w:rsidR="00701076" w:rsidRPr="0005514A" w:rsidRDefault="00701076" w:rsidP="00701076">
      <w:pPr>
        <w:pStyle w:val="PBfootnote"/>
        <w:rPr>
          <w:color w:val="002060"/>
          <w:lang w:val="es-ES"/>
        </w:rPr>
      </w:pPr>
      <w:r>
        <w:rPr>
          <w:color w:val="002060"/>
          <w:vertAlign w:val="superscript"/>
        </w:rPr>
        <w:footnoteRef/>
      </w:r>
      <w:r w:rsidRPr="0005514A">
        <w:rPr>
          <w:color w:val="002060"/>
          <w:lang w:val="es-ES"/>
        </w:rPr>
        <w:t xml:space="preserve"> </w:t>
      </w:r>
      <w:r w:rsidRPr="0005514A">
        <w:rPr>
          <w:color w:val="002060"/>
          <w:lang w:val="es-ES"/>
        </w:rPr>
        <w:tab/>
        <w:t>Para. </w:t>
      </w:r>
      <w:r w:rsidRPr="004404C2">
        <w:rPr>
          <w:color w:val="002060"/>
        </w:rPr>
        <w:fldChar w:fldCharType="begin"/>
      </w:r>
      <w:r w:rsidRPr="0005514A">
        <w:rPr>
          <w:color w:val="002060"/>
          <w:lang w:val="es-ES"/>
        </w:rPr>
        <w:instrText xml:space="preserve"> REF _Ref93046189 \r \h  \* MERGEFORMAT </w:instrText>
      </w:r>
      <w:r w:rsidRPr="004404C2">
        <w:rPr>
          <w:color w:val="002060"/>
        </w:rPr>
      </w:r>
      <w:r w:rsidRPr="004404C2">
        <w:rPr>
          <w:color w:val="002060"/>
        </w:rPr>
        <w:fldChar w:fldCharType="separate"/>
      </w:r>
      <w:r w:rsidRPr="0005514A">
        <w:rPr>
          <w:color w:val="002060"/>
          <w:lang w:val="es-ES"/>
        </w:rPr>
        <w:t>22</w:t>
      </w:r>
      <w:r w:rsidRPr="004404C2">
        <w:rPr>
          <w:color w:val="002060"/>
        </w:rPr>
        <w:fldChar w:fldCharType="end"/>
      </w:r>
      <w:r w:rsidRPr="0005514A">
        <w:rPr>
          <w:color w:val="002060"/>
          <w:lang w:val="es-ES"/>
        </w:rPr>
        <w:t>.</w:t>
      </w:r>
    </w:p>
  </w:footnote>
  <w:footnote w:id="50">
    <w:p w14:paraId="260CFF2F" w14:textId="77777777" w:rsidR="00701076" w:rsidRPr="0005514A" w:rsidRDefault="00701076" w:rsidP="00701076">
      <w:pPr>
        <w:pStyle w:val="PBfootnote"/>
        <w:rPr>
          <w:color w:val="002060"/>
          <w:lang w:val="es-ES"/>
        </w:rPr>
      </w:pPr>
      <w:r>
        <w:rPr>
          <w:rStyle w:val="FootnoteReference"/>
          <w:color w:val="002060"/>
        </w:rPr>
        <w:footnoteRef/>
      </w:r>
      <w:r w:rsidRPr="0005514A">
        <w:rPr>
          <w:color w:val="002060"/>
          <w:lang w:val="es-ES"/>
        </w:rPr>
        <w:t xml:space="preserve"> </w:t>
      </w:r>
      <w:r w:rsidRPr="0005514A">
        <w:rPr>
          <w:color w:val="002060"/>
          <w:lang w:val="es-ES"/>
        </w:rPr>
        <w:tab/>
        <w:t xml:space="preserve">Voir </w:t>
      </w:r>
      <w:r w:rsidRPr="0005514A">
        <w:rPr>
          <w:i/>
          <w:color w:val="002060"/>
          <w:lang w:val="es-ES"/>
        </w:rPr>
        <w:t>supra</w:t>
      </w:r>
      <w:r w:rsidRPr="0005514A">
        <w:rPr>
          <w:color w:val="002060"/>
          <w:lang w:val="es-ES"/>
        </w:rPr>
        <w:t>, note </w:t>
      </w:r>
      <w:r w:rsidRPr="00607351">
        <w:rPr>
          <w:color w:val="002060"/>
        </w:rPr>
        <w:fldChar w:fldCharType="begin"/>
      </w:r>
      <w:r w:rsidRPr="0005514A">
        <w:rPr>
          <w:color w:val="002060"/>
          <w:lang w:val="es-ES"/>
        </w:rPr>
        <w:instrText xml:space="preserve"> NOTEREF _Ref94009506 \h  \* MERGEFORMAT </w:instrText>
      </w:r>
      <w:r w:rsidRPr="00607351">
        <w:rPr>
          <w:color w:val="002060"/>
        </w:rPr>
      </w:r>
      <w:r w:rsidRPr="00607351">
        <w:rPr>
          <w:color w:val="002060"/>
        </w:rPr>
        <w:fldChar w:fldCharType="separate"/>
      </w:r>
      <w:r w:rsidRPr="0005514A">
        <w:rPr>
          <w:color w:val="002060"/>
          <w:lang w:val="es-ES"/>
        </w:rPr>
        <w:t>24</w:t>
      </w:r>
      <w:r w:rsidRPr="00607351">
        <w:rPr>
          <w:color w:val="002060"/>
        </w:rPr>
        <w:fldChar w:fldCharType="end"/>
      </w:r>
      <w:r w:rsidRPr="0005514A">
        <w:rPr>
          <w:color w:val="002060"/>
          <w:lang w:val="es-ES"/>
        </w:rPr>
        <w:t xml:space="preserve">. </w:t>
      </w:r>
    </w:p>
  </w:footnote>
  <w:footnote w:id="51">
    <w:p w14:paraId="5BA66CB7" w14:textId="77777777" w:rsidR="00701076" w:rsidRPr="004404C2" w:rsidRDefault="00701076" w:rsidP="00701076">
      <w:pPr>
        <w:pStyle w:val="PBfootnote"/>
        <w:rPr>
          <w:color w:val="002060"/>
        </w:rPr>
      </w:pPr>
      <w:r>
        <w:rPr>
          <w:rStyle w:val="FootnoteReference"/>
          <w:color w:val="002060"/>
        </w:rPr>
        <w:footnoteRef/>
      </w:r>
      <w:r>
        <w:rPr>
          <w:color w:val="002060"/>
        </w:rPr>
        <w:t xml:space="preserve"> </w:t>
      </w:r>
      <w:r>
        <w:rPr>
          <w:color w:val="002060"/>
        </w:rPr>
        <w:tab/>
        <w:t xml:space="preserve">Voir Manuel SSI, </w:t>
      </w:r>
      <w:r>
        <w:rPr>
          <w:i/>
          <w:color w:val="002060"/>
        </w:rPr>
        <w:t xml:space="preserve">supra </w:t>
      </w:r>
      <w:r>
        <w:rPr>
          <w:color w:val="002060"/>
        </w:rPr>
        <w:t>note </w:t>
      </w:r>
      <w:r w:rsidRPr="004404C2">
        <w:rPr>
          <w:color w:val="002060"/>
        </w:rPr>
        <w:fldChar w:fldCharType="begin"/>
      </w:r>
      <w:r w:rsidRPr="004404C2">
        <w:rPr>
          <w:color w:val="002060"/>
        </w:rPr>
        <w:instrText xml:space="preserve"> NOTEREF _Ref90797401 \h  \* MERGEFORMAT </w:instrText>
      </w:r>
      <w:r w:rsidRPr="004404C2">
        <w:rPr>
          <w:color w:val="002060"/>
        </w:rPr>
      </w:r>
      <w:r w:rsidRPr="004404C2">
        <w:rPr>
          <w:color w:val="002060"/>
        </w:rPr>
        <w:fldChar w:fldCharType="separate"/>
      </w:r>
      <w:r>
        <w:rPr>
          <w:color w:val="002060"/>
        </w:rPr>
        <w:t>16</w:t>
      </w:r>
      <w:r w:rsidRPr="004404C2">
        <w:rPr>
          <w:color w:val="002060"/>
        </w:rPr>
        <w:fldChar w:fldCharType="end"/>
      </w:r>
      <w:r w:rsidRPr="000176AE">
        <w:rPr>
          <w:color w:val="002060"/>
        </w:rPr>
        <w:t>, chapitre 5</w:t>
      </w:r>
      <w:r>
        <w:rPr>
          <w:color w:val="002060"/>
        </w:rPr>
        <w:t>.</w:t>
      </w:r>
    </w:p>
  </w:footnote>
  <w:footnote w:id="52">
    <w:p w14:paraId="1AA57CA1" w14:textId="77777777" w:rsidR="00701076" w:rsidRPr="00607351" w:rsidRDefault="00701076" w:rsidP="00701076">
      <w:pPr>
        <w:pStyle w:val="PBfootnote"/>
        <w:rPr>
          <w:color w:val="FF00FF"/>
        </w:rPr>
      </w:pPr>
      <w:r>
        <w:rPr>
          <w:rStyle w:val="FootnoteReference"/>
          <w:color w:val="002060"/>
        </w:rPr>
        <w:footnoteRef/>
      </w:r>
      <w:r>
        <w:rPr>
          <w:color w:val="002060"/>
        </w:rPr>
        <w:t xml:space="preserve"> </w:t>
      </w:r>
      <w:r>
        <w:rPr>
          <w:color w:val="002060"/>
        </w:rPr>
        <w:tab/>
        <w:t xml:space="preserve">Voir </w:t>
      </w:r>
      <w:r>
        <w:rPr>
          <w:i/>
          <w:color w:val="002060"/>
        </w:rPr>
        <w:t>supra</w:t>
      </w:r>
      <w:r>
        <w:rPr>
          <w:color w:val="002060"/>
        </w:rPr>
        <w:t>, note </w:t>
      </w:r>
      <w:r w:rsidRPr="00607351">
        <w:rPr>
          <w:color w:val="002060"/>
        </w:rPr>
        <w:fldChar w:fldCharType="begin"/>
      </w:r>
      <w:r w:rsidRPr="00B4375C">
        <w:rPr>
          <w:color w:val="002060"/>
        </w:rPr>
        <w:instrText xml:space="preserve"> NOTEREF _Ref94009506 \h  \* MERGEFORMAT </w:instrText>
      </w:r>
      <w:r w:rsidRPr="00607351">
        <w:rPr>
          <w:color w:val="002060"/>
        </w:rPr>
      </w:r>
      <w:r w:rsidRPr="00607351">
        <w:rPr>
          <w:color w:val="002060"/>
        </w:rPr>
        <w:fldChar w:fldCharType="separate"/>
      </w:r>
      <w:r>
        <w:rPr>
          <w:color w:val="002060"/>
        </w:rPr>
        <w:t>24</w:t>
      </w:r>
      <w:r w:rsidRPr="00607351">
        <w:rPr>
          <w:color w:val="002060"/>
        </w:rPr>
        <w:fldChar w:fldCharType="end"/>
      </w:r>
      <w:r>
        <w:rPr>
          <w:color w:val="002060"/>
        </w:rPr>
        <w:t xml:space="preserve">. </w:t>
      </w:r>
    </w:p>
  </w:footnote>
  <w:footnote w:id="53">
    <w:p w14:paraId="59AADF4A" w14:textId="77777777" w:rsidR="00701076" w:rsidRPr="000176AE" w:rsidRDefault="00701076" w:rsidP="00701076">
      <w:pPr>
        <w:pStyle w:val="PBfootnote"/>
        <w:rPr>
          <w:color w:val="002060"/>
        </w:rPr>
      </w:pPr>
      <w:r w:rsidRPr="000176AE">
        <w:rPr>
          <w:rStyle w:val="FootnoteReference"/>
          <w:color w:val="002060"/>
        </w:rPr>
        <w:footnoteRef/>
      </w:r>
      <w:r w:rsidRPr="000176AE">
        <w:rPr>
          <w:color w:val="002060"/>
        </w:rPr>
        <w:t xml:space="preserve"> </w:t>
      </w:r>
      <w:r w:rsidRPr="000176AE">
        <w:rPr>
          <w:color w:val="002060"/>
        </w:rPr>
        <w:tab/>
        <w:t>Un système de justice réparatrice vise à réparer le préjudice causé par le crime en organisant une médiation entre l’auteur et la victime d’un préjudice et, le cas échéant, des réunions avec la communauté au sens large. Un élément essentiel du processus est la confidentialité, qui favorise une communication ouverte et honnête.</w:t>
      </w:r>
    </w:p>
  </w:footnote>
  <w:footnote w:id="54">
    <w:p w14:paraId="0B44F992" w14:textId="2006AC87" w:rsidR="00701076" w:rsidRPr="000176AE" w:rsidRDefault="00701076" w:rsidP="00701076">
      <w:pPr>
        <w:pStyle w:val="PBfootnote"/>
        <w:rPr>
          <w:color w:val="002060"/>
        </w:rPr>
      </w:pPr>
      <w:r w:rsidRPr="000176AE">
        <w:rPr>
          <w:rStyle w:val="FootnoteReference"/>
          <w:color w:val="002060"/>
        </w:rPr>
        <w:footnoteRef/>
      </w:r>
      <w:r w:rsidRPr="000176AE">
        <w:rPr>
          <w:color w:val="002060"/>
        </w:rPr>
        <w:t xml:space="preserve"> </w:t>
      </w:r>
      <w:r w:rsidRPr="000176AE">
        <w:rPr>
          <w:color w:val="002060"/>
        </w:rPr>
        <w:tab/>
        <w:t>La justice transitionnelle vise à promouvoir la vérité, la justice, la réparation et les garanties de non-récidive. Ces mesures peuvent inclure des initiatives de poursuites judiciaires, des réparations, la recherche de la vérité et des réformes institutionnelles. Pour plus d’informations, voir par ex.</w:t>
      </w:r>
      <w:r w:rsidR="000176AE">
        <w:rPr>
          <w:color w:val="002060"/>
        </w:rPr>
        <w:t xml:space="preserve"> </w:t>
      </w:r>
      <w:hyperlink r:id="rId16" w:history="1">
        <w:r w:rsidR="000176AE" w:rsidRPr="00D31E6B">
          <w:rPr>
            <w:rStyle w:val="Hyperlink"/>
          </w:rPr>
          <w:t>https://www.ictj.org/about</w:t>
        </w:r>
      </w:hyperlink>
      <w:r w:rsidRPr="000176AE">
        <w:rPr>
          <w:color w:val="00206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BB4A" w14:textId="77777777" w:rsidR="00E278A8" w:rsidRDefault="00E278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5097"/>
      <w:gridCol w:w="5097"/>
    </w:tblGrid>
    <w:tr w:rsidR="00701076" w:rsidRPr="00591272" w14:paraId="5A56C14D" w14:textId="77777777" w:rsidTr="006D612A">
      <w:tc>
        <w:tcPr>
          <w:tcW w:w="5097" w:type="dxa"/>
          <w:shd w:val="clear" w:color="auto" w:fill="auto"/>
          <w:vAlign w:val="bottom"/>
        </w:tcPr>
        <w:p w14:paraId="702707CA" w14:textId="77777777" w:rsidR="00701076" w:rsidRPr="00591272" w:rsidRDefault="00701076" w:rsidP="006D612A">
          <w:pPr>
            <w:pStyle w:val="Header"/>
            <w:tabs>
              <w:tab w:val="clear" w:pos="4513"/>
              <w:tab w:val="clear" w:pos="9026"/>
            </w:tabs>
            <w:spacing w:before="160"/>
            <w:rPr>
              <w:rFonts w:cs="Franklin Gothic Book"/>
              <w:b/>
              <w:bCs/>
              <w:caps/>
              <w:color w:val="002060"/>
              <w:sz w:val="20"/>
              <w:szCs w:val="20"/>
              <w:lang w:val="fr-CA"/>
            </w:rPr>
          </w:pPr>
          <w:r w:rsidRPr="00591272">
            <w:rPr>
              <w:b/>
              <w:caps/>
              <w:color w:val="002060"/>
              <w:lang w:val="fr-CA"/>
            </w:rPr>
            <w:t>CS Adoption 1993</w:t>
          </w:r>
        </w:p>
        <w:p w14:paraId="2462C19A" w14:textId="77777777" w:rsidR="00701076" w:rsidRPr="00591272" w:rsidRDefault="00701076" w:rsidP="006D612A">
          <w:pPr>
            <w:pStyle w:val="Header"/>
            <w:tabs>
              <w:tab w:val="clear" w:pos="4513"/>
              <w:tab w:val="clear" w:pos="9026"/>
            </w:tabs>
            <w:spacing w:before="160"/>
            <w:rPr>
              <w:rFonts w:cs="Franklin Gothic Book"/>
              <w:b/>
              <w:bCs/>
              <w:caps/>
              <w:color w:val="002060"/>
              <w:sz w:val="20"/>
              <w:szCs w:val="20"/>
              <w:lang w:val="fr-CA"/>
            </w:rPr>
          </w:pPr>
          <w:r w:rsidRPr="00591272">
            <w:rPr>
              <w:b/>
              <w:caps/>
              <w:color w:val="002060"/>
              <w:sz w:val="20"/>
              <w:lang w:val="fr-CA"/>
            </w:rPr>
            <w:t>Juillet 2022</w:t>
          </w:r>
        </w:p>
        <w:p w14:paraId="7BA9F61A" w14:textId="77777777" w:rsidR="00701076" w:rsidRPr="00591272" w:rsidRDefault="00701076" w:rsidP="006D612A">
          <w:pPr>
            <w:pStyle w:val="Header"/>
            <w:tabs>
              <w:tab w:val="clear" w:pos="4513"/>
              <w:tab w:val="clear" w:pos="9026"/>
            </w:tabs>
            <w:spacing w:before="160"/>
            <w:rPr>
              <w:rFonts w:cs="Franklin Gothic Book"/>
              <w:b/>
              <w:bCs/>
              <w:caps/>
              <w:color w:val="002060"/>
              <w:sz w:val="20"/>
              <w:szCs w:val="20"/>
              <w:lang w:val="fr-CA"/>
            </w:rPr>
          </w:pPr>
          <w:r w:rsidRPr="00591272">
            <w:rPr>
              <w:b/>
              <w:caps/>
              <w:color w:val="002060"/>
              <w:sz w:val="20"/>
              <w:lang w:val="fr-CA"/>
            </w:rPr>
            <w:t>Doc. prél. No 6D REV</w:t>
          </w:r>
        </w:p>
        <w:p w14:paraId="42533663" w14:textId="77777777" w:rsidR="00701076" w:rsidRPr="00591272" w:rsidRDefault="00701076" w:rsidP="006D612A">
          <w:pPr>
            <w:pStyle w:val="Header"/>
            <w:tabs>
              <w:tab w:val="clear" w:pos="4513"/>
              <w:tab w:val="clear" w:pos="9026"/>
            </w:tabs>
            <w:spacing w:before="160"/>
            <w:rPr>
              <w:rFonts w:cs="Franklin Gothic Book"/>
              <w:b/>
              <w:bCs/>
              <w:caps/>
              <w:color w:val="002060"/>
              <w:sz w:val="20"/>
              <w:szCs w:val="20"/>
              <w:lang w:val="fr-CA"/>
            </w:rPr>
          </w:pPr>
        </w:p>
      </w:tc>
      <w:tc>
        <w:tcPr>
          <w:tcW w:w="5097" w:type="dxa"/>
          <w:shd w:val="clear" w:color="auto" w:fill="auto"/>
          <w:vAlign w:val="bottom"/>
        </w:tcPr>
        <w:p w14:paraId="0D5A4005" w14:textId="77777777" w:rsidR="00701076" w:rsidRPr="00591272" w:rsidRDefault="00701076" w:rsidP="006D612A">
          <w:pPr>
            <w:pStyle w:val="Header"/>
            <w:tabs>
              <w:tab w:val="clear" w:pos="4513"/>
              <w:tab w:val="clear" w:pos="9026"/>
            </w:tabs>
            <w:jc w:val="right"/>
            <w:rPr>
              <w:lang w:val="fr-CA"/>
            </w:rPr>
          </w:pPr>
          <w:r w:rsidRPr="00591272">
            <w:rPr>
              <w:noProof/>
              <w:lang w:val="fr-CA"/>
            </w:rPr>
            <w:drawing>
              <wp:inline distT="0" distB="0" distL="0" distR="0" wp14:anchorId="1760EEFC" wp14:editId="7CBD042C">
                <wp:extent cx="1927860" cy="89916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7860" cy="899160"/>
                        </a:xfrm>
                        <a:prstGeom prst="rect">
                          <a:avLst/>
                        </a:prstGeom>
                        <a:noFill/>
                        <a:ln>
                          <a:noFill/>
                        </a:ln>
                      </pic:spPr>
                    </pic:pic>
                  </a:graphicData>
                </a:graphic>
              </wp:inline>
            </w:drawing>
          </w:r>
        </w:p>
      </w:tc>
    </w:tr>
  </w:tbl>
  <w:p w14:paraId="4D429DBC" w14:textId="77777777" w:rsidR="00701076" w:rsidRPr="00591272" w:rsidRDefault="00701076" w:rsidP="00430BD2">
    <w:pPr>
      <w:pStyle w:val="Header"/>
      <w:tabs>
        <w:tab w:val="clear" w:pos="4513"/>
        <w:tab w:val="clear" w:pos="9026"/>
      </w:tabs>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6FE0" w14:textId="77777777" w:rsidR="00701076" w:rsidRPr="00583021" w:rsidRDefault="00701076" w:rsidP="00583021">
    <w:pPr>
      <w:pStyle w:val="Header"/>
      <w:jc w:val="right"/>
      <w:rPr>
        <w:b/>
        <w:bCs/>
        <w:color w:val="00206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4E83" w14:textId="77777777" w:rsidR="00701076" w:rsidRPr="00583021" w:rsidRDefault="00701076" w:rsidP="00583021">
    <w:pPr>
      <w:pStyle w:val="Header"/>
      <w:jc w:val="right"/>
      <w:rPr>
        <w:b/>
        <w:bCs/>
        <w:color w:val="002060"/>
        <w:sz w:val="20"/>
        <w:szCs w:val="20"/>
      </w:rPr>
    </w:pPr>
    <w:r>
      <w:rPr>
        <w:b/>
        <w:color w:val="002060"/>
        <w:sz w:val="20"/>
      </w:rPr>
      <w:t>PROJET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77B0A" w14:textId="61E40DFC" w:rsidR="00A2029B" w:rsidRPr="0008396B" w:rsidRDefault="00BB1AA0" w:rsidP="0008396B">
    <w:pPr>
      <w:pStyle w:val="Header"/>
      <w:jc w:val="right"/>
      <w:rPr>
        <w:b/>
        <w:bCs/>
        <w:color w:val="002060"/>
        <w:sz w:val="20"/>
        <w:szCs w:val="20"/>
        <w:lang w:val="en-GB"/>
      </w:rPr>
    </w:pPr>
    <w:r>
      <w:rPr>
        <w:b/>
        <w:bCs/>
        <w:color w:val="002060"/>
        <w:sz w:val="20"/>
        <w:szCs w:val="20"/>
        <w:lang w:val="en-GB"/>
      </w:rPr>
      <w:t>PROJET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72B5"/>
    <w:multiLevelType w:val="multilevel"/>
    <w:tmpl w:val="BA920A10"/>
    <w:lvl w:ilvl="0">
      <w:start w:val="1"/>
      <w:numFmt w:val="decimal"/>
      <w:pStyle w:val="Heading2"/>
      <w:lvlText w:val="%1."/>
      <w:lvlJc w:val="left"/>
      <w:pPr>
        <w:ind w:left="72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1"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D4317"/>
    <w:multiLevelType w:val="multilevel"/>
    <w:tmpl w:val="1946EBD6"/>
    <w:lvl w:ilvl="0">
      <w:start w:val="4"/>
      <w:numFmt w:val="decimal"/>
      <w:lvlText w:val="%1."/>
      <w:lvlJc w:val="left"/>
      <w:pPr>
        <w:ind w:left="405" w:hanging="40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1C372E71"/>
    <w:multiLevelType w:val="multilevel"/>
    <w:tmpl w:val="87680DFE"/>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47931CD4"/>
    <w:multiLevelType w:val="multilevel"/>
    <w:tmpl w:val="4E684A6C"/>
    <w:lvl w:ilvl="0">
      <w:start w:val="4"/>
      <w:numFmt w:val="upperRoman"/>
      <w:pStyle w:val="Heading1"/>
      <w:lvlText w:val="%1."/>
      <w:lvlJc w:val="right"/>
      <w:pPr>
        <w:ind w:left="567" w:hanging="567"/>
      </w:pPr>
      <w:rPr>
        <w:rFonts w:hint="default"/>
      </w:rPr>
    </w:lvl>
    <w:lvl w:ilvl="1">
      <w:start w:val="1"/>
      <w:numFmt w:val="upperLetter"/>
      <w:lvlText w:val="%2."/>
      <w:lvlJc w:val="left"/>
      <w:pPr>
        <w:ind w:left="1134" w:hanging="567"/>
      </w:pPr>
      <w:rPr>
        <w:rFonts w:hint="default"/>
      </w:rPr>
    </w:lvl>
    <w:lvl w:ilvl="2">
      <w:start w:val="1"/>
      <w:numFmt w:val="decimal"/>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7"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564C94"/>
    <w:multiLevelType w:val="hybridMultilevel"/>
    <w:tmpl w:val="6284FCCE"/>
    <w:lvl w:ilvl="0" w:tplc="896EEBF6">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9" w15:restartNumberingAfterBreak="0">
    <w:nsid w:val="693C65A9"/>
    <w:multiLevelType w:val="hybridMultilevel"/>
    <w:tmpl w:val="10167768"/>
    <w:lvl w:ilvl="0" w:tplc="92AE82B0">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0" w15:restartNumberingAfterBreak="0">
    <w:nsid w:val="6DC91234"/>
    <w:multiLevelType w:val="hybridMultilevel"/>
    <w:tmpl w:val="9788D2B0"/>
    <w:lvl w:ilvl="0" w:tplc="24AE9430">
      <w:start w:val="1"/>
      <w:numFmt w:val="decimal"/>
      <w:lvlText w:val="%1."/>
      <w:lvlJc w:val="left"/>
      <w:pPr>
        <w:ind w:left="1134" w:hanging="567"/>
      </w:pPr>
      <w:rPr>
        <w:rFonts w:hint="default"/>
        <w:color w:val="002060"/>
      </w:rPr>
    </w:lvl>
    <w:lvl w:ilvl="1" w:tplc="FFFFFFFF">
      <w:start w:val="1"/>
      <w:numFmt w:val="bullet"/>
      <w:lvlText w:val=""/>
      <w:lvlJc w:val="left"/>
      <w:pPr>
        <w:ind w:left="1701" w:hanging="567"/>
      </w:pPr>
      <w:rPr>
        <w:rFonts w:ascii="Symbol" w:hAnsi="Symbol" w:hint="default"/>
        <w:color w:val="auto"/>
      </w:rPr>
    </w:lvl>
    <w:lvl w:ilvl="2" w:tplc="FFFFFFFF">
      <w:start w:val="1"/>
      <w:numFmt w:val="bullet"/>
      <w:lvlText w:val=""/>
      <w:lvlJc w:val="left"/>
      <w:pPr>
        <w:ind w:left="2268" w:hanging="567"/>
      </w:pPr>
      <w:rPr>
        <w:rFonts w:ascii="Symbol" w:hAnsi="Symbol" w:hint="default"/>
        <w:color w:val="auto"/>
      </w:rPr>
    </w:lvl>
    <w:lvl w:ilvl="3" w:tplc="FFFFFFFF">
      <w:start w:val="1"/>
      <w:numFmt w:val="bullet"/>
      <w:lvlText w:val=""/>
      <w:lvlJc w:val="left"/>
      <w:pPr>
        <w:ind w:left="2880" w:hanging="360"/>
      </w:pPr>
      <w:rPr>
        <w:rFonts w:ascii="Symbol" w:hAnsi="Symbol" w:hint="default"/>
      </w:rPr>
    </w:lvl>
    <w:lvl w:ilvl="4" w:tplc="FFFFFFFF">
      <w:start w:val="1"/>
      <w:numFmt w:val="lowerLetter"/>
      <w:lvlText w:val="%5."/>
      <w:lvlJc w:val="left"/>
      <w:pPr>
        <w:ind w:left="3600" w:hanging="360"/>
      </w:pPr>
      <w:rPr>
        <w:rFonts w:hint="default"/>
      </w:rPr>
    </w:lvl>
    <w:lvl w:ilvl="5" w:tplc="FFFFFFFF">
      <w:start w:val="1"/>
      <w:numFmt w:val="lowerRoman"/>
      <w:lvlText w:val="%6."/>
      <w:lvlJc w:val="right"/>
      <w:pPr>
        <w:ind w:left="4320" w:hanging="180"/>
      </w:pPr>
      <w:rPr>
        <w:rFonts w:hint="default"/>
      </w:rPr>
    </w:lvl>
    <w:lvl w:ilvl="6" w:tplc="FFFFFFFF">
      <w:start w:val="1"/>
      <w:numFmt w:val="decimal"/>
      <w:lvlText w:val="%7."/>
      <w:lvlJc w:val="left"/>
      <w:pPr>
        <w:ind w:left="5040" w:hanging="360"/>
      </w:pPr>
      <w:rPr>
        <w:rFonts w:hint="default"/>
      </w:rPr>
    </w:lvl>
    <w:lvl w:ilvl="7" w:tplc="FFFFFFFF">
      <w:start w:val="1"/>
      <w:numFmt w:val="lowerLetter"/>
      <w:lvlText w:val="%8."/>
      <w:lvlJc w:val="left"/>
      <w:pPr>
        <w:ind w:left="5760" w:hanging="360"/>
      </w:pPr>
      <w:rPr>
        <w:rFonts w:hint="default"/>
      </w:rPr>
    </w:lvl>
    <w:lvl w:ilvl="8" w:tplc="FFFFFFFF">
      <w:start w:val="1"/>
      <w:numFmt w:val="lowerRoman"/>
      <w:lvlText w:val="%9."/>
      <w:lvlJc w:val="right"/>
      <w:pPr>
        <w:ind w:left="6480" w:hanging="180"/>
      </w:pPr>
      <w:rPr>
        <w:rFonts w:hint="default"/>
      </w:rPr>
    </w:lvl>
  </w:abstractNum>
  <w:abstractNum w:abstractNumId="11"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abstractNum w:abstractNumId="12" w15:restartNumberingAfterBreak="0">
    <w:nsid w:val="7FF810D3"/>
    <w:multiLevelType w:val="multilevel"/>
    <w:tmpl w:val="58ECAB32"/>
    <w:lvl w:ilvl="0">
      <w:start w:val="1"/>
      <w:numFmt w:val="decimal"/>
      <w:lvlText w:val="%1."/>
      <w:lvlJc w:val="left"/>
      <w:pPr>
        <w:ind w:left="390" w:hanging="39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16cid:durableId="1280604533">
    <w:abstractNumId w:val="8"/>
  </w:num>
  <w:num w:numId="2" w16cid:durableId="1040204169">
    <w:abstractNumId w:val="3"/>
  </w:num>
  <w:num w:numId="3" w16cid:durableId="415053517">
    <w:abstractNumId w:val="6"/>
  </w:num>
  <w:num w:numId="4" w16cid:durableId="190387752">
    <w:abstractNumId w:val="11"/>
  </w:num>
  <w:num w:numId="5" w16cid:durableId="1950383040">
    <w:abstractNumId w:val="1"/>
  </w:num>
  <w:num w:numId="6" w16cid:durableId="404835769">
    <w:abstractNumId w:val="7"/>
  </w:num>
  <w:num w:numId="7" w16cid:durableId="1807040314">
    <w:abstractNumId w:val="8"/>
    <w:lvlOverride w:ilvl="0">
      <w:startOverride w:val="1"/>
    </w:lvlOverride>
  </w:num>
  <w:num w:numId="8" w16cid:durableId="507794208">
    <w:abstractNumId w:val="9"/>
  </w:num>
  <w:num w:numId="9" w16cid:durableId="55516858">
    <w:abstractNumId w:val="8"/>
  </w:num>
  <w:num w:numId="10" w16cid:durableId="269095073">
    <w:abstractNumId w:val="5"/>
  </w:num>
  <w:num w:numId="11" w16cid:durableId="1773553954">
    <w:abstractNumId w:val="10"/>
  </w:num>
  <w:num w:numId="12" w16cid:durableId="1831946799">
    <w:abstractNumId w:val="12"/>
  </w:num>
  <w:num w:numId="13" w16cid:durableId="752630331">
    <w:abstractNumId w:val="4"/>
  </w:num>
  <w:num w:numId="14" w16cid:durableId="980427110">
    <w:abstractNumId w:val="2"/>
  </w:num>
  <w:num w:numId="15" w16cid:durableId="93794125">
    <w:abstractNumId w:val="0"/>
  </w:num>
  <w:num w:numId="16" w16cid:durableId="97793505">
    <w:abstractNumId w:val="8"/>
  </w:num>
  <w:num w:numId="17" w16cid:durableId="1405953787">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567"/>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B28"/>
    <w:rsid w:val="000000E3"/>
    <w:rsid w:val="00001049"/>
    <w:rsid w:val="00001074"/>
    <w:rsid w:val="000017BB"/>
    <w:rsid w:val="00001982"/>
    <w:rsid w:val="00001AA3"/>
    <w:rsid w:val="00001B49"/>
    <w:rsid w:val="00001CA6"/>
    <w:rsid w:val="00001FDF"/>
    <w:rsid w:val="0000254E"/>
    <w:rsid w:val="00002A86"/>
    <w:rsid w:val="00002DC5"/>
    <w:rsid w:val="000031F0"/>
    <w:rsid w:val="000038E3"/>
    <w:rsid w:val="00003CE6"/>
    <w:rsid w:val="00003D18"/>
    <w:rsid w:val="00003D70"/>
    <w:rsid w:val="00003DF1"/>
    <w:rsid w:val="00003DF5"/>
    <w:rsid w:val="00003E06"/>
    <w:rsid w:val="00004028"/>
    <w:rsid w:val="00004BCE"/>
    <w:rsid w:val="00004DC9"/>
    <w:rsid w:val="000053DD"/>
    <w:rsid w:val="000055C6"/>
    <w:rsid w:val="0000565D"/>
    <w:rsid w:val="000056A4"/>
    <w:rsid w:val="00005D3C"/>
    <w:rsid w:val="00005DEC"/>
    <w:rsid w:val="00005E1D"/>
    <w:rsid w:val="00005E7C"/>
    <w:rsid w:val="0000618F"/>
    <w:rsid w:val="000061D7"/>
    <w:rsid w:val="00006289"/>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BD5"/>
    <w:rsid w:val="00010C60"/>
    <w:rsid w:val="00010DD6"/>
    <w:rsid w:val="00011132"/>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280"/>
    <w:rsid w:val="0001441D"/>
    <w:rsid w:val="00014940"/>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6AE"/>
    <w:rsid w:val="00017B09"/>
    <w:rsid w:val="00017BBF"/>
    <w:rsid w:val="00017F96"/>
    <w:rsid w:val="00020228"/>
    <w:rsid w:val="0002052C"/>
    <w:rsid w:val="00020737"/>
    <w:rsid w:val="0002099D"/>
    <w:rsid w:val="00020B96"/>
    <w:rsid w:val="00020D21"/>
    <w:rsid w:val="00020DF4"/>
    <w:rsid w:val="00020F1E"/>
    <w:rsid w:val="00021160"/>
    <w:rsid w:val="000214A0"/>
    <w:rsid w:val="00021652"/>
    <w:rsid w:val="00021769"/>
    <w:rsid w:val="0002183A"/>
    <w:rsid w:val="00021999"/>
    <w:rsid w:val="00021A1D"/>
    <w:rsid w:val="00021AF7"/>
    <w:rsid w:val="00021B23"/>
    <w:rsid w:val="00021CB5"/>
    <w:rsid w:val="00022598"/>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1E6"/>
    <w:rsid w:val="000303F7"/>
    <w:rsid w:val="000307E3"/>
    <w:rsid w:val="0003082D"/>
    <w:rsid w:val="00030B65"/>
    <w:rsid w:val="00030B89"/>
    <w:rsid w:val="00030D88"/>
    <w:rsid w:val="00030DA5"/>
    <w:rsid w:val="00030FD9"/>
    <w:rsid w:val="000317CC"/>
    <w:rsid w:val="00031AE3"/>
    <w:rsid w:val="00031C42"/>
    <w:rsid w:val="00031E5D"/>
    <w:rsid w:val="00031F13"/>
    <w:rsid w:val="0003200E"/>
    <w:rsid w:val="00032219"/>
    <w:rsid w:val="000323C9"/>
    <w:rsid w:val="00032422"/>
    <w:rsid w:val="000325CD"/>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CE1"/>
    <w:rsid w:val="00034D27"/>
    <w:rsid w:val="00034F5E"/>
    <w:rsid w:val="00035165"/>
    <w:rsid w:val="000351DF"/>
    <w:rsid w:val="00035207"/>
    <w:rsid w:val="00035297"/>
    <w:rsid w:val="000355B5"/>
    <w:rsid w:val="000356B5"/>
    <w:rsid w:val="00035901"/>
    <w:rsid w:val="0003596A"/>
    <w:rsid w:val="00035D12"/>
    <w:rsid w:val="00035E70"/>
    <w:rsid w:val="00036233"/>
    <w:rsid w:val="0003638B"/>
    <w:rsid w:val="00036646"/>
    <w:rsid w:val="00036673"/>
    <w:rsid w:val="000366A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0"/>
    <w:rsid w:val="0003783C"/>
    <w:rsid w:val="00037B41"/>
    <w:rsid w:val="00037E7D"/>
    <w:rsid w:val="00037FE6"/>
    <w:rsid w:val="00040034"/>
    <w:rsid w:val="0004023B"/>
    <w:rsid w:val="000403D3"/>
    <w:rsid w:val="00040403"/>
    <w:rsid w:val="00040469"/>
    <w:rsid w:val="000408FE"/>
    <w:rsid w:val="00040A15"/>
    <w:rsid w:val="00040E6E"/>
    <w:rsid w:val="000412EB"/>
    <w:rsid w:val="00041468"/>
    <w:rsid w:val="0004153A"/>
    <w:rsid w:val="0004162D"/>
    <w:rsid w:val="00041667"/>
    <w:rsid w:val="00041702"/>
    <w:rsid w:val="00041705"/>
    <w:rsid w:val="00041D89"/>
    <w:rsid w:val="00041DAE"/>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237"/>
    <w:rsid w:val="0004624E"/>
    <w:rsid w:val="00046428"/>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47D6C"/>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20"/>
    <w:rsid w:val="000550B0"/>
    <w:rsid w:val="0005514A"/>
    <w:rsid w:val="000551AE"/>
    <w:rsid w:val="000552A2"/>
    <w:rsid w:val="0005545E"/>
    <w:rsid w:val="000555FE"/>
    <w:rsid w:val="000556D6"/>
    <w:rsid w:val="00055724"/>
    <w:rsid w:val="00055847"/>
    <w:rsid w:val="000558A9"/>
    <w:rsid w:val="00055BE3"/>
    <w:rsid w:val="00055DAC"/>
    <w:rsid w:val="00055DCB"/>
    <w:rsid w:val="00055ED2"/>
    <w:rsid w:val="0005601F"/>
    <w:rsid w:val="00056229"/>
    <w:rsid w:val="000566A3"/>
    <w:rsid w:val="000566E7"/>
    <w:rsid w:val="00056756"/>
    <w:rsid w:val="000567EB"/>
    <w:rsid w:val="00056947"/>
    <w:rsid w:val="0005698E"/>
    <w:rsid w:val="00056B99"/>
    <w:rsid w:val="00056D9F"/>
    <w:rsid w:val="00056E45"/>
    <w:rsid w:val="00056E57"/>
    <w:rsid w:val="00057724"/>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ABF"/>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CC"/>
    <w:rsid w:val="000648D7"/>
    <w:rsid w:val="000648E0"/>
    <w:rsid w:val="00064C07"/>
    <w:rsid w:val="00064F04"/>
    <w:rsid w:val="00065320"/>
    <w:rsid w:val="0006533B"/>
    <w:rsid w:val="0006547A"/>
    <w:rsid w:val="000655E3"/>
    <w:rsid w:val="000656DB"/>
    <w:rsid w:val="000659E7"/>
    <w:rsid w:val="00065D55"/>
    <w:rsid w:val="0006604E"/>
    <w:rsid w:val="00066130"/>
    <w:rsid w:val="00066495"/>
    <w:rsid w:val="000664A9"/>
    <w:rsid w:val="0006655F"/>
    <w:rsid w:val="0006666B"/>
    <w:rsid w:val="00066691"/>
    <w:rsid w:val="00066A77"/>
    <w:rsid w:val="00066AA2"/>
    <w:rsid w:val="00066C9C"/>
    <w:rsid w:val="0006706C"/>
    <w:rsid w:val="0006707A"/>
    <w:rsid w:val="000670B4"/>
    <w:rsid w:val="0006715A"/>
    <w:rsid w:val="0006784A"/>
    <w:rsid w:val="0006797D"/>
    <w:rsid w:val="00067A1A"/>
    <w:rsid w:val="00067AF7"/>
    <w:rsid w:val="00067DBE"/>
    <w:rsid w:val="00067DF4"/>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BFF"/>
    <w:rsid w:val="00073DF5"/>
    <w:rsid w:val="00073E5C"/>
    <w:rsid w:val="0007418F"/>
    <w:rsid w:val="0007454D"/>
    <w:rsid w:val="000748A4"/>
    <w:rsid w:val="0007504B"/>
    <w:rsid w:val="0007505D"/>
    <w:rsid w:val="000750CE"/>
    <w:rsid w:val="0007518A"/>
    <w:rsid w:val="00075427"/>
    <w:rsid w:val="000756D9"/>
    <w:rsid w:val="000756E1"/>
    <w:rsid w:val="000759B2"/>
    <w:rsid w:val="00075E9B"/>
    <w:rsid w:val="00076009"/>
    <w:rsid w:val="0007612A"/>
    <w:rsid w:val="000765EF"/>
    <w:rsid w:val="000766CD"/>
    <w:rsid w:val="00076A2E"/>
    <w:rsid w:val="00076CB3"/>
    <w:rsid w:val="00076EE8"/>
    <w:rsid w:val="000771E7"/>
    <w:rsid w:val="000772D7"/>
    <w:rsid w:val="000775E4"/>
    <w:rsid w:val="00077716"/>
    <w:rsid w:val="000778E6"/>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96B"/>
    <w:rsid w:val="00083B2A"/>
    <w:rsid w:val="00083F68"/>
    <w:rsid w:val="00084071"/>
    <w:rsid w:val="0008423B"/>
    <w:rsid w:val="00084273"/>
    <w:rsid w:val="00084744"/>
    <w:rsid w:val="00084782"/>
    <w:rsid w:val="000847A4"/>
    <w:rsid w:val="0008491C"/>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87E36"/>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EF"/>
    <w:rsid w:val="000939A8"/>
    <w:rsid w:val="00093FBA"/>
    <w:rsid w:val="00094115"/>
    <w:rsid w:val="000941E3"/>
    <w:rsid w:val="000947A8"/>
    <w:rsid w:val="00094851"/>
    <w:rsid w:val="000948B6"/>
    <w:rsid w:val="00095191"/>
    <w:rsid w:val="0009521E"/>
    <w:rsid w:val="00095447"/>
    <w:rsid w:val="000954C1"/>
    <w:rsid w:val="00095AB6"/>
    <w:rsid w:val="00095C91"/>
    <w:rsid w:val="00095EF7"/>
    <w:rsid w:val="00096118"/>
    <w:rsid w:val="0009616E"/>
    <w:rsid w:val="00096316"/>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9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4F43"/>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513"/>
    <w:rsid w:val="000A7549"/>
    <w:rsid w:val="000A761B"/>
    <w:rsid w:val="000A7638"/>
    <w:rsid w:val="000A766F"/>
    <w:rsid w:val="000A77C2"/>
    <w:rsid w:val="000A786B"/>
    <w:rsid w:val="000A7AE9"/>
    <w:rsid w:val="000A7B3C"/>
    <w:rsid w:val="000A7D01"/>
    <w:rsid w:val="000A7FDF"/>
    <w:rsid w:val="000A7FFD"/>
    <w:rsid w:val="000B00CC"/>
    <w:rsid w:val="000B0895"/>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75"/>
    <w:rsid w:val="000B49CE"/>
    <w:rsid w:val="000B49D2"/>
    <w:rsid w:val="000B4A87"/>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0E65"/>
    <w:rsid w:val="000C132F"/>
    <w:rsid w:val="000C1400"/>
    <w:rsid w:val="000C1A93"/>
    <w:rsid w:val="000C1E9F"/>
    <w:rsid w:val="000C1EF8"/>
    <w:rsid w:val="000C1FBD"/>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708C"/>
    <w:rsid w:val="000C7252"/>
    <w:rsid w:val="000C7539"/>
    <w:rsid w:val="000C763A"/>
    <w:rsid w:val="000C7822"/>
    <w:rsid w:val="000C7C38"/>
    <w:rsid w:val="000C7F58"/>
    <w:rsid w:val="000C7F92"/>
    <w:rsid w:val="000D0016"/>
    <w:rsid w:val="000D0A63"/>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7C8"/>
    <w:rsid w:val="000D2819"/>
    <w:rsid w:val="000D2B28"/>
    <w:rsid w:val="000D2C96"/>
    <w:rsid w:val="000D2CF5"/>
    <w:rsid w:val="000D2E99"/>
    <w:rsid w:val="000D2FF8"/>
    <w:rsid w:val="000D3201"/>
    <w:rsid w:val="000D3234"/>
    <w:rsid w:val="000D344E"/>
    <w:rsid w:val="000D3499"/>
    <w:rsid w:val="000D391B"/>
    <w:rsid w:val="000D3C5B"/>
    <w:rsid w:val="000D4440"/>
    <w:rsid w:val="000D47EC"/>
    <w:rsid w:val="000D4D9A"/>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5"/>
    <w:rsid w:val="000D73CF"/>
    <w:rsid w:val="000D777C"/>
    <w:rsid w:val="000D77AB"/>
    <w:rsid w:val="000D78A1"/>
    <w:rsid w:val="000D7C88"/>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72A"/>
    <w:rsid w:val="000E3E5E"/>
    <w:rsid w:val="000E3F4D"/>
    <w:rsid w:val="000E426D"/>
    <w:rsid w:val="000E4CB8"/>
    <w:rsid w:val="000E4CF2"/>
    <w:rsid w:val="000E5249"/>
    <w:rsid w:val="000E5254"/>
    <w:rsid w:val="000E5287"/>
    <w:rsid w:val="000E537A"/>
    <w:rsid w:val="000E54B4"/>
    <w:rsid w:val="000E57C1"/>
    <w:rsid w:val="000E589A"/>
    <w:rsid w:val="000E59EA"/>
    <w:rsid w:val="000E5A3F"/>
    <w:rsid w:val="000E5ABD"/>
    <w:rsid w:val="000E5B80"/>
    <w:rsid w:val="000E5CB8"/>
    <w:rsid w:val="000E5D74"/>
    <w:rsid w:val="000E602B"/>
    <w:rsid w:val="000E603E"/>
    <w:rsid w:val="000E62FC"/>
    <w:rsid w:val="000E6651"/>
    <w:rsid w:val="000E6656"/>
    <w:rsid w:val="000E67B3"/>
    <w:rsid w:val="000E69FB"/>
    <w:rsid w:val="000E6AA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A54"/>
    <w:rsid w:val="000F1DD1"/>
    <w:rsid w:val="000F1EEB"/>
    <w:rsid w:val="000F2624"/>
    <w:rsid w:val="000F2829"/>
    <w:rsid w:val="000F2923"/>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57"/>
    <w:rsid w:val="000F4A70"/>
    <w:rsid w:val="000F4B12"/>
    <w:rsid w:val="000F4BC0"/>
    <w:rsid w:val="000F4E86"/>
    <w:rsid w:val="000F523A"/>
    <w:rsid w:val="000F5340"/>
    <w:rsid w:val="000F54ED"/>
    <w:rsid w:val="000F5580"/>
    <w:rsid w:val="000F561E"/>
    <w:rsid w:val="000F5A7F"/>
    <w:rsid w:val="000F5F02"/>
    <w:rsid w:val="000F663E"/>
    <w:rsid w:val="000F6B05"/>
    <w:rsid w:val="000F6FE6"/>
    <w:rsid w:val="000F7001"/>
    <w:rsid w:val="000F7128"/>
    <w:rsid w:val="000F7490"/>
    <w:rsid w:val="000F7546"/>
    <w:rsid w:val="000F7548"/>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4D9"/>
    <w:rsid w:val="0010250E"/>
    <w:rsid w:val="00102C6A"/>
    <w:rsid w:val="00102D56"/>
    <w:rsid w:val="00102D6B"/>
    <w:rsid w:val="00102E7A"/>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AC4"/>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6A8"/>
    <w:rsid w:val="0011275A"/>
    <w:rsid w:val="00112F83"/>
    <w:rsid w:val="00113031"/>
    <w:rsid w:val="00113307"/>
    <w:rsid w:val="001136F9"/>
    <w:rsid w:val="001138A1"/>
    <w:rsid w:val="00113987"/>
    <w:rsid w:val="001139D2"/>
    <w:rsid w:val="00113DE7"/>
    <w:rsid w:val="00113E6F"/>
    <w:rsid w:val="00113FA6"/>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AA8"/>
    <w:rsid w:val="00115AC1"/>
    <w:rsid w:val="00115C38"/>
    <w:rsid w:val="00115D0F"/>
    <w:rsid w:val="00115DAB"/>
    <w:rsid w:val="00115DFD"/>
    <w:rsid w:val="00115FF7"/>
    <w:rsid w:val="0011617E"/>
    <w:rsid w:val="00116343"/>
    <w:rsid w:val="0011635A"/>
    <w:rsid w:val="001166E7"/>
    <w:rsid w:val="00116F7E"/>
    <w:rsid w:val="0011718D"/>
    <w:rsid w:val="00117228"/>
    <w:rsid w:val="001173D8"/>
    <w:rsid w:val="001173DD"/>
    <w:rsid w:val="0011753F"/>
    <w:rsid w:val="00117FFB"/>
    <w:rsid w:val="00120217"/>
    <w:rsid w:val="001204C9"/>
    <w:rsid w:val="0012066A"/>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1BDD"/>
    <w:rsid w:val="00122166"/>
    <w:rsid w:val="00122358"/>
    <w:rsid w:val="001224CC"/>
    <w:rsid w:val="001225E3"/>
    <w:rsid w:val="001226ED"/>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1B4"/>
    <w:rsid w:val="00125283"/>
    <w:rsid w:val="00125391"/>
    <w:rsid w:val="00125807"/>
    <w:rsid w:val="001258AF"/>
    <w:rsid w:val="00125C72"/>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8FC"/>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6EE"/>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2B"/>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786"/>
    <w:rsid w:val="001368AD"/>
    <w:rsid w:val="00136AFC"/>
    <w:rsid w:val="00136F54"/>
    <w:rsid w:val="00137160"/>
    <w:rsid w:val="0013722B"/>
    <w:rsid w:val="001372A2"/>
    <w:rsid w:val="00137352"/>
    <w:rsid w:val="001373EF"/>
    <w:rsid w:val="00137775"/>
    <w:rsid w:val="00137787"/>
    <w:rsid w:val="00137893"/>
    <w:rsid w:val="0013790C"/>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6"/>
    <w:rsid w:val="001421DE"/>
    <w:rsid w:val="0014253B"/>
    <w:rsid w:val="00142573"/>
    <w:rsid w:val="0014287E"/>
    <w:rsid w:val="001428BF"/>
    <w:rsid w:val="00142D10"/>
    <w:rsid w:val="00142D8C"/>
    <w:rsid w:val="00143263"/>
    <w:rsid w:val="00143887"/>
    <w:rsid w:val="00144007"/>
    <w:rsid w:val="00144066"/>
    <w:rsid w:val="001440AE"/>
    <w:rsid w:val="00144289"/>
    <w:rsid w:val="00144403"/>
    <w:rsid w:val="00144482"/>
    <w:rsid w:val="0014449C"/>
    <w:rsid w:val="001446F1"/>
    <w:rsid w:val="00144798"/>
    <w:rsid w:val="00144F36"/>
    <w:rsid w:val="001450BA"/>
    <w:rsid w:val="00145137"/>
    <w:rsid w:val="00145141"/>
    <w:rsid w:val="00145380"/>
    <w:rsid w:val="001454C7"/>
    <w:rsid w:val="0014561D"/>
    <w:rsid w:val="00145B26"/>
    <w:rsid w:val="00145F09"/>
    <w:rsid w:val="00145F91"/>
    <w:rsid w:val="00145FB4"/>
    <w:rsid w:val="00145FFA"/>
    <w:rsid w:val="001460A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9E8"/>
    <w:rsid w:val="00150B27"/>
    <w:rsid w:val="00150CDF"/>
    <w:rsid w:val="00150DA8"/>
    <w:rsid w:val="00150FA4"/>
    <w:rsid w:val="0015147F"/>
    <w:rsid w:val="0015167D"/>
    <w:rsid w:val="001516AA"/>
    <w:rsid w:val="00151814"/>
    <w:rsid w:val="00151B2F"/>
    <w:rsid w:val="00151F39"/>
    <w:rsid w:val="001525C5"/>
    <w:rsid w:val="00152705"/>
    <w:rsid w:val="00152754"/>
    <w:rsid w:val="00152A6C"/>
    <w:rsid w:val="00152BB1"/>
    <w:rsid w:val="00152BD7"/>
    <w:rsid w:val="00152BDC"/>
    <w:rsid w:val="00152CE9"/>
    <w:rsid w:val="00152DA3"/>
    <w:rsid w:val="001533B5"/>
    <w:rsid w:val="00153635"/>
    <w:rsid w:val="0015385C"/>
    <w:rsid w:val="001538E8"/>
    <w:rsid w:val="00153CF2"/>
    <w:rsid w:val="00153F30"/>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B5F"/>
    <w:rsid w:val="00160C7D"/>
    <w:rsid w:val="00160CDE"/>
    <w:rsid w:val="00160E01"/>
    <w:rsid w:val="00161153"/>
    <w:rsid w:val="001611B3"/>
    <w:rsid w:val="001616A7"/>
    <w:rsid w:val="001616EC"/>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CEA"/>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10"/>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8B1"/>
    <w:rsid w:val="00172A3E"/>
    <w:rsid w:val="00172A63"/>
    <w:rsid w:val="00172C48"/>
    <w:rsid w:val="00172CA7"/>
    <w:rsid w:val="001736A7"/>
    <w:rsid w:val="00173793"/>
    <w:rsid w:val="001739CF"/>
    <w:rsid w:val="00173ADA"/>
    <w:rsid w:val="00173D7E"/>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B3E"/>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AAB"/>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B25"/>
    <w:rsid w:val="00182FEB"/>
    <w:rsid w:val="00183359"/>
    <w:rsid w:val="001833F6"/>
    <w:rsid w:val="00183409"/>
    <w:rsid w:val="0018385A"/>
    <w:rsid w:val="001839E5"/>
    <w:rsid w:val="00183B3F"/>
    <w:rsid w:val="00183E0C"/>
    <w:rsid w:val="00183F89"/>
    <w:rsid w:val="001845EE"/>
    <w:rsid w:val="00184969"/>
    <w:rsid w:val="00184A15"/>
    <w:rsid w:val="00184B7C"/>
    <w:rsid w:val="00184C14"/>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876"/>
    <w:rsid w:val="00190905"/>
    <w:rsid w:val="00190A42"/>
    <w:rsid w:val="00190B32"/>
    <w:rsid w:val="001912E2"/>
    <w:rsid w:val="001918A9"/>
    <w:rsid w:val="0019193F"/>
    <w:rsid w:val="00191984"/>
    <w:rsid w:val="00191EF9"/>
    <w:rsid w:val="0019206A"/>
    <w:rsid w:val="0019230F"/>
    <w:rsid w:val="00192514"/>
    <w:rsid w:val="001927FD"/>
    <w:rsid w:val="0019295C"/>
    <w:rsid w:val="00192A76"/>
    <w:rsid w:val="00192BC1"/>
    <w:rsid w:val="00192D0A"/>
    <w:rsid w:val="00192FF2"/>
    <w:rsid w:val="00193184"/>
    <w:rsid w:val="001931D3"/>
    <w:rsid w:val="00193319"/>
    <w:rsid w:val="001941F7"/>
    <w:rsid w:val="001947A8"/>
    <w:rsid w:val="001948E6"/>
    <w:rsid w:val="0019492E"/>
    <w:rsid w:val="00194A22"/>
    <w:rsid w:val="00194AAA"/>
    <w:rsid w:val="00194EA5"/>
    <w:rsid w:val="00194FB1"/>
    <w:rsid w:val="00195047"/>
    <w:rsid w:val="00196253"/>
    <w:rsid w:val="001963E2"/>
    <w:rsid w:val="00196586"/>
    <w:rsid w:val="00196B3F"/>
    <w:rsid w:val="00196D36"/>
    <w:rsid w:val="00196FC5"/>
    <w:rsid w:val="001970AA"/>
    <w:rsid w:val="0019728D"/>
    <w:rsid w:val="001972D8"/>
    <w:rsid w:val="001972E5"/>
    <w:rsid w:val="0019738B"/>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1F"/>
    <w:rsid w:val="001A20CD"/>
    <w:rsid w:val="001A2410"/>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401D"/>
    <w:rsid w:val="001A405A"/>
    <w:rsid w:val="001A4201"/>
    <w:rsid w:val="001A4378"/>
    <w:rsid w:val="001A4589"/>
    <w:rsid w:val="001A489F"/>
    <w:rsid w:val="001A4EE9"/>
    <w:rsid w:val="001A53AE"/>
    <w:rsid w:val="001A53B8"/>
    <w:rsid w:val="001A556E"/>
    <w:rsid w:val="001A56F4"/>
    <w:rsid w:val="001A5AE1"/>
    <w:rsid w:val="001A5D4A"/>
    <w:rsid w:val="001A5F09"/>
    <w:rsid w:val="001A6250"/>
    <w:rsid w:val="001A62FB"/>
    <w:rsid w:val="001A63F2"/>
    <w:rsid w:val="001A6688"/>
    <w:rsid w:val="001A6801"/>
    <w:rsid w:val="001A6A5E"/>
    <w:rsid w:val="001A6B1A"/>
    <w:rsid w:val="001A71B7"/>
    <w:rsid w:val="001A73EF"/>
    <w:rsid w:val="001A753E"/>
    <w:rsid w:val="001A7802"/>
    <w:rsid w:val="001A7846"/>
    <w:rsid w:val="001A7BEE"/>
    <w:rsid w:val="001A7C7C"/>
    <w:rsid w:val="001A7E6C"/>
    <w:rsid w:val="001B00B9"/>
    <w:rsid w:val="001B00FB"/>
    <w:rsid w:val="001B052A"/>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C96"/>
    <w:rsid w:val="001B2D6B"/>
    <w:rsid w:val="001B2ED1"/>
    <w:rsid w:val="001B34A5"/>
    <w:rsid w:val="001B361C"/>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0"/>
    <w:rsid w:val="001B5C18"/>
    <w:rsid w:val="001B5DEB"/>
    <w:rsid w:val="001B61D2"/>
    <w:rsid w:val="001B655A"/>
    <w:rsid w:val="001B6A69"/>
    <w:rsid w:val="001B6B20"/>
    <w:rsid w:val="001B6DA7"/>
    <w:rsid w:val="001B7443"/>
    <w:rsid w:val="001B7634"/>
    <w:rsid w:val="001B7AB4"/>
    <w:rsid w:val="001B7BAC"/>
    <w:rsid w:val="001B7BB0"/>
    <w:rsid w:val="001B7D0B"/>
    <w:rsid w:val="001B7E22"/>
    <w:rsid w:val="001B7E3B"/>
    <w:rsid w:val="001B7E8C"/>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2D7"/>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DB4"/>
    <w:rsid w:val="001C6E7B"/>
    <w:rsid w:val="001C6FD6"/>
    <w:rsid w:val="001C713E"/>
    <w:rsid w:val="001C746D"/>
    <w:rsid w:val="001C74BE"/>
    <w:rsid w:val="001C7796"/>
    <w:rsid w:val="001C7851"/>
    <w:rsid w:val="001C7E58"/>
    <w:rsid w:val="001C7EFA"/>
    <w:rsid w:val="001D0163"/>
    <w:rsid w:val="001D0195"/>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DAD"/>
    <w:rsid w:val="001D2F65"/>
    <w:rsid w:val="001D3437"/>
    <w:rsid w:val="001D3563"/>
    <w:rsid w:val="001D3731"/>
    <w:rsid w:val="001D3834"/>
    <w:rsid w:val="001D38C0"/>
    <w:rsid w:val="001D3ED6"/>
    <w:rsid w:val="001D4033"/>
    <w:rsid w:val="001D4294"/>
    <w:rsid w:val="001D44B3"/>
    <w:rsid w:val="001D44C2"/>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1ED"/>
    <w:rsid w:val="001D72E7"/>
    <w:rsid w:val="001D78EB"/>
    <w:rsid w:val="001D78F0"/>
    <w:rsid w:val="001D799A"/>
    <w:rsid w:val="001D7B01"/>
    <w:rsid w:val="001D7D53"/>
    <w:rsid w:val="001D7ED9"/>
    <w:rsid w:val="001D7F09"/>
    <w:rsid w:val="001E039D"/>
    <w:rsid w:val="001E0521"/>
    <w:rsid w:val="001E0917"/>
    <w:rsid w:val="001E09F8"/>
    <w:rsid w:val="001E0A8E"/>
    <w:rsid w:val="001E0BD5"/>
    <w:rsid w:val="001E0C17"/>
    <w:rsid w:val="001E0E48"/>
    <w:rsid w:val="001E102E"/>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1FED"/>
    <w:rsid w:val="001F2182"/>
    <w:rsid w:val="001F2326"/>
    <w:rsid w:val="001F23A4"/>
    <w:rsid w:val="001F267C"/>
    <w:rsid w:val="001F2751"/>
    <w:rsid w:val="001F291C"/>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79"/>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1A37"/>
    <w:rsid w:val="00202046"/>
    <w:rsid w:val="0020226B"/>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B4E"/>
    <w:rsid w:val="00213CC5"/>
    <w:rsid w:val="00213F28"/>
    <w:rsid w:val="00213F63"/>
    <w:rsid w:val="0021407A"/>
    <w:rsid w:val="00214137"/>
    <w:rsid w:val="0021421E"/>
    <w:rsid w:val="002143DB"/>
    <w:rsid w:val="00214550"/>
    <w:rsid w:val="00214636"/>
    <w:rsid w:val="002146EB"/>
    <w:rsid w:val="00214A0D"/>
    <w:rsid w:val="00214E59"/>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7177"/>
    <w:rsid w:val="0021721F"/>
    <w:rsid w:val="00217522"/>
    <w:rsid w:val="00217AE0"/>
    <w:rsid w:val="00217F00"/>
    <w:rsid w:val="00220372"/>
    <w:rsid w:val="002203FC"/>
    <w:rsid w:val="0022062D"/>
    <w:rsid w:val="0022081C"/>
    <w:rsid w:val="00220860"/>
    <w:rsid w:val="00220D82"/>
    <w:rsid w:val="00220DB5"/>
    <w:rsid w:val="00220EA4"/>
    <w:rsid w:val="00221283"/>
    <w:rsid w:val="002213DB"/>
    <w:rsid w:val="00221A0F"/>
    <w:rsid w:val="00221AB6"/>
    <w:rsid w:val="00221DF0"/>
    <w:rsid w:val="00221F04"/>
    <w:rsid w:val="00222342"/>
    <w:rsid w:val="00222400"/>
    <w:rsid w:val="00222994"/>
    <w:rsid w:val="00222B5F"/>
    <w:rsid w:val="0022326B"/>
    <w:rsid w:val="0022342A"/>
    <w:rsid w:val="00223B06"/>
    <w:rsid w:val="00223CDF"/>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6F7"/>
    <w:rsid w:val="00226707"/>
    <w:rsid w:val="0022699F"/>
    <w:rsid w:val="00226B12"/>
    <w:rsid w:val="00226BD8"/>
    <w:rsid w:val="00226CFE"/>
    <w:rsid w:val="00226D7A"/>
    <w:rsid w:val="0022741D"/>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BC"/>
    <w:rsid w:val="002317D4"/>
    <w:rsid w:val="00231A47"/>
    <w:rsid w:val="00231CDC"/>
    <w:rsid w:val="00232005"/>
    <w:rsid w:val="0023297A"/>
    <w:rsid w:val="002329EA"/>
    <w:rsid w:val="00232A2D"/>
    <w:rsid w:val="00232BC8"/>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201"/>
    <w:rsid w:val="00242366"/>
    <w:rsid w:val="002427E7"/>
    <w:rsid w:val="002429EB"/>
    <w:rsid w:val="00242F60"/>
    <w:rsid w:val="002432B9"/>
    <w:rsid w:val="002433A2"/>
    <w:rsid w:val="0024341B"/>
    <w:rsid w:val="0024342A"/>
    <w:rsid w:val="00243498"/>
    <w:rsid w:val="002439BF"/>
    <w:rsid w:val="00243A19"/>
    <w:rsid w:val="00243A87"/>
    <w:rsid w:val="00243C8A"/>
    <w:rsid w:val="00243CD0"/>
    <w:rsid w:val="00243DDE"/>
    <w:rsid w:val="00243E03"/>
    <w:rsid w:val="0024405D"/>
    <w:rsid w:val="00244218"/>
    <w:rsid w:val="0024443F"/>
    <w:rsid w:val="00244618"/>
    <w:rsid w:val="002446F3"/>
    <w:rsid w:val="002446F4"/>
    <w:rsid w:val="002447B9"/>
    <w:rsid w:val="00244AC6"/>
    <w:rsid w:val="00244BC3"/>
    <w:rsid w:val="00244D58"/>
    <w:rsid w:val="002453C0"/>
    <w:rsid w:val="0024564B"/>
    <w:rsid w:val="002458D5"/>
    <w:rsid w:val="00245C0D"/>
    <w:rsid w:val="00245F8E"/>
    <w:rsid w:val="0024639A"/>
    <w:rsid w:val="00246696"/>
    <w:rsid w:val="0024687E"/>
    <w:rsid w:val="00246935"/>
    <w:rsid w:val="0024693F"/>
    <w:rsid w:val="00246ABB"/>
    <w:rsid w:val="00246D2F"/>
    <w:rsid w:val="0024726F"/>
    <w:rsid w:val="0024741A"/>
    <w:rsid w:val="0024756E"/>
    <w:rsid w:val="0024761B"/>
    <w:rsid w:val="00247806"/>
    <w:rsid w:val="002478B3"/>
    <w:rsid w:val="002479AA"/>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D15"/>
    <w:rsid w:val="00256E8E"/>
    <w:rsid w:val="00257366"/>
    <w:rsid w:val="002579E5"/>
    <w:rsid w:val="002601C6"/>
    <w:rsid w:val="00260248"/>
    <w:rsid w:val="00260435"/>
    <w:rsid w:val="00260524"/>
    <w:rsid w:val="00260647"/>
    <w:rsid w:val="0026077F"/>
    <w:rsid w:val="00260788"/>
    <w:rsid w:val="00260A1D"/>
    <w:rsid w:val="00260A82"/>
    <w:rsid w:val="00260AB8"/>
    <w:rsid w:val="00260CE8"/>
    <w:rsid w:val="00260DEF"/>
    <w:rsid w:val="00260E8B"/>
    <w:rsid w:val="00261172"/>
    <w:rsid w:val="00261663"/>
    <w:rsid w:val="002617D9"/>
    <w:rsid w:val="00261800"/>
    <w:rsid w:val="002618D1"/>
    <w:rsid w:val="00261946"/>
    <w:rsid w:val="00261EDD"/>
    <w:rsid w:val="00261F34"/>
    <w:rsid w:val="0026232C"/>
    <w:rsid w:val="0026243F"/>
    <w:rsid w:val="0026261B"/>
    <w:rsid w:val="00262752"/>
    <w:rsid w:val="0026285D"/>
    <w:rsid w:val="00262959"/>
    <w:rsid w:val="00262997"/>
    <w:rsid w:val="00262BF5"/>
    <w:rsid w:val="00262DEA"/>
    <w:rsid w:val="00262E00"/>
    <w:rsid w:val="00262FE7"/>
    <w:rsid w:val="00263045"/>
    <w:rsid w:val="002630F4"/>
    <w:rsid w:val="00263429"/>
    <w:rsid w:val="002634F7"/>
    <w:rsid w:val="002635E1"/>
    <w:rsid w:val="00263A58"/>
    <w:rsid w:val="00263AEE"/>
    <w:rsid w:val="00263C71"/>
    <w:rsid w:val="00263ECA"/>
    <w:rsid w:val="00264211"/>
    <w:rsid w:val="0026453C"/>
    <w:rsid w:val="002645B2"/>
    <w:rsid w:val="0026465C"/>
    <w:rsid w:val="0026473F"/>
    <w:rsid w:val="00264B9E"/>
    <w:rsid w:val="00264F00"/>
    <w:rsid w:val="002650D1"/>
    <w:rsid w:val="0026518F"/>
    <w:rsid w:val="002651C3"/>
    <w:rsid w:val="002651CB"/>
    <w:rsid w:val="00265699"/>
    <w:rsid w:val="002656B9"/>
    <w:rsid w:val="00265A22"/>
    <w:rsid w:val="00265B2C"/>
    <w:rsid w:val="00265D4E"/>
    <w:rsid w:val="0026664B"/>
    <w:rsid w:val="002667FE"/>
    <w:rsid w:val="00266978"/>
    <w:rsid w:val="002669D1"/>
    <w:rsid w:val="00266B0C"/>
    <w:rsid w:val="00266BBF"/>
    <w:rsid w:val="00266BF1"/>
    <w:rsid w:val="00266C5F"/>
    <w:rsid w:val="00266E2C"/>
    <w:rsid w:val="00267086"/>
    <w:rsid w:val="002670E5"/>
    <w:rsid w:val="00267100"/>
    <w:rsid w:val="00267243"/>
    <w:rsid w:val="002672D3"/>
    <w:rsid w:val="00267416"/>
    <w:rsid w:val="0026744D"/>
    <w:rsid w:val="002674BF"/>
    <w:rsid w:val="00267523"/>
    <w:rsid w:val="002677D1"/>
    <w:rsid w:val="00267D85"/>
    <w:rsid w:val="00267E51"/>
    <w:rsid w:val="00267ECF"/>
    <w:rsid w:val="00270519"/>
    <w:rsid w:val="0027084D"/>
    <w:rsid w:val="00270A58"/>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85"/>
    <w:rsid w:val="00274DFD"/>
    <w:rsid w:val="0027506F"/>
    <w:rsid w:val="0027515F"/>
    <w:rsid w:val="00275238"/>
    <w:rsid w:val="00275252"/>
    <w:rsid w:val="0027574C"/>
    <w:rsid w:val="002758C7"/>
    <w:rsid w:val="00275A75"/>
    <w:rsid w:val="0027642E"/>
    <w:rsid w:val="0027658C"/>
    <w:rsid w:val="00276792"/>
    <w:rsid w:val="0027684C"/>
    <w:rsid w:val="0027699F"/>
    <w:rsid w:val="00276C5A"/>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3A3"/>
    <w:rsid w:val="0028247F"/>
    <w:rsid w:val="002829FE"/>
    <w:rsid w:val="002831A2"/>
    <w:rsid w:val="00283462"/>
    <w:rsid w:val="00283475"/>
    <w:rsid w:val="00283CD5"/>
    <w:rsid w:val="00283F65"/>
    <w:rsid w:val="00284056"/>
    <w:rsid w:val="002842A5"/>
    <w:rsid w:val="002845BF"/>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903EB"/>
    <w:rsid w:val="00290452"/>
    <w:rsid w:val="002904AB"/>
    <w:rsid w:val="00290633"/>
    <w:rsid w:val="00290678"/>
    <w:rsid w:val="002909A0"/>
    <w:rsid w:val="002910CE"/>
    <w:rsid w:val="00291147"/>
    <w:rsid w:val="002911E8"/>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6DAF"/>
    <w:rsid w:val="00297889"/>
    <w:rsid w:val="00297958"/>
    <w:rsid w:val="00297AE4"/>
    <w:rsid w:val="00297B3B"/>
    <w:rsid w:val="00297CC7"/>
    <w:rsid w:val="00297D60"/>
    <w:rsid w:val="002A00E6"/>
    <w:rsid w:val="002A02D0"/>
    <w:rsid w:val="002A0804"/>
    <w:rsid w:val="002A08B2"/>
    <w:rsid w:val="002A08B3"/>
    <w:rsid w:val="002A1075"/>
    <w:rsid w:val="002A10FB"/>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B31"/>
    <w:rsid w:val="002A3B54"/>
    <w:rsid w:val="002A3C5E"/>
    <w:rsid w:val="002A3D3B"/>
    <w:rsid w:val="002A3F9B"/>
    <w:rsid w:val="002A465F"/>
    <w:rsid w:val="002A4C27"/>
    <w:rsid w:val="002A4F53"/>
    <w:rsid w:val="002A5441"/>
    <w:rsid w:val="002A54D0"/>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4B0"/>
    <w:rsid w:val="002B5704"/>
    <w:rsid w:val="002B589B"/>
    <w:rsid w:val="002B59B1"/>
    <w:rsid w:val="002B5AB7"/>
    <w:rsid w:val="002B5E1C"/>
    <w:rsid w:val="002B60EC"/>
    <w:rsid w:val="002B623E"/>
    <w:rsid w:val="002B66C6"/>
    <w:rsid w:val="002B672D"/>
    <w:rsid w:val="002B676F"/>
    <w:rsid w:val="002B6AAE"/>
    <w:rsid w:val="002B6E2F"/>
    <w:rsid w:val="002B7355"/>
    <w:rsid w:val="002B744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0F65"/>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643"/>
    <w:rsid w:val="002D084B"/>
    <w:rsid w:val="002D0B27"/>
    <w:rsid w:val="002D0FF3"/>
    <w:rsid w:val="002D17D7"/>
    <w:rsid w:val="002D1999"/>
    <w:rsid w:val="002D1A69"/>
    <w:rsid w:val="002D1B66"/>
    <w:rsid w:val="002D1D93"/>
    <w:rsid w:val="002D237F"/>
    <w:rsid w:val="002D23A9"/>
    <w:rsid w:val="002D23B6"/>
    <w:rsid w:val="002D2444"/>
    <w:rsid w:val="002D245B"/>
    <w:rsid w:val="002D2553"/>
    <w:rsid w:val="002D25EC"/>
    <w:rsid w:val="002D27FD"/>
    <w:rsid w:val="002D2862"/>
    <w:rsid w:val="002D29D5"/>
    <w:rsid w:val="002D2D29"/>
    <w:rsid w:val="002D302D"/>
    <w:rsid w:val="002D3207"/>
    <w:rsid w:val="002D3578"/>
    <w:rsid w:val="002D379D"/>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70C"/>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0EC3"/>
    <w:rsid w:val="002E1062"/>
    <w:rsid w:val="002E10D2"/>
    <w:rsid w:val="002E1227"/>
    <w:rsid w:val="002E14EB"/>
    <w:rsid w:val="002E1E60"/>
    <w:rsid w:val="002E23F5"/>
    <w:rsid w:val="002E26FD"/>
    <w:rsid w:val="002E2705"/>
    <w:rsid w:val="002E2AF1"/>
    <w:rsid w:val="002E2D81"/>
    <w:rsid w:val="002E30DD"/>
    <w:rsid w:val="002E3167"/>
    <w:rsid w:val="002E32C0"/>
    <w:rsid w:val="002E3799"/>
    <w:rsid w:val="002E3B77"/>
    <w:rsid w:val="002E3E91"/>
    <w:rsid w:val="002E4405"/>
    <w:rsid w:val="002E46FC"/>
    <w:rsid w:val="002E4751"/>
    <w:rsid w:val="002E488B"/>
    <w:rsid w:val="002E4A1B"/>
    <w:rsid w:val="002E4AC3"/>
    <w:rsid w:val="002E4D4F"/>
    <w:rsid w:val="002E4E1D"/>
    <w:rsid w:val="002E4FAF"/>
    <w:rsid w:val="002E5428"/>
    <w:rsid w:val="002E569D"/>
    <w:rsid w:val="002E582D"/>
    <w:rsid w:val="002E5864"/>
    <w:rsid w:val="002E5DF0"/>
    <w:rsid w:val="002E5EE3"/>
    <w:rsid w:val="002E5F60"/>
    <w:rsid w:val="002E5F89"/>
    <w:rsid w:val="002E6199"/>
    <w:rsid w:val="002E637C"/>
    <w:rsid w:val="002E645E"/>
    <w:rsid w:val="002E6626"/>
    <w:rsid w:val="002E66CA"/>
    <w:rsid w:val="002E6799"/>
    <w:rsid w:val="002E6A3F"/>
    <w:rsid w:val="002E6C74"/>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B2"/>
    <w:rsid w:val="002F0F11"/>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C76"/>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6E37"/>
    <w:rsid w:val="002F7185"/>
    <w:rsid w:val="002F71A1"/>
    <w:rsid w:val="002F7284"/>
    <w:rsid w:val="002F79D0"/>
    <w:rsid w:val="002F7CF0"/>
    <w:rsid w:val="002F7D09"/>
    <w:rsid w:val="002F7D18"/>
    <w:rsid w:val="002F7E19"/>
    <w:rsid w:val="0030081B"/>
    <w:rsid w:val="00300972"/>
    <w:rsid w:val="00300980"/>
    <w:rsid w:val="0030102E"/>
    <w:rsid w:val="0030144F"/>
    <w:rsid w:val="00301721"/>
    <w:rsid w:val="003017DA"/>
    <w:rsid w:val="003018F5"/>
    <w:rsid w:val="003019D8"/>
    <w:rsid w:val="00301A28"/>
    <w:rsid w:val="00301A2E"/>
    <w:rsid w:val="00301AB2"/>
    <w:rsid w:val="00301DD1"/>
    <w:rsid w:val="00301DDB"/>
    <w:rsid w:val="0030207E"/>
    <w:rsid w:val="003020C4"/>
    <w:rsid w:val="00302148"/>
    <w:rsid w:val="00302150"/>
    <w:rsid w:val="003021A2"/>
    <w:rsid w:val="00302398"/>
    <w:rsid w:val="003025C1"/>
    <w:rsid w:val="003029C0"/>
    <w:rsid w:val="00302D3C"/>
    <w:rsid w:val="00302EC1"/>
    <w:rsid w:val="00302F3D"/>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14E"/>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3B0"/>
    <w:rsid w:val="0030765B"/>
    <w:rsid w:val="00307A6C"/>
    <w:rsid w:val="00307B76"/>
    <w:rsid w:val="00307D04"/>
    <w:rsid w:val="00310376"/>
    <w:rsid w:val="00310716"/>
    <w:rsid w:val="00310904"/>
    <w:rsid w:val="00310A1D"/>
    <w:rsid w:val="00310ED0"/>
    <w:rsid w:val="00311198"/>
    <w:rsid w:val="0031178A"/>
    <w:rsid w:val="00311877"/>
    <w:rsid w:val="00311B52"/>
    <w:rsid w:val="00311FBF"/>
    <w:rsid w:val="00312451"/>
    <w:rsid w:val="00312E5B"/>
    <w:rsid w:val="00312F24"/>
    <w:rsid w:val="00312FCB"/>
    <w:rsid w:val="0031306E"/>
    <w:rsid w:val="00313189"/>
    <w:rsid w:val="003133FF"/>
    <w:rsid w:val="003134FA"/>
    <w:rsid w:val="00313A10"/>
    <w:rsid w:val="00313BA1"/>
    <w:rsid w:val="00313D6A"/>
    <w:rsid w:val="00313DAC"/>
    <w:rsid w:val="00313F4E"/>
    <w:rsid w:val="00314886"/>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80C"/>
    <w:rsid w:val="00316AF2"/>
    <w:rsid w:val="00316B7D"/>
    <w:rsid w:val="00316BBD"/>
    <w:rsid w:val="00316BF3"/>
    <w:rsid w:val="00316C2E"/>
    <w:rsid w:val="00316C5F"/>
    <w:rsid w:val="00316C6C"/>
    <w:rsid w:val="00316DB2"/>
    <w:rsid w:val="00317400"/>
    <w:rsid w:val="0031771C"/>
    <w:rsid w:val="00317942"/>
    <w:rsid w:val="00317ECA"/>
    <w:rsid w:val="00317FA4"/>
    <w:rsid w:val="0032066A"/>
    <w:rsid w:val="00320864"/>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D1B"/>
    <w:rsid w:val="00324E08"/>
    <w:rsid w:val="00325320"/>
    <w:rsid w:val="003254DB"/>
    <w:rsid w:val="003256C0"/>
    <w:rsid w:val="00325836"/>
    <w:rsid w:val="003258AE"/>
    <w:rsid w:val="00325BFA"/>
    <w:rsid w:val="00325C4C"/>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0F04"/>
    <w:rsid w:val="0033129F"/>
    <w:rsid w:val="003312E2"/>
    <w:rsid w:val="00331380"/>
    <w:rsid w:val="003313E0"/>
    <w:rsid w:val="00331AAC"/>
    <w:rsid w:val="00331EE5"/>
    <w:rsid w:val="003320D6"/>
    <w:rsid w:val="003321C3"/>
    <w:rsid w:val="00332ABA"/>
    <w:rsid w:val="00333097"/>
    <w:rsid w:val="00333210"/>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888"/>
    <w:rsid w:val="003379DF"/>
    <w:rsid w:val="00337A59"/>
    <w:rsid w:val="00337AA0"/>
    <w:rsid w:val="00337C72"/>
    <w:rsid w:val="00337CD7"/>
    <w:rsid w:val="00340188"/>
    <w:rsid w:val="003401FB"/>
    <w:rsid w:val="003406A0"/>
    <w:rsid w:val="003407BE"/>
    <w:rsid w:val="00340FBE"/>
    <w:rsid w:val="00341A5A"/>
    <w:rsid w:val="00341AAE"/>
    <w:rsid w:val="00341C6A"/>
    <w:rsid w:val="00341D6B"/>
    <w:rsid w:val="00341F00"/>
    <w:rsid w:val="0034234C"/>
    <w:rsid w:val="00342525"/>
    <w:rsid w:val="003428B4"/>
    <w:rsid w:val="0034290A"/>
    <w:rsid w:val="00342B23"/>
    <w:rsid w:val="00342C2F"/>
    <w:rsid w:val="00342D15"/>
    <w:rsid w:val="003430EC"/>
    <w:rsid w:val="00343738"/>
    <w:rsid w:val="0034387B"/>
    <w:rsid w:val="00343947"/>
    <w:rsid w:val="00343A1E"/>
    <w:rsid w:val="00343B10"/>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CB6"/>
    <w:rsid w:val="00351DE2"/>
    <w:rsid w:val="00351F96"/>
    <w:rsid w:val="0035200E"/>
    <w:rsid w:val="0035212B"/>
    <w:rsid w:val="00352370"/>
    <w:rsid w:val="00352946"/>
    <w:rsid w:val="00352995"/>
    <w:rsid w:val="00353313"/>
    <w:rsid w:val="00353521"/>
    <w:rsid w:val="003536F1"/>
    <w:rsid w:val="003537BB"/>
    <w:rsid w:val="003539E0"/>
    <w:rsid w:val="00353DAB"/>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B0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D23"/>
    <w:rsid w:val="00361ED1"/>
    <w:rsid w:val="003620E5"/>
    <w:rsid w:val="003627EF"/>
    <w:rsid w:val="00362FE5"/>
    <w:rsid w:val="00363128"/>
    <w:rsid w:val="003631B5"/>
    <w:rsid w:val="0036371C"/>
    <w:rsid w:val="00363743"/>
    <w:rsid w:val="00363B7E"/>
    <w:rsid w:val="00363B96"/>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5B"/>
    <w:rsid w:val="00366F75"/>
    <w:rsid w:val="003670AF"/>
    <w:rsid w:val="0036721F"/>
    <w:rsid w:val="00367665"/>
    <w:rsid w:val="003677C1"/>
    <w:rsid w:val="003678BC"/>
    <w:rsid w:val="003678CB"/>
    <w:rsid w:val="00367BDF"/>
    <w:rsid w:val="00367F3A"/>
    <w:rsid w:val="00370301"/>
    <w:rsid w:val="003705E4"/>
    <w:rsid w:val="0037064F"/>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058"/>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255"/>
    <w:rsid w:val="00376317"/>
    <w:rsid w:val="003763A7"/>
    <w:rsid w:val="00376747"/>
    <w:rsid w:val="00376AFA"/>
    <w:rsid w:val="00376F0F"/>
    <w:rsid w:val="0037768C"/>
    <w:rsid w:val="003779EE"/>
    <w:rsid w:val="00377CF2"/>
    <w:rsid w:val="00377D68"/>
    <w:rsid w:val="00377DB5"/>
    <w:rsid w:val="00377E97"/>
    <w:rsid w:val="00380224"/>
    <w:rsid w:val="00380824"/>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588"/>
    <w:rsid w:val="0039482B"/>
    <w:rsid w:val="003949B6"/>
    <w:rsid w:val="003949CE"/>
    <w:rsid w:val="003954E9"/>
    <w:rsid w:val="003955D2"/>
    <w:rsid w:val="00395785"/>
    <w:rsid w:val="003957C0"/>
    <w:rsid w:val="00395AB0"/>
    <w:rsid w:val="00396102"/>
    <w:rsid w:val="003961CA"/>
    <w:rsid w:val="0039652B"/>
    <w:rsid w:val="0039666F"/>
    <w:rsid w:val="00396759"/>
    <w:rsid w:val="003969BB"/>
    <w:rsid w:val="00397560"/>
    <w:rsid w:val="0039797B"/>
    <w:rsid w:val="00397AB8"/>
    <w:rsid w:val="00397CB3"/>
    <w:rsid w:val="003A0048"/>
    <w:rsid w:val="003A06EB"/>
    <w:rsid w:val="003A083D"/>
    <w:rsid w:val="003A0BF3"/>
    <w:rsid w:val="003A0D42"/>
    <w:rsid w:val="003A1268"/>
    <w:rsid w:val="003A12A9"/>
    <w:rsid w:val="003A14FB"/>
    <w:rsid w:val="003A18D0"/>
    <w:rsid w:val="003A19DB"/>
    <w:rsid w:val="003A1B5B"/>
    <w:rsid w:val="003A1F13"/>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B88"/>
    <w:rsid w:val="003A5DC4"/>
    <w:rsid w:val="003A5EBF"/>
    <w:rsid w:val="003A6130"/>
    <w:rsid w:val="003A6205"/>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AE"/>
    <w:rsid w:val="003B42EC"/>
    <w:rsid w:val="003B4CC4"/>
    <w:rsid w:val="003B4CEC"/>
    <w:rsid w:val="003B5464"/>
    <w:rsid w:val="003B5657"/>
    <w:rsid w:val="003B60CB"/>
    <w:rsid w:val="003B641C"/>
    <w:rsid w:val="003B64C3"/>
    <w:rsid w:val="003B6688"/>
    <w:rsid w:val="003B66ED"/>
    <w:rsid w:val="003B6DE3"/>
    <w:rsid w:val="003B6FF1"/>
    <w:rsid w:val="003B7368"/>
    <w:rsid w:val="003B7827"/>
    <w:rsid w:val="003B7A29"/>
    <w:rsid w:val="003B7C70"/>
    <w:rsid w:val="003B7D44"/>
    <w:rsid w:val="003C0114"/>
    <w:rsid w:val="003C05C4"/>
    <w:rsid w:val="003C0851"/>
    <w:rsid w:val="003C08E3"/>
    <w:rsid w:val="003C0A54"/>
    <w:rsid w:val="003C0BFA"/>
    <w:rsid w:val="003C0C84"/>
    <w:rsid w:val="003C100B"/>
    <w:rsid w:val="003C1033"/>
    <w:rsid w:val="003C1061"/>
    <w:rsid w:val="003C1086"/>
    <w:rsid w:val="003C1163"/>
    <w:rsid w:val="003C1489"/>
    <w:rsid w:val="003C14B6"/>
    <w:rsid w:val="003C15D4"/>
    <w:rsid w:val="003C1707"/>
    <w:rsid w:val="003C187C"/>
    <w:rsid w:val="003C189A"/>
    <w:rsid w:val="003C1AD6"/>
    <w:rsid w:val="003C1BB7"/>
    <w:rsid w:val="003C1F6B"/>
    <w:rsid w:val="003C261E"/>
    <w:rsid w:val="003C266B"/>
    <w:rsid w:val="003C2750"/>
    <w:rsid w:val="003C2CBA"/>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AF1"/>
    <w:rsid w:val="003C53D8"/>
    <w:rsid w:val="003C5BB9"/>
    <w:rsid w:val="003C6389"/>
    <w:rsid w:val="003C6869"/>
    <w:rsid w:val="003C686D"/>
    <w:rsid w:val="003C6BC5"/>
    <w:rsid w:val="003C74F0"/>
    <w:rsid w:val="003C7742"/>
    <w:rsid w:val="003D01C9"/>
    <w:rsid w:val="003D0253"/>
    <w:rsid w:val="003D039B"/>
    <w:rsid w:val="003D0571"/>
    <w:rsid w:val="003D0747"/>
    <w:rsid w:val="003D09CB"/>
    <w:rsid w:val="003D0D32"/>
    <w:rsid w:val="003D0D9D"/>
    <w:rsid w:val="003D176B"/>
    <w:rsid w:val="003D17C8"/>
    <w:rsid w:val="003D19D0"/>
    <w:rsid w:val="003D1AD4"/>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A0C"/>
    <w:rsid w:val="003D6A9F"/>
    <w:rsid w:val="003D6EB9"/>
    <w:rsid w:val="003D6FE1"/>
    <w:rsid w:val="003D6FE5"/>
    <w:rsid w:val="003D72B7"/>
    <w:rsid w:val="003D72FD"/>
    <w:rsid w:val="003D75AE"/>
    <w:rsid w:val="003D7771"/>
    <w:rsid w:val="003D778C"/>
    <w:rsid w:val="003D7A4C"/>
    <w:rsid w:val="003D7AA8"/>
    <w:rsid w:val="003E00B0"/>
    <w:rsid w:val="003E00D4"/>
    <w:rsid w:val="003E0547"/>
    <w:rsid w:val="003E06FA"/>
    <w:rsid w:val="003E0B1C"/>
    <w:rsid w:val="003E0E94"/>
    <w:rsid w:val="003E0FBD"/>
    <w:rsid w:val="003E1136"/>
    <w:rsid w:val="003E11A0"/>
    <w:rsid w:val="003E1210"/>
    <w:rsid w:val="003E1238"/>
    <w:rsid w:val="003E13F6"/>
    <w:rsid w:val="003E145C"/>
    <w:rsid w:val="003E16D7"/>
    <w:rsid w:val="003E187A"/>
    <w:rsid w:val="003E19FA"/>
    <w:rsid w:val="003E1CB8"/>
    <w:rsid w:val="003E1CD6"/>
    <w:rsid w:val="003E23A5"/>
    <w:rsid w:val="003E27B3"/>
    <w:rsid w:val="003E2CCC"/>
    <w:rsid w:val="003E2D9A"/>
    <w:rsid w:val="003E2F16"/>
    <w:rsid w:val="003E33F9"/>
    <w:rsid w:val="003E3626"/>
    <w:rsid w:val="003E3739"/>
    <w:rsid w:val="003E39F8"/>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718"/>
    <w:rsid w:val="003F17D7"/>
    <w:rsid w:val="003F1811"/>
    <w:rsid w:val="003F182B"/>
    <w:rsid w:val="003F1B16"/>
    <w:rsid w:val="003F1B3C"/>
    <w:rsid w:val="003F1CD2"/>
    <w:rsid w:val="003F1F13"/>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62"/>
    <w:rsid w:val="003F7FBA"/>
    <w:rsid w:val="00400097"/>
    <w:rsid w:val="004000E9"/>
    <w:rsid w:val="004004E1"/>
    <w:rsid w:val="004006E0"/>
    <w:rsid w:val="004007CA"/>
    <w:rsid w:val="00400874"/>
    <w:rsid w:val="00400976"/>
    <w:rsid w:val="004009BD"/>
    <w:rsid w:val="00400B88"/>
    <w:rsid w:val="00400E70"/>
    <w:rsid w:val="00400F69"/>
    <w:rsid w:val="00401058"/>
    <w:rsid w:val="00401337"/>
    <w:rsid w:val="00401391"/>
    <w:rsid w:val="004019C3"/>
    <w:rsid w:val="00401A0F"/>
    <w:rsid w:val="00401AF3"/>
    <w:rsid w:val="00401D73"/>
    <w:rsid w:val="00401F32"/>
    <w:rsid w:val="004022CD"/>
    <w:rsid w:val="004024ED"/>
    <w:rsid w:val="00402835"/>
    <w:rsid w:val="00402850"/>
    <w:rsid w:val="00402913"/>
    <w:rsid w:val="00402A4B"/>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25D"/>
    <w:rsid w:val="004052B6"/>
    <w:rsid w:val="004052F8"/>
    <w:rsid w:val="004054F9"/>
    <w:rsid w:val="00405738"/>
    <w:rsid w:val="004057A1"/>
    <w:rsid w:val="00405DD1"/>
    <w:rsid w:val="00405DF7"/>
    <w:rsid w:val="004064B2"/>
    <w:rsid w:val="004064E1"/>
    <w:rsid w:val="0040667B"/>
    <w:rsid w:val="004069A3"/>
    <w:rsid w:val="00406EE3"/>
    <w:rsid w:val="0040703B"/>
    <w:rsid w:val="00407263"/>
    <w:rsid w:val="00407441"/>
    <w:rsid w:val="0040745F"/>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399"/>
    <w:rsid w:val="004115C2"/>
    <w:rsid w:val="00411628"/>
    <w:rsid w:val="0041162D"/>
    <w:rsid w:val="00411B52"/>
    <w:rsid w:val="00411FDA"/>
    <w:rsid w:val="004121A5"/>
    <w:rsid w:val="004124EC"/>
    <w:rsid w:val="00412504"/>
    <w:rsid w:val="004126C7"/>
    <w:rsid w:val="0041281E"/>
    <w:rsid w:val="00412AEA"/>
    <w:rsid w:val="0041302D"/>
    <w:rsid w:val="00413090"/>
    <w:rsid w:val="00413120"/>
    <w:rsid w:val="004132DE"/>
    <w:rsid w:val="00413727"/>
    <w:rsid w:val="00414049"/>
    <w:rsid w:val="004144B5"/>
    <w:rsid w:val="0041481A"/>
    <w:rsid w:val="0041484A"/>
    <w:rsid w:val="004148DA"/>
    <w:rsid w:val="00414A27"/>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69"/>
    <w:rsid w:val="0041657C"/>
    <w:rsid w:val="00416683"/>
    <w:rsid w:val="0041677F"/>
    <w:rsid w:val="0041693C"/>
    <w:rsid w:val="00416948"/>
    <w:rsid w:val="00416B64"/>
    <w:rsid w:val="00416D5A"/>
    <w:rsid w:val="00416E70"/>
    <w:rsid w:val="00416F88"/>
    <w:rsid w:val="00417146"/>
    <w:rsid w:val="0041725D"/>
    <w:rsid w:val="004177DA"/>
    <w:rsid w:val="00417C22"/>
    <w:rsid w:val="00420057"/>
    <w:rsid w:val="004201B0"/>
    <w:rsid w:val="004201E5"/>
    <w:rsid w:val="00420291"/>
    <w:rsid w:val="004202AA"/>
    <w:rsid w:val="004204E4"/>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D14"/>
    <w:rsid w:val="0043001E"/>
    <w:rsid w:val="004300A9"/>
    <w:rsid w:val="00430500"/>
    <w:rsid w:val="00430645"/>
    <w:rsid w:val="0043093B"/>
    <w:rsid w:val="004309D9"/>
    <w:rsid w:val="00430A8C"/>
    <w:rsid w:val="00430BD2"/>
    <w:rsid w:val="00430C50"/>
    <w:rsid w:val="00430CB3"/>
    <w:rsid w:val="00430CBE"/>
    <w:rsid w:val="00430F12"/>
    <w:rsid w:val="00431016"/>
    <w:rsid w:val="0043117D"/>
    <w:rsid w:val="00431959"/>
    <w:rsid w:val="00431988"/>
    <w:rsid w:val="00431F7F"/>
    <w:rsid w:val="004321DC"/>
    <w:rsid w:val="0043228E"/>
    <w:rsid w:val="004326B2"/>
    <w:rsid w:val="00432A65"/>
    <w:rsid w:val="00432C89"/>
    <w:rsid w:val="00432F70"/>
    <w:rsid w:val="00432FC9"/>
    <w:rsid w:val="0043300D"/>
    <w:rsid w:val="00433303"/>
    <w:rsid w:val="00433309"/>
    <w:rsid w:val="004334FA"/>
    <w:rsid w:val="004336B5"/>
    <w:rsid w:val="004337FF"/>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14D"/>
    <w:rsid w:val="00446231"/>
    <w:rsid w:val="00446516"/>
    <w:rsid w:val="00446997"/>
    <w:rsid w:val="00446ADF"/>
    <w:rsid w:val="00446EAF"/>
    <w:rsid w:val="00447425"/>
    <w:rsid w:val="004475FF"/>
    <w:rsid w:val="00447815"/>
    <w:rsid w:val="00447861"/>
    <w:rsid w:val="00447878"/>
    <w:rsid w:val="00447DDE"/>
    <w:rsid w:val="00447E52"/>
    <w:rsid w:val="00450022"/>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1DD1"/>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2A3"/>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269"/>
    <w:rsid w:val="0046037C"/>
    <w:rsid w:val="004603D7"/>
    <w:rsid w:val="00460C45"/>
    <w:rsid w:val="00460D25"/>
    <w:rsid w:val="00460F95"/>
    <w:rsid w:val="004612B3"/>
    <w:rsid w:val="00461490"/>
    <w:rsid w:val="00461599"/>
    <w:rsid w:val="00461619"/>
    <w:rsid w:val="004616A3"/>
    <w:rsid w:val="00461933"/>
    <w:rsid w:val="0046195F"/>
    <w:rsid w:val="00461A96"/>
    <w:rsid w:val="00461C5A"/>
    <w:rsid w:val="00461C79"/>
    <w:rsid w:val="00461DEB"/>
    <w:rsid w:val="00462091"/>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73A"/>
    <w:rsid w:val="00465BA3"/>
    <w:rsid w:val="00465E6F"/>
    <w:rsid w:val="00465EAF"/>
    <w:rsid w:val="00466017"/>
    <w:rsid w:val="0046635C"/>
    <w:rsid w:val="004663B5"/>
    <w:rsid w:val="0046657E"/>
    <w:rsid w:val="004667F1"/>
    <w:rsid w:val="00466AEE"/>
    <w:rsid w:val="0046703F"/>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723"/>
    <w:rsid w:val="00471847"/>
    <w:rsid w:val="00471C67"/>
    <w:rsid w:val="00471D74"/>
    <w:rsid w:val="00471E1F"/>
    <w:rsid w:val="00472053"/>
    <w:rsid w:val="0047207F"/>
    <w:rsid w:val="0047215A"/>
    <w:rsid w:val="00472225"/>
    <w:rsid w:val="00472752"/>
    <w:rsid w:val="00472979"/>
    <w:rsid w:val="00472A10"/>
    <w:rsid w:val="00472A9D"/>
    <w:rsid w:val="00472B2D"/>
    <w:rsid w:val="00472D14"/>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B6A"/>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2BD"/>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91F"/>
    <w:rsid w:val="004859BC"/>
    <w:rsid w:val="00485AEA"/>
    <w:rsid w:val="00486288"/>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1CD"/>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E87"/>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D7C"/>
    <w:rsid w:val="004A014D"/>
    <w:rsid w:val="004A0199"/>
    <w:rsid w:val="004A0353"/>
    <w:rsid w:val="004A0743"/>
    <w:rsid w:val="004A076C"/>
    <w:rsid w:val="004A0809"/>
    <w:rsid w:val="004A0D24"/>
    <w:rsid w:val="004A0E4E"/>
    <w:rsid w:val="004A10C2"/>
    <w:rsid w:val="004A10CE"/>
    <w:rsid w:val="004A112B"/>
    <w:rsid w:val="004A147C"/>
    <w:rsid w:val="004A14AE"/>
    <w:rsid w:val="004A18E2"/>
    <w:rsid w:val="004A190A"/>
    <w:rsid w:val="004A206C"/>
    <w:rsid w:val="004A250C"/>
    <w:rsid w:val="004A2576"/>
    <w:rsid w:val="004A2697"/>
    <w:rsid w:val="004A28B4"/>
    <w:rsid w:val="004A2B9E"/>
    <w:rsid w:val="004A2BBC"/>
    <w:rsid w:val="004A2C4B"/>
    <w:rsid w:val="004A2DBD"/>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ABF"/>
    <w:rsid w:val="004A5C17"/>
    <w:rsid w:val="004A5E16"/>
    <w:rsid w:val="004A5F80"/>
    <w:rsid w:val="004A6018"/>
    <w:rsid w:val="004A6400"/>
    <w:rsid w:val="004A668E"/>
    <w:rsid w:val="004A6B50"/>
    <w:rsid w:val="004A6C4A"/>
    <w:rsid w:val="004A6F8B"/>
    <w:rsid w:val="004A7140"/>
    <w:rsid w:val="004A73C3"/>
    <w:rsid w:val="004A7788"/>
    <w:rsid w:val="004A7790"/>
    <w:rsid w:val="004A77BC"/>
    <w:rsid w:val="004A7AB0"/>
    <w:rsid w:val="004A7BAA"/>
    <w:rsid w:val="004A7DFE"/>
    <w:rsid w:val="004A7E2A"/>
    <w:rsid w:val="004B0016"/>
    <w:rsid w:val="004B01D4"/>
    <w:rsid w:val="004B01D7"/>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1E3"/>
    <w:rsid w:val="004B3403"/>
    <w:rsid w:val="004B3537"/>
    <w:rsid w:val="004B3B5D"/>
    <w:rsid w:val="004B3EB5"/>
    <w:rsid w:val="004B43A1"/>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5B93"/>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182"/>
    <w:rsid w:val="004C652C"/>
    <w:rsid w:val="004C656A"/>
    <w:rsid w:val="004C65DE"/>
    <w:rsid w:val="004C66F5"/>
    <w:rsid w:val="004C69AB"/>
    <w:rsid w:val="004C6E33"/>
    <w:rsid w:val="004C74C7"/>
    <w:rsid w:val="004C750A"/>
    <w:rsid w:val="004C7610"/>
    <w:rsid w:val="004C7B33"/>
    <w:rsid w:val="004C7B40"/>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78E"/>
    <w:rsid w:val="004D184B"/>
    <w:rsid w:val="004D1A05"/>
    <w:rsid w:val="004D1C29"/>
    <w:rsid w:val="004D1EDF"/>
    <w:rsid w:val="004D1F0D"/>
    <w:rsid w:val="004D213A"/>
    <w:rsid w:val="004D25A4"/>
    <w:rsid w:val="004D292E"/>
    <w:rsid w:val="004D2A8F"/>
    <w:rsid w:val="004D2B06"/>
    <w:rsid w:val="004D2B1D"/>
    <w:rsid w:val="004D2F83"/>
    <w:rsid w:val="004D3055"/>
    <w:rsid w:val="004D31A9"/>
    <w:rsid w:val="004D37FE"/>
    <w:rsid w:val="004D392C"/>
    <w:rsid w:val="004D3A18"/>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87F"/>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94"/>
    <w:rsid w:val="004E2852"/>
    <w:rsid w:val="004E29A6"/>
    <w:rsid w:val="004E2B5D"/>
    <w:rsid w:val="004E2BB2"/>
    <w:rsid w:val="004E2DD3"/>
    <w:rsid w:val="004E301E"/>
    <w:rsid w:val="004E367B"/>
    <w:rsid w:val="004E37E8"/>
    <w:rsid w:val="004E3A48"/>
    <w:rsid w:val="004E3A81"/>
    <w:rsid w:val="004E3F81"/>
    <w:rsid w:val="004E3FF0"/>
    <w:rsid w:val="004E4116"/>
    <w:rsid w:val="004E416F"/>
    <w:rsid w:val="004E41E9"/>
    <w:rsid w:val="004E436D"/>
    <w:rsid w:val="004E4E0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174"/>
    <w:rsid w:val="004F0833"/>
    <w:rsid w:val="004F0CB3"/>
    <w:rsid w:val="004F0D97"/>
    <w:rsid w:val="004F0E62"/>
    <w:rsid w:val="004F0E86"/>
    <w:rsid w:val="004F11BD"/>
    <w:rsid w:val="004F132D"/>
    <w:rsid w:val="004F1398"/>
    <w:rsid w:val="004F1417"/>
    <w:rsid w:val="004F1782"/>
    <w:rsid w:val="004F1C42"/>
    <w:rsid w:val="004F1C59"/>
    <w:rsid w:val="004F1EC0"/>
    <w:rsid w:val="004F1FB8"/>
    <w:rsid w:val="004F23D7"/>
    <w:rsid w:val="004F2576"/>
    <w:rsid w:val="004F2673"/>
    <w:rsid w:val="004F2882"/>
    <w:rsid w:val="004F2BE9"/>
    <w:rsid w:val="004F2C17"/>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2DE"/>
    <w:rsid w:val="004F540C"/>
    <w:rsid w:val="004F543B"/>
    <w:rsid w:val="004F5566"/>
    <w:rsid w:val="004F5697"/>
    <w:rsid w:val="004F56CF"/>
    <w:rsid w:val="004F58F8"/>
    <w:rsid w:val="004F5A01"/>
    <w:rsid w:val="004F5D77"/>
    <w:rsid w:val="004F5D7C"/>
    <w:rsid w:val="004F5F2D"/>
    <w:rsid w:val="004F62D6"/>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223F"/>
    <w:rsid w:val="00502504"/>
    <w:rsid w:val="005025F7"/>
    <w:rsid w:val="005028CB"/>
    <w:rsid w:val="00502944"/>
    <w:rsid w:val="0050297C"/>
    <w:rsid w:val="00502C06"/>
    <w:rsid w:val="00502FFB"/>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2BA"/>
    <w:rsid w:val="00504581"/>
    <w:rsid w:val="00504774"/>
    <w:rsid w:val="0050481D"/>
    <w:rsid w:val="00504B3A"/>
    <w:rsid w:val="00504B3F"/>
    <w:rsid w:val="00505395"/>
    <w:rsid w:val="00505AA4"/>
    <w:rsid w:val="00505ADE"/>
    <w:rsid w:val="00505AF3"/>
    <w:rsid w:val="00506223"/>
    <w:rsid w:val="00506416"/>
    <w:rsid w:val="005064FC"/>
    <w:rsid w:val="0050691A"/>
    <w:rsid w:val="00506B61"/>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39"/>
    <w:rsid w:val="00512CF6"/>
    <w:rsid w:val="005133A8"/>
    <w:rsid w:val="0051363B"/>
    <w:rsid w:val="005136F6"/>
    <w:rsid w:val="00513755"/>
    <w:rsid w:val="005137C0"/>
    <w:rsid w:val="005138A2"/>
    <w:rsid w:val="0051397D"/>
    <w:rsid w:val="00513A10"/>
    <w:rsid w:val="00513AFD"/>
    <w:rsid w:val="00513F44"/>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38"/>
    <w:rsid w:val="00520E44"/>
    <w:rsid w:val="00520EE3"/>
    <w:rsid w:val="005211A9"/>
    <w:rsid w:val="005213E0"/>
    <w:rsid w:val="005214C9"/>
    <w:rsid w:val="00521777"/>
    <w:rsid w:val="00521D5B"/>
    <w:rsid w:val="00521F4E"/>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2C7"/>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79A"/>
    <w:rsid w:val="00532D49"/>
    <w:rsid w:val="00532D83"/>
    <w:rsid w:val="00532F2F"/>
    <w:rsid w:val="005330D1"/>
    <w:rsid w:val="005330DF"/>
    <w:rsid w:val="0053318A"/>
    <w:rsid w:val="00533201"/>
    <w:rsid w:val="0053324B"/>
    <w:rsid w:val="0053327E"/>
    <w:rsid w:val="005332B5"/>
    <w:rsid w:val="00533602"/>
    <w:rsid w:val="0053368F"/>
    <w:rsid w:val="0053374E"/>
    <w:rsid w:val="00533889"/>
    <w:rsid w:val="00533C8A"/>
    <w:rsid w:val="0053408B"/>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4AA"/>
    <w:rsid w:val="0053681F"/>
    <w:rsid w:val="00536B6C"/>
    <w:rsid w:val="00536BEF"/>
    <w:rsid w:val="00537127"/>
    <w:rsid w:val="00537159"/>
    <w:rsid w:val="00537386"/>
    <w:rsid w:val="005374BC"/>
    <w:rsid w:val="00537741"/>
    <w:rsid w:val="00537C33"/>
    <w:rsid w:val="00537EE4"/>
    <w:rsid w:val="005400A6"/>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2D9"/>
    <w:rsid w:val="005424A1"/>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A71"/>
    <w:rsid w:val="00550CA0"/>
    <w:rsid w:val="005511D7"/>
    <w:rsid w:val="005511F5"/>
    <w:rsid w:val="005512CA"/>
    <w:rsid w:val="00551469"/>
    <w:rsid w:val="005517B9"/>
    <w:rsid w:val="005517E4"/>
    <w:rsid w:val="005518D3"/>
    <w:rsid w:val="00551D6E"/>
    <w:rsid w:val="00551E1D"/>
    <w:rsid w:val="00552089"/>
    <w:rsid w:val="00552235"/>
    <w:rsid w:val="005523CC"/>
    <w:rsid w:val="00552808"/>
    <w:rsid w:val="00552A0B"/>
    <w:rsid w:val="00552A6E"/>
    <w:rsid w:val="00552B17"/>
    <w:rsid w:val="00552C97"/>
    <w:rsid w:val="00552FAC"/>
    <w:rsid w:val="0055343E"/>
    <w:rsid w:val="005534DA"/>
    <w:rsid w:val="00553547"/>
    <w:rsid w:val="005535F5"/>
    <w:rsid w:val="005537F7"/>
    <w:rsid w:val="005538B5"/>
    <w:rsid w:val="005543C3"/>
    <w:rsid w:val="0055452D"/>
    <w:rsid w:val="00554544"/>
    <w:rsid w:val="0055488A"/>
    <w:rsid w:val="00554A26"/>
    <w:rsid w:val="00554C39"/>
    <w:rsid w:val="00554D08"/>
    <w:rsid w:val="00554EAD"/>
    <w:rsid w:val="00555039"/>
    <w:rsid w:val="00555216"/>
    <w:rsid w:val="0055522E"/>
    <w:rsid w:val="005553FA"/>
    <w:rsid w:val="005554B9"/>
    <w:rsid w:val="00555D02"/>
    <w:rsid w:val="00555DC1"/>
    <w:rsid w:val="00556118"/>
    <w:rsid w:val="00556120"/>
    <w:rsid w:val="00556191"/>
    <w:rsid w:val="005566FD"/>
    <w:rsid w:val="00556E77"/>
    <w:rsid w:val="00556EC4"/>
    <w:rsid w:val="00557265"/>
    <w:rsid w:val="005572A6"/>
    <w:rsid w:val="00557677"/>
    <w:rsid w:val="00557744"/>
    <w:rsid w:val="00557BA5"/>
    <w:rsid w:val="00557CB0"/>
    <w:rsid w:val="00560145"/>
    <w:rsid w:val="005601D4"/>
    <w:rsid w:val="00560448"/>
    <w:rsid w:val="00560845"/>
    <w:rsid w:val="00560E4D"/>
    <w:rsid w:val="00560E94"/>
    <w:rsid w:val="005610B1"/>
    <w:rsid w:val="005610F1"/>
    <w:rsid w:val="00561211"/>
    <w:rsid w:val="00561441"/>
    <w:rsid w:val="0056154C"/>
    <w:rsid w:val="00561DA5"/>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4E4A"/>
    <w:rsid w:val="0056510C"/>
    <w:rsid w:val="0056516D"/>
    <w:rsid w:val="00565196"/>
    <w:rsid w:val="00565208"/>
    <w:rsid w:val="005653F4"/>
    <w:rsid w:val="00565945"/>
    <w:rsid w:val="005659FC"/>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42A"/>
    <w:rsid w:val="005705DD"/>
    <w:rsid w:val="005707A8"/>
    <w:rsid w:val="005709CD"/>
    <w:rsid w:val="00570AB5"/>
    <w:rsid w:val="00570EC3"/>
    <w:rsid w:val="00570F50"/>
    <w:rsid w:val="0057153A"/>
    <w:rsid w:val="00571565"/>
    <w:rsid w:val="00571683"/>
    <w:rsid w:val="00571836"/>
    <w:rsid w:val="0057188B"/>
    <w:rsid w:val="00571A8C"/>
    <w:rsid w:val="005723FF"/>
    <w:rsid w:val="0057297A"/>
    <w:rsid w:val="005729AB"/>
    <w:rsid w:val="005729B5"/>
    <w:rsid w:val="00572BA6"/>
    <w:rsid w:val="00572E70"/>
    <w:rsid w:val="0057308F"/>
    <w:rsid w:val="005731E7"/>
    <w:rsid w:val="00573605"/>
    <w:rsid w:val="005737E7"/>
    <w:rsid w:val="005737FB"/>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21"/>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1A9"/>
    <w:rsid w:val="0058034D"/>
    <w:rsid w:val="00580451"/>
    <w:rsid w:val="00580574"/>
    <w:rsid w:val="00580C04"/>
    <w:rsid w:val="00580FE0"/>
    <w:rsid w:val="005816A6"/>
    <w:rsid w:val="005816BF"/>
    <w:rsid w:val="00581A5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5DBE"/>
    <w:rsid w:val="005860B0"/>
    <w:rsid w:val="005864AC"/>
    <w:rsid w:val="0058650D"/>
    <w:rsid w:val="005866E0"/>
    <w:rsid w:val="00586797"/>
    <w:rsid w:val="00586D90"/>
    <w:rsid w:val="00586E3D"/>
    <w:rsid w:val="00586E85"/>
    <w:rsid w:val="00586F53"/>
    <w:rsid w:val="0058713F"/>
    <w:rsid w:val="00587258"/>
    <w:rsid w:val="00587298"/>
    <w:rsid w:val="00587453"/>
    <w:rsid w:val="0058775B"/>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272"/>
    <w:rsid w:val="00591400"/>
    <w:rsid w:val="00591428"/>
    <w:rsid w:val="00591515"/>
    <w:rsid w:val="005919B9"/>
    <w:rsid w:val="00591E08"/>
    <w:rsid w:val="00591F1B"/>
    <w:rsid w:val="00591FF5"/>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4CF2"/>
    <w:rsid w:val="0059502C"/>
    <w:rsid w:val="00595309"/>
    <w:rsid w:val="00595339"/>
    <w:rsid w:val="005955ED"/>
    <w:rsid w:val="005955F9"/>
    <w:rsid w:val="00595B02"/>
    <w:rsid w:val="00595DEA"/>
    <w:rsid w:val="00595EDC"/>
    <w:rsid w:val="005960A9"/>
    <w:rsid w:val="005960C8"/>
    <w:rsid w:val="005961E7"/>
    <w:rsid w:val="005961E9"/>
    <w:rsid w:val="00596200"/>
    <w:rsid w:val="005962C4"/>
    <w:rsid w:val="0059687A"/>
    <w:rsid w:val="00597354"/>
    <w:rsid w:val="00597357"/>
    <w:rsid w:val="0059737F"/>
    <w:rsid w:val="00597513"/>
    <w:rsid w:val="00597542"/>
    <w:rsid w:val="005977B8"/>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C5"/>
    <w:rsid w:val="005A2480"/>
    <w:rsid w:val="005A2535"/>
    <w:rsid w:val="005A29DE"/>
    <w:rsid w:val="005A2A27"/>
    <w:rsid w:val="005A2E3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899"/>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D17"/>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009"/>
    <w:rsid w:val="005B76DA"/>
    <w:rsid w:val="005B7777"/>
    <w:rsid w:val="005C01BC"/>
    <w:rsid w:val="005C0218"/>
    <w:rsid w:val="005C038B"/>
    <w:rsid w:val="005C0522"/>
    <w:rsid w:val="005C06E7"/>
    <w:rsid w:val="005C0C7D"/>
    <w:rsid w:val="005C1147"/>
    <w:rsid w:val="005C11E2"/>
    <w:rsid w:val="005C14DA"/>
    <w:rsid w:val="005C1D28"/>
    <w:rsid w:val="005C1ECB"/>
    <w:rsid w:val="005C1F0D"/>
    <w:rsid w:val="005C2087"/>
    <w:rsid w:val="005C21AC"/>
    <w:rsid w:val="005C22A4"/>
    <w:rsid w:val="005C22E7"/>
    <w:rsid w:val="005C2831"/>
    <w:rsid w:val="005C2A5A"/>
    <w:rsid w:val="005C2B0F"/>
    <w:rsid w:val="005C2B84"/>
    <w:rsid w:val="005C2BE8"/>
    <w:rsid w:val="005C2F23"/>
    <w:rsid w:val="005C31A0"/>
    <w:rsid w:val="005C34B2"/>
    <w:rsid w:val="005C3516"/>
    <w:rsid w:val="005C35F9"/>
    <w:rsid w:val="005C38E3"/>
    <w:rsid w:val="005C39FB"/>
    <w:rsid w:val="005C3A5C"/>
    <w:rsid w:val="005C3F6B"/>
    <w:rsid w:val="005C3F95"/>
    <w:rsid w:val="005C3FC0"/>
    <w:rsid w:val="005C41FC"/>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6BBA"/>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A6D"/>
    <w:rsid w:val="005D1BB9"/>
    <w:rsid w:val="005D1E5E"/>
    <w:rsid w:val="005D1F66"/>
    <w:rsid w:val="005D1F6A"/>
    <w:rsid w:val="005D23D5"/>
    <w:rsid w:val="005D23F2"/>
    <w:rsid w:val="005D297E"/>
    <w:rsid w:val="005D2A00"/>
    <w:rsid w:val="005D2CD4"/>
    <w:rsid w:val="005D3092"/>
    <w:rsid w:val="005D3203"/>
    <w:rsid w:val="005D3861"/>
    <w:rsid w:val="005D38F0"/>
    <w:rsid w:val="005D3B3B"/>
    <w:rsid w:val="005D3B76"/>
    <w:rsid w:val="005D3E3D"/>
    <w:rsid w:val="005D3E9B"/>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5F4"/>
    <w:rsid w:val="005D67A2"/>
    <w:rsid w:val="005D67D7"/>
    <w:rsid w:val="005D6A3E"/>
    <w:rsid w:val="005D6B05"/>
    <w:rsid w:val="005D6ED1"/>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46"/>
    <w:rsid w:val="005E22B9"/>
    <w:rsid w:val="005E253C"/>
    <w:rsid w:val="005E26A5"/>
    <w:rsid w:val="005E275B"/>
    <w:rsid w:val="005E2AE3"/>
    <w:rsid w:val="005E2B13"/>
    <w:rsid w:val="005E2CF1"/>
    <w:rsid w:val="005E315A"/>
    <w:rsid w:val="005E33C9"/>
    <w:rsid w:val="005E345A"/>
    <w:rsid w:val="005E35D3"/>
    <w:rsid w:val="005E35ED"/>
    <w:rsid w:val="005E3833"/>
    <w:rsid w:val="005E38F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EAE"/>
    <w:rsid w:val="005E70AE"/>
    <w:rsid w:val="005E735D"/>
    <w:rsid w:val="005E7421"/>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E1E"/>
    <w:rsid w:val="005F1E36"/>
    <w:rsid w:val="005F1F01"/>
    <w:rsid w:val="005F227E"/>
    <w:rsid w:val="005F2493"/>
    <w:rsid w:val="005F24AF"/>
    <w:rsid w:val="005F2B29"/>
    <w:rsid w:val="005F2C82"/>
    <w:rsid w:val="005F2DBD"/>
    <w:rsid w:val="005F2FA4"/>
    <w:rsid w:val="005F3494"/>
    <w:rsid w:val="005F37A0"/>
    <w:rsid w:val="005F3990"/>
    <w:rsid w:val="005F3AB3"/>
    <w:rsid w:val="005F3DF8"/>
    <w:rsid w:val="005F3F25"/>
    <w:rsid w:val="005F44E2"/>
    <w:rsid w:val="005F46AF"/>
    <w:rsid w:val="005F484F"/>
    <w:rsid w:val="005F4C23"/>
    <w:rsid w:val="005F4DE2"/>
    <w:rsid w:val="005F4E45"/>
    <w:rsid w:val="005F5687"/>
    <w:rsid w:val="005F5A05"/>
    <w:rsid w:val="005F5ABB"/>
    <w:rsid w:val="005F5D08"/>
    <w:rsid w:val="005F5EE2"/>
    <w:rsid w:val="005F60A4"/>
    <w:rsid w:val="005F6175"/>
    <w:rsid w:val="005F63E3"/>
    <w:rsid w:val="005F68CE"/>
    <w:rsid w:val="005F6A35"/>
    <w:rsid w:val="005F6CE6"/>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1A2"/>
    <w:rsid w:val="00605240"/>
    <w:rsid w:val="0060569F"/>
    <w:rsid w:val="00605C69"/>
    <w:rsid w:val="00605E4F"/>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670"/>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5FA"/>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708"/>
    <w:rsid w:val="0061788B"/>
    <w:rsid w:val="00617BF2"/>
    <w:rsid w:val="00617C15"/>
    <w:rsid w:val="00617E10"/>
    <w:rsid w:val="00617FB2"/>
    <w:rsid w:val="006202E5"/>
    <w:rsid w:val="0062051A"/>
    <w:rsid w:val="006205DF"/>
    <w:rsid w:val="006208FE"/>
    <w:rsid w:val="00620CD3"/>
    <w:rsid w:val="00620CEB"/>
    <w:rsid w:val="00620ED0"/>
    <w:rsid w:val="00621119"/>
    <w:rsid w:val="0062127C"/>
    <w:rsid w:val="00621323"/>
    <w:rsid w:val="00621380"/>
    <w:rsid w:val="006214C8"/>
    <w:rsid w:val="0062166C"/>
    <w:rsid w:val="006216F7"/>
    <w:rsid w:val="0062170E"/>
    <w:rsid w:val="006217A4"/>
    <w:rsid w:val="00621874"/>
    <w:rsid w:val="00621D56"/>
    <w:rsid w:val="00621DA7"/>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27"/>
    <w:rsid w:val="006236E1"/>
    <w:rsid w:val="00623770"/>
    <w:rsid w:val="00623AE6"/>
    <w:rsid w:val="00623CE5"/>
    <w:rsid w:val="00623D5A"/>
    <w:rsid w:val="0062402A"/>
    <w:rsid w:val="00624167"/>
    <w:rsid w:val="0062422A"/>
    <w:rsid w:val="0062428D"/>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3D"/>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834"/>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60A"/>
    <w:rsid w:val="00641641"/>
    <w:rsid w:val="00641A98"/>
    <w:rsid w:val="00641F5C"/>
    <w:rsid w:val="006421AB"/>
    <w:rsid w:val="0064238B"/>
    <w:rsid w:val="00642392"/>
    <w:rsid w:val="00642670"/>
    <w:rsid w:val="0064293D"/>
    <w:rsid w:val="00642A44"/>
    <w:rsid w:val="00642C90"/>
    <w:rsid w:val="00642D5D"/>
    <w:rsid w:val="00642E18"/>
    <w:rsid w:val="00642F24"/>
    <w:rsid w:val="00643080"/>
    <w:rsid w:val="00643087"/>
    <w:rsid w:val="006430A3"/>
    <w:rsid w:val="00643704"/>
    <w:rsid w:val="00643A8F"/>
    <w:rsid w:val="00643C55"/>
    <w:rsid w:val="00643D10"/>
    <w:rsid w:val="00643DD1"/>
    <w:rsid w:val="006445D2"/>
    <w:rsid w:val="00644CE6"/>
    <w:rsid w:val="00644EA5"/>
    <w:rsid w:val="00644FE1"/>
    <w:rsid w:val="0064562D"/>
    <w:rsid w:val="00645641"/>
    <w:rsid w:val="0064568F"/>
    <w:rsid w:val="0064570B"/>
    <w:rsid w:val="00645D48"/>
    <w:rsid w:val="00645FC3"/>
    <w:rsid w:val="006460C4"/>
    <w:rsid w:val="00646300"/>
    <w:rsid w:val="0064666C"/>
    <w:rsid w:val="006469E4"/>
    <w:rsid w:val="00646C0E"/>
    <w:rsid w:val="00646CF2"/>
    <w:rsid w:val="00646D13"/>
    <w:rsid w:val="00646DCA"/>
    <w:rsid w:val="00646F7C"/>
    <w:rsid w:val="00646FA3"/>
    <w:rsid w:val="006470C4"/>
    <w:rsid w:val="006470C8"/>
    <w:rsid w:val="00647246"/>
    <w:rsid w:val="006472EF"/>
    <w:rsid w:val="0064752A"/>
    <w:rsid w:val="006475EC"/>
    <w:rsid w:val="0064763B"/>
    <w:rsid w:val="006479F5"/>
    <w:rsid w:val="00647D85"/>
    <w:rsid w:val="00647E23"/>
    <w:rsid w:val="00647FD2"/>
    <w:rsid w:val="00650149"/>
    <w:rsid w:val="0065018D"/>
    <w:rsid w:val="00650432"/>
    <w:rsid w:val="0065052C"/>
    <w:rsid w:val="00650640"/>
    <w:rsid w:val="006506CF"/>
    <w:rsid w:val="00650837"/>
    <w:rsid w:val="00650CB2"/>
    <w:rsid w:val="00650EFF"/>
    <w:rsid w:val="00650F2D"/>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4E52"/>
    <w:rsid w:val="006552F4"/>
    <w:rsid w:val="00655380"/>
    <w:rsid w:val="00655AB6"/>
    <w:rsid w:val="00655C36"/>
    <w:rsid w:val="00655E46"/>
    <w:rsid w:val="006561EB"/>
    <w:rsid w:val="006562C1"/>
    <w:rsid w:val="00656600"/>
    <w:rsid w:val="006567A0"/>
    <w:rsid w:val="00656A05"/>
    <w:rsid w:val="00656A5E"/>
    <w:rsid w:val="0065737D"/>
    <w:rsid w:val="006573BE"/>
    <w:rsid w:val="006574DC"/>
    <w:rsid w:val="00657551"/>
    <w:rsid w:val="006575BF"/>
    <w:rsid w:val="0065776C"/>
    <w:rsid w:val="006578A7"/>
    <w:rsid w:val="00657E1C"/>
    <w:rsid w:val="00657EE9"/>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3C0D"/>
    <w:rsid w:val="0066429D"/>
    <w:rsid w:val="00664493"/>
    <w:rsid w:val="006648BB"/>
    <w:rsid w:val="00664BCC"/>
    <w:rsid w:val="00664C83"/>
    <w:rsid w:val="00664EE3"/>
    <w:rsid w:val="00664F22"/>
    <w:rsid w:val="0066505F"/>
    <w:rsid w:val="006655C4"/>
    <w:rsid w:val="006655E5"/>
    <w:rsid w:val="00665F2F"/>
    <w:rsid w:val="00665F91"/>
    <w:rsid w:val="00666100"/>
    <w:rsid w:val="0066649C"/>
    <w:rsid w:val="006664B0"/>
    <w:rsid w:val="006665F7"/>
    <w:rsid w:val="00666717"/>
    <w:rsid w:val="00666B13"/>
    <w:rsid w:val="00666B99"/>
    <w:rsid w:val="00666D5A"/>
    <w:rsid w:val="00666E1A"/>
    <w:rsid w:val="00667094"/>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62"/>
    <w:rsid w:val="00672ACD"/>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87A33"/>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032"/>
    <w:rsid w:val="0069421C"/>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40E"/>
    <w:rsid w:val="0069756B"/>
    <w:rsid w:val="0069779E"/>
    <w:rsid w:val="00697B61"/>
    <w:rsid w:val="00697D20"/>
    <w:rsid w:val="00697DE7"/>
    <w:rsid w:val="00697ECA"/>
    <w:rsid w:val="00697FCE"/>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AED"/>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60B"/>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459"/>
    <w:rsid w:val="006B0552"/>
    <w:rsid w:val="006B0954"/>
    <w:rsid w:val="006B097A"/>
    <w:rsid w:val="006B0C3F"/>
    <w:rsid w:val="006B11A1"/>
    <w:rsid w:val="006B13C4"/>
    <w:rsid w:val="006B17F8"/>
    <w:rsid w:val="006B1BBA"/>
    <w:rsid w:val="006B1E93"/>
    <w:rsid w:val="006B218C"/>
    <w:rsid w:val="006B250C"/>
    <w:rsid w:val="006B2521"/>
    <w:rsid w:val="006B2766"/>
    <w:rsid w:val="006B2853"/>
    <w:rsid w:val="006B2C45"/>
    <w:rsid w:val="006B2CA8"/>
    <w:rsid w:val="006B2F0E"/>
    <w:rsid w:val="006B3079"/>
    <w:rsid w:val="006B31FB"/>
    <w:rsid w:val="006B3399"/>
    <w:rsid w:val="006B35DE"/>
    <w:rsid w:val="006B3822"/>
    <w:rsid w:val="006B3C2C"/>
    <w:rsid w:val="006B3C65"/>
    <w:rsid w:val="006B42B4"/>
    <w:rsid w:val="006B4493"/>
    <w:rsid w:val="006B44E4"/>
    <w:rsid w:val="006B44E5"/>
    <w:rsid w:val="006B4607"/>
    <w:rsid w:val="006B47A8"/>
    <w:rsid w:val="006B4AA7"/>
    <w:rsid w:val="006B4CE1"/>
    <w:rsid w:val="006B4FF5"/>
    <w:rsid w:val="006B5126"/>
    <w:rsid w:val="006B5278"/>
    <w:rsid w:val="006B52BB"/>
    <w:rsid w:val="006B5351"/>
    <w:rsid w:val="006B545C"/>
    <w:rsid w:val="006B54A7"/>
    <w:rsid w:val="006B55C4"/>
    <w:rsid w:val="006B5A7C"/>
    <w:rsid w:val="006B5BB4"/>
    <w:rsid w:val="006B5DA4"/>
    <w:rsid w:val="006B5DAA"/>
    <w:rsid w:val="006B5EA1"/>
    <w:rsid w:val="006B5F77"/>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74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E19"/>
    <w:rsid w:val="006C6361"/>
    <w:rsid w:val="006C64B0"/>
    <w:rsid w:val="006C66CB"/>
    <w:rsid w:val="006C679C"/>
    <w:rsid w:val="006C698F"/>
    <w:rsid w:val="006C6AF5"/>
    <w:rsid w:val="006C6EC3"/>
    <w:rsid w:val="006C7120"/>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94"/>
    <w:rsid w:val="006D27A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507"/>
    <w:rsid w:val="006D5B9B"/>
    <w:rsid w:val="006D5E18"/>
    <w:rsid w:val="006D5E49"/>
    <w:rsid w:val="006D5ECB"/>
    <w:rsid w:val="006D612C"/>
    <w:rsid w:val="006D6388"/>
    <w:rsid w:val="006D686F"/>
    <w:rsid w:val="006D68B6"/>
    <w:rsid w:val="006D691A"/>
    <w:rsid w:val="006D6AD0"/>
    <w:rsid w:val="006D6E31"/>
    <w:rsid w:val="006D6FAB"/>
    <w:rsid w:val="006D70C2"/>
    <w:rsid w:val="006D77E6"/>
    <w:rsid w:val="006D7AD8"/>
    <w:rsid w:val="006D7C4F"/>
    <w:rsid w:val="006D7CBD"/>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4A"/>
    <w:rsid w:val="006E1963"/>
    <w:rsid w:val="006E1A35"/>
    <w:rsid w:val="006E1BA8"/>
    <w:rsid w:val="006E1C38"/>
    <w:rsid w:val="006E1C57"/>
    <w:rsid w:val="006E1D87"/>
    <w:rsid w:val="006E22ED"/>
    <w:rsid w:val="006E233B"/>
    <w:rsid w:val="006E2444"/>
    <w:rsid w:val="006E26EC"/>
    <w:rsid w:val="006E2AF8"/>
    <w:rsid w:val="006E2BD4"/>
    <w:rsid w:val="006E334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50D"/>
    <w:rsid w:val="006E762C"/>
    <w:rsid w:val="006E7906"/>
    <w:rsid w:val="006E7AD1"/>
    <w:rsid w:val="006E7DEC"/>
    <w:rsid w:val="006E7EE2"/>
    <w:rsid w:val="006F00AE"/>
    <w:rsid w:val="006F01BE"/>
    <w:rsid w:val="006F04A3"/>
    <w:rsid w:val="006F0A6E"/>
    <w:rsid w:val="006F0BAA"/>
    <w:rsid w:val="006F1091"/>
    <w:rsid w:val="006F137F"/>
    <w:rsid w:val="006F1694"/>
    <w:rsid w:val="006F1AFD"/>
    <w:rsid w:val="006F1CE8"/>
    <w:rsid w:val="006F1F71"/>
    <w:rsid w:val="006F2070"/>
    <w:rsid w:val="006F229D"/>
    <w:rsid w:val="006F239C"/>
    <w:rsid w:val="006F24D8"/>
    <w:rsid w:val="006F25E8"/>
    <w:rsid w:val="006F27FE"/>
    <w:rsid w:val="006F2A5B"/>
    <w:rsid w:val="006F2ADA"/>
    <w:rsid w:val="006F2B12"/>
    <w:rsid w:val="006F2CD7"/>
    <w:rsid w:val="006F2F0A"/>
    <w:rsid w:val="006F3370"/>
    <w:rsid w:val="006F3417"/>
    <w:rsid w:val="006F3468"/>
    <w:rsid w:val="006F3741"/>
    <w:rsid w:val="006F387E"/>
    <w:rsid w:val="006F38F3"/>
    <w:rsid w:val="006F3B83"/>
    <w:rsid w:val="006F3C5C"/>
    <w:rsid w:val="006F3D50"/>
    <w:rsid w:val="006F3DC3"/>
    <w:rsid w:val="006F3DF9"/>
    <w:rsid w:val="006F3EF2"/>
    <w:rsid w:val="006F3F74"/>
    <w:rsid w:val="006F3FE5"/>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C56"/>
    <w:rsid w:val="006F7CFE"/>
    <w:rsid w:val="0070008C"/>
    <w:rsid w:val="007001FF"/>
    <w:rsid w:val="00700474"/>
    <w:rsid w:val="0070080C"/>
    <w:rsid w:val="00700A32"/>
    <w:rsid w:val="00701076"/>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78"/>
    <w:rsid w:val="00705360"/>
    <w:rsid w:val="00705515"/>
    <w:rsid w:val="007058F9"/>
    <w:rsid w:val="00705DCB"/>
    <w:rsid w:val="0070611B"/>
    <w:rsid w:val="007063E7"/>
    <w:rsid w:val="00706BA2"/>
    <w:rsid w:val="00706C30"/>
    <w:rsid w:val="00706CE9"/>
    <w:rsid w:val="00706D11"/>
    <w:rsid w:val="00706D32"/>
    <w:rsid w:val="007072AE"/>
    <w:rsid w:val="00707591"/>
    <w:rsid w:val="0070760E"/>
    <w:rsid w:val="00707745"/>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B90"/>
    <w:rsid w:val="00713DB9"/>
    <w:rsid w:val="00713F8A"/>
    <w:rsid w:val="00713FD7"/>
    <w:rsid w:val="007141DA"/>
    <w:rsid w:val="0071422C"/>
    <w:rsid w:val="007143F0"/>
    <w:rsid w:val="00714401"/>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4B7"/>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E87"/>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698"/>
    <w:rsid w:val="00725A17"/>
    <w:rsid w:val="00725BDF"/>
    <w:rsid w:val="00725CDD"/>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28"/>
    <w:rsid w:val="00731BC0"/>
    <w:rsid w:val="00731C7D"/>
    <w:rsid w:val="007325C0"/>
    <w:rsid w:val="007326E5"/>
    <w:rsid w:val="00732720"/>
    <w:rsid w:val="007329A5"/>
    <w:rsid w:val="007329B9"/>
    <w:rsid w:val="00732F6A"/>
    <w:rsid w:val="007331E7"/>
    <w:rsid w:val="00733230"/>
    <w:rsid w:val="007332D4"/>
    <w:rsid w:val="0073338B"/>
    <w:rsid w:val="007333BD"/>
    <w:rsid w:val="0073351B"/>
    <w:rsid w:val="0073352F"/>
    <w:rsid w:val="00733948"/>
    <w:rsid w:val="00733BB9"/>
    <w:rsid w:val="00733D18"/>
    <w:rsid w:val="00733DDD"/>
    <w:rsid w:val="00734733"/>
    <w:rsid w:val="00734DC5"/>
    <w:rsid w:val="00734E02"/>
    <w:rsid w:val="00735108"/>
    <w:rsid w:val="0073537C"/>
    <w:rsid w:val="00735604"/>
    <w:rsid w:val="007356C0"/>
    <w:rsid w:val="00735E33"/>
    <w:rsid w:val="00735E49"/>
    <w:rsid w:val="0073607D"/>
    <w:rsid w:val="00736111"/>
    <w:rsid w:val="00736D60"/>
    <w:rsid w:val="00736DD1"/>
    <w:rsid w:val="00736DFA"/>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9CE"/>
    <w:rsid w:val="00743DCA"/>
    <w:rsid w:val="00743FB6"/>
    <w:rsid w:val="0074423D"/>
    <w:rsid w:val="00744290"/>
    <w:rsid w:val="007446CF"/>
    <w:rsid w:val="00744723"/>
    <w:rsid w:val="00744825"/>
    <w:rsid w:val="00744970"/>
    <w:rsid w:val="00744CCB"/>
    <w:rsid w:val="00744F30"/>
    <w:rsid w:val="007453CA"/>
    <w:rsid w:val="00745816"/>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E7"/>
    <w:rsid w:val="00751C87"/>
    <w:rsid w:val="00751D7A"/>
    <w:rsid w:val="00751FE2"/>
    <w:rsid w:val="00752141"/>
    <w:rsid w:val="007523A2"/>
    <w:rsid w:val="007523F9"/>
    <w:rsid w:val="00752447"/>
    <w:rsid w:val="007526CF"/>
    <w:rsid w:val="007528BF"/>
    <w:rsid w:val="007528EB"/>
    <w:rsid w:val="00752BF8"/>
    <w:rsid w:val="00752D97"/>
    <w:rsid w:val="00752F68"/>
    <w:rsid w:val="00753472"/>
    <w:rsid w:val="007534BD"/>
    <w:rsid w:val="00753548"/>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78D"/>
    <w:rsid w:val="00755B6B"/>
    <w:rsid w:val="00755C9A"/>
    <w:rsid w:val="0075633D"/>
    <w:rsid w:val="00756AD3"/>
    <w:rsid w:val="00756B35"/>
    <w:rsid w:val="00756E73"/>
    <w:rsid w:val="00756F03"/>
    <w:rsid w:val="00756F20"/>
    <w:rsid w:val="00756FB0"/>
    <w:rsid w:val="007570A8"/>
    <w:rsid w:val="0075764A"/>
    <w:rsid w:val="007576A1"/>
    <w:rsid w:val="007576D6"/>
    <w:rsid w:val="007577A5"/>
    <w:rsid w:val="007577C6"/>
    <w:rsid w:val="00757C5C"/>
    <w:rsid w:val="00757D1B"/>
    <w:rsid w:val="0076042D"/>
    <w:rsid w:val="007604D1"/>
    <w:rsid w:val="007606B2"/>
    <w:rsid w:val="00760831"/>
    <w:rsid w:val="00760A5A"/>
    <w:rsid w:val="00760B3F"/>
    <w:rsid w:val="00760CA4"/>
    <w:rsid w:val="00760DE6"/>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25"/>
    <w:rsid w:val="007648E6"/>
    <w:rsid w:val="00764995"/>
    <w:rsid w:val="00764997"/>
    <w:rsid w:val="00764B2A"/>
    <w:rsid w:val="00764CBA"/>
    <w:rsid w:val="007652D0"/>
    <w:rsid w:val="007653C3"/>
    <w:rsid w:val="0076557C"/>
    <w:rsid w:val="00765645"/>
    <w:rsid w:val="0076565A"/>
    <w:rsid w:val="007656F6"/>
    <w:rsid w:val="00765987"/>
    <w:rsid w:val="00765AAA"/>
    <w:rsid w:val="00765B45"/>
    <w:rsid w:val="00765CC5"/>
    <w:rsid w:val="0076646C"/>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BC0"/>
    <w:rsid w:val="00772CA8"/>
    <w:rsid w:val="00772CAA"/>
    <w:rsid w:val="00772D90"/>
    <w:rsid w:val="007730FE"/>
    <w:rsid w:val="007732D4"/>
    <w:rsid w:val="007733F0"/>
    <w:rsid w:val="007738BB"/>
    <w:rsid w:val="00773FCC"/>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B83"/>
    <w:rsid w:val="00783CFD"/>
    <w:rsid w:val="00783DCD"/>
    <w:rsid w:val="00783F40"/>
    <w:rsid w:val="0078498F"/>
    <w:rsid w:val="00784C17"/>
    <w:rsid w:val="00784F6B"/>
    <w:rsid w:val="00785167"/>
    <w:rsid w:val="007851E8"/>
    <w:rsid w:val="00785345"/>
    <w:rsid w:val="007854C8"/>
    <w:rsid w:val="00785A81"/>
    <w:rsid w:val="00785D89"/>
    <w:rsid w:val="00785EF7"/>
    <w:rsid w:val="007860A4"/>
    <w:rsid w:val="0078622F"/>
    <w:rsid w:val="0078628C"/>
    <w:rsid w:val="0078695D"/>
    <w:rsid w:val="0078784C"/>
    <w:rsid w:val="00787AB5"/>
    <w:rsid w:val="00787BBD"/>
    <w:rsid w:val="0079023D"/>
    <w:rsid w:val="007902AD"/>
    <w:rsid w:val="0079032A"/>
    <w:rsid w:val="007903E5"/>
    <w:rsid w:val="00790415"/>
    <w:rsid w:val="00790639"/>
    <w:rsid w:val="007908B2"/>
    <w:rsid w:val="00790D10"/>
    <w:rsid w:val="00790F0A"/>
    <w:rsid w:val="00790F58"/>
    <w:rsid w:val="007917EF"/>
    <w:rsid w:val="00791B7C"/>
    <w:rsid w:val="00791B89"/>
    <w:rsid w:val="00791B9E"/>
    <w:rsid w:val="00791C2D"/>
    <w:rsid w:val="00791CF1"/>
    <w:rsid w:val="00791D46"/>
    <w:rsid w:val="0079225F"/>
    <w:rsid w:val="0079269D"/>
    <w:rsid w:val="0079303A"/>
    <w:rsid w:val="0079315B"/>
    <w:rsid w:val="0079367E"/>
    <w:rsid w:val="007936EB"/>
    <w:rsid w:val="007937B1"/>
    <w:rsid w:val="007939F8"/>
    <w:rsid w:val="00793CC7"/>
    <w:rsid w:val="00793EED"/>
    <w:rsid w:val="00793F0B"/>
    <w:rsid w:val="007940E5"/>
    <w:rsid w:val="007945B4"/>
    <w:rsid w:val="00794679"/>
    <w:rsid w:val="00794933"/>
    <w:rsid w:val="0079494F"/>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24"/>
    <w:rsid w:val="007A1E5F"/>
    <w:rsid w:val="007A2002"/>
    <w:rsid w:val="007A2083"/>
    <w:rsid w:val="007A20DE"/>
    <w:rsid w:val="007A2261"/>
    <w:rsid w:val="007A2268"/>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5E33"/>
    <w:rsid w:val="007A6121"/>
    <w:rsid w:val="007A6300"/>
    <w:rsid w:val="007A6362"/>
    <w:rsid w:val="007A648C"/>
    <w:rsid w:val="007A65BF"/>
    <w:rsid w:val="007A6668"/>
    <w:rsid w:val="007A6739"/>
    <w:rsid w:val="007A6C86"/>
    <w:rsid w:val="007A7114"/>
    <w:rsid w:val="007A75F2"/>
    <w:rsid w:val="007A7A1B"/>
    <w:rsid w:val="007A7A2D"/>
    <w:rsid w:val="007A7E84"/>
    <w:rsid w:val="007B0304"/>
    <w:rsid w:val="007B0327"/>
    <w:rsid w:val="007B034C"/>
    <w:rsid w:val="007B0377"/>
    <w:rsid w:val="007B0C4E"/>
    <w:rsid w:val="007B16DE"/>
    <w:rsid w:val="007B1765"/>
    <w:rsid w:val="007B1A59"/>
    <w:rsid w:val="007B21FC"/>
    <w:rsid w:val="007B2247"/>
    <w:rsid w:val="007B224C"/>
    <w:rsid w:val="007B24F5"/>
    <w:rsid w:val="007B25C7"/>
    <w:rsid w:val="007B2612"/>
    <w:rsid w:val="007B27E2"/>
    <w:rsid w:val="007B28FD"/>
    <w:rsid w:val="007B2956"/>
    <w:rsid w:val="007B2A9C"/>
    <w:rsid w:val="007B2B5B"/>
    <w:rsid w:val="007B2D60"/>
    <w:rsid w:val="007B33D2"/>
    <w:rsid w:val="007B383D"/>
    <w:rsid w:val="007B392B"/>
    <w:rsid w:val="007B3C5E"/>
    <w:rsid w:val="007B3F32"/>
    <w:rsid w:val="007B4089"/>
    <w:rsid w:val="007B45C2"/>
    <w:rsid w:val="007B4851"/>
    <w:rsid w:val="007B4856"/>
    <w:rsid w:val="007B4A2C"/>
    <w:rsid w:val="007B4A3B"/>
    <w:rsid w:val="007B4C2C"/>
    <w:rsid w:val="007B4D7F"/>
    <w:rsid w:val="007B50CF"/>
    <w:rsid w:val="007B5D08"/>
    <w:rsid w:val="007B5DF6"/>
    <w:rsid w:val="007B635D"/>
    <w:rsid w:val="007B6411"/>
    <w:rsid w:val="007B67CA"/>
    <w:rsid w:val="007B68A1"/>
    <w:rsid w:val="007B6908"/>
    <w:rsid w:val="007B729E"/>
    <w:rsid w:val="007B754E"/>
    <w:rsid w:val="007B75C3"/>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9D7"/>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6A"/>
    <w:rsid w:val="007D63C1"/>
    <w:rsid w:val="007D66D4"/>
    <w:rsid w:val="007D6989"/>
    <w:rsid w:val="007D6A04"/>
    <w:rsid w:val="007D6A22"/>
    <w:rsid w:val="007D6AF4"/>
    <w:rsid w:val="007D6AF5"/>
    <w:rsid w:val="007D6EA5"/>
    <w:rsid w:val="007D6F9A"/>
    <w:rsid w:val="007D723C"/>
    <w:rsid w:val="007D72C1"/>
    <w:rsid w:val="007D770C"/>
    <w:rsid w:val="007D7770"/>
    <w:rsid w:val="007D78E9"/>
    <w:rsid w:val="007D7CF9"/>
    <w:rsid w:val="007D7DBB"/>
    <w:rsid w:val="007E00D1"/>
    <w:rsid w:val="007E00D2"/>
    <w:rsid w:val="007E0536"/>
    <w:rsid w:val="007E0A5B"/>
    <w:rsid w:val="007E0AA3"/>
    <w:rsid w:val="007E0AA8"/>
    <w:rsid w:val="007E0BC6"/>
    <w:rsid w:val="007E0E00"/>
    <w:rsid w:val="007E0FB5"/>
    <w:rsid w:val="007E194F"/>
    <w:rsid w:val="007E1B78"/>
    <w:rsid w:val="007E1C3A"/>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4F17"/>
    <w:rsid w:val="007E500E"/>
    <w:rsid w:val="007E5106"/>
    <w:rsid w:val="007E52C2"/>
    <w:rsid w:val="007E52C5"/>
    <w:rsid w:val="007E5472"/>
    <w:rsid w:val="007E5534"/>
    <w:rsid w:val="007E5614"/>
    <w:rsid w:val="007E589A"/>
    <w:rsid w:val="007E5AFF"/>
    <w:rsid w:val="007E5BB4"/>
    <w:rsid w:val="007E5D4A"/>
    <w:rsid w:val="007E605A"/>
    <w:rsid w:val="007E60ED"/>
    <w:rsid w:val="007E6349"/>
    <w:rsid w:val="007E63D0"/>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26"/>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D6"/>
    <w:rsid w:val="007F3852"/>
    <w:rsid w:val="007F3928"/>
    <w:rsid w:val="007F3946"/>
    <w:rsid w:val="007F39FE"/>
    <w:rsid w:val="007F3B9C"/>
    <w:rsid w:val="007F3CC2"/>
    <w:rsid w:val="007F3CEE"/>
    <w:rsid w:val="007F4252"/>
    <w:rsid w:val="007F47C8"/>
    <w:rsid w:val="007F48C5"/>
    <w:rsid w:val="007F48F1"/>
    <w:rsid w:val="007F4BAA"/>
    <w:rsid w:val="007F4BAB"/>
    <w:rsid w:val="007F4F2D"/>
    <w:rsid w:val="007F5746"/>
    <w:rsid w:val="007F5D47"/>
    <w:rsid w:val="007F5F24"/>
    <w:rsid w:val="007F6450"/>
    <w:rsid w:val="007F6480"/>
    <w:rsid w:val="007F64BD"/>
    <w:rsid w:val="007F6643"/>
    <w:rsid w:val="007F669C"/>
    <w:rsid w:val="007F6A80"/>
    <w:rsid w:val="007F6BF7"/>
    <w:rsid w:val="007F6C6B"/>
    <w:rsid w:val="007F6CB8"/>
    <w:rsid w:val="007F772B"/>
    <w:rsid w:val="007F78F7"/>
    <w:rsid w:val="007F7C45"/>
    <w:rsid w:val="007F7D2E"/>
    <w:rsid w:val="007F7D46"/>
    <w:rsid w:val="007F7E62"/>
    <w:rsid w:val="007F7EAD"/>
    <w:rsid w:val="00800123"/>
    <w:rsid w:val="008001B6"/>
    <w:rsid w:val="008001BB"/>
    <w:rsid w:val="00800287"/>
    <w:rsid w:val="00800589"/>
    <w:rsid w:val="008007B5"/>
    <w:rsid w:val="008008A4"/>
    <w:rsid w:val="008008ED"/>
    <w:rsid w:val="00800F77"/>
    <w:rsid w:val="00801034"/>
    <w:rsid w:val="00801053"/>
    <w:rsid w:val="008011CE"/>
    <w:rsid w:val="008012DE"/>
    <w:rsid w:val="00801829"/>
    <w:rsid w:val="00801F3E"/>
    <w:rsid w:val="0080213C"/>
    <w:rsid w:val="00802423"/>
    <w:rsid w:val="008024CE"/>
    <w:rsid w:val="00802577"/>
    <w:rsid w:val="008025C5"/>
    <w:rsid w:val="00802B12"/>
    <w:rsid w:val="00802C85"/>
    <w:rsid w:val="00802CFD"/>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0F5"/>
    <w:rsid w:val="00810490"/>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3"/>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A7F"/>
    <w:rsid w:val="00827B86"/>
    <w:rsid w:val="00827CB0"/>
    <w:rsid w:val="00827D1D"/>
    <w:rsid w:val="00827DFF"/>
    <w:rsid w:val="00827FB1"/>
    <w:rsid w:val="008300EC"/>
    <w:rsid w:val="00830550"/>
    <w:rsid w:val="00830988"/>
    <w:rsid w:val="00830A73"/>
    <w:rsid w:val="00830A76"/>
    <w:rsid w:val="00830A7B"/>
    <w:rsid w:val="00830A83"/>
    <w:rsid w:val="00830EB4"/>
    <w:rsid w:val="008313D2"/>
    <w:rsid w:val="008313F8"/>
    <w:rsid w:val="00831A84"/>
    <w:rsid w:val="00831B89"/>
    <w:rsid w:val="00831C99"/>
    <w:rsid w:val="00831ECA"/>
    <w:rsid w:val="00831ED2"/>
    <w:rsid w:val="00831ED5"/>
    <w:rsid w:val="008323DF"/>
    <w:rsid w:val="008324BD"/>
    <w:rsid w:val="00832A2F"/>
    <w:rsid w:val="00832AC5"/>
    <w:rsid w:val="00832B6E"/>
    <w:rsid w:val="00832E47"/>
    <w:rsid w:val="00832E81"/>
    <w:rsid w:val="00832F1C"/>
    <w:rsid w:val="008330A8"/>
    <w:rsid w:val="00833673"/>
    <w:rsid w:val="008337A8"/>
    <w:rsid w:val="0083380B"/>
    <w:rsid w:val="008338A3"/>
    <w:rsid w:val="00833A77"/>
    <w:rsid w:val="00833E4E"/>
    <w:rsid w:val="00833EBD"/>
    <w:rsid w:val="00833F06"/>
    <w:rsid w:val="00833F39"/>
    <w:rsid w:val="0083420F"/>
    <w:rsid w:val="0083472F"/>
    <w:rsid w:val="00834D4C"/>
    <w:rsid w:val="008350DD"/>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37F6B"/>
    <w:rsid w:val="00840089"/>
    <w:rsid w:val="0084065E"/>
    <w:rsid w:val="00840921"/>
    <w:rsid w:val="00840A05"/>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003"/>
    <w:rsid w:val="0084444D"/>
    <w:rsid w:val="00844619"/>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B7"/>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7DB"/>
    <w:rsid w:val="00856E06"/>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06E6"/>
    <w:rsid w:val="00860F92"/>
    <w:rsid w:val="00861231"/>
    <w:rsid w:val="00861443"/>
    <w:rsid w:val="008614F3"/>
    <w:rsid w:val="00861B85"/>
    <w:rsid w:val="00861CEA"/>
    <w:rsid w:val="008620A4"/>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1A7"/>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625"/>
    <w:rsid w:val="008778F6"/>
    <w:rsid w:val="008779DC"/>
    <w:rsid w:val="00877AA2"/>
    <w:rsid w:val="00877C7C"/>
    <w:rsid w:val="00877EB3"/>
    <w:rsid w:val="00880165"/>
    <w:rsid w:val="00880307"/>
    <w:rsid w:val="0088075F"/>
    <w:rsid w:val="008807FD"/>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D3E"/>
    <w:rsid w:val="00882EE9"/>
    <w:rsid w:val="00883144"/>
    <w:rsid w:val="008834A3"/>
    <w:rsid w:val="00883525"/>
    <w:rsid w:val="00883667"/>
    <w:rsid w:val="008839E4"/>
    <w:rsid w:val="008842D8"/>
    <w:rsid w:val="008844D6"/>
    <w:rsid w:val="008844FF"/>
    <w:rsid w:val="008846C2"/>
    <w:rsid w:val="00884776"/>
    <w:rsid w:val="00884C10"/>
    <w:rsid w:val="0088515C"/>
    <w:rsid w:val="00885281"/>
    <w:rsid w:val="008854C6"/>
    <w:rsid w:val="00885509"/>
    <w:rsid w:val="00885C34"/>
    <w:rsid w:val="00885C72"/>
    <w:rsid w:val="00885FB4"/>
    <w:rsid w:val="008860E2"/>
    <w:rsid w:val="00886123"/>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506"/>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20B"/>
    <w:rsid w:val="008934F6"/>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9E8"/>
    <w:rsid w:val="00896C18"/>
    <w:rsid w:val="008976BA"/>
    <w:rsid w:val="008977B8"/>
    <w:rsid w:val="008978C0"/>
    <w:rsid w:val="00897B2D"/>
    <w:rsid w:val="00897C85"/>
    <w:rsid w:val="00897EC5"/>
    <w:rsid w:val="00897EDD"/>
    <w:rsid w:val="008A0225"/>
    <w:rsid w:val="008A0241"/>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74"/>
    <w:rsid w:val="008A509B"/>
    <w:rsid w:val="008A510D"/>
    <w:rsid w:val="008A5515"/>
    <w:rsid w:val="008A5B66"/>
    <w:rsid w:val="008A5CED"/>
    <w:rsid w:val="008A6008"/>
    <w:rsid w:val="008A60F7"/>
    <w:rsid w:val="008A6290"/>
    <w:rsid w:val="008A6538"/>
    <w:rsid w:val="008A679B"/>
    <w:rsid w:val="008A68C8"/>
    <w:rsid w:val="008A68F5"/>
    <w:rsid w:val="008A6993"/>
    <w:rsid w:val="008A69A3"/>
    <w:rsid w:val="008A6AC8"/>
    <w:rsid w:val="008A6B77"/>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2D45"/>
    <w:rsid w:val="008B3082"/>
    <w:rsid w:val="008B31DC"/>
    <w:rsid w:val="008B3807"/>
    <w:rsid w:val="008B3871"/>
    <w:rsid w:val="008B3AA0"/>
    <w:rsid w:val="008B3ABF"/>
    <w:rsid w:val="008B3AC0"/>
    <w:rsid w:val="008B3F3B"/>
    <w:rsid w:val="008B4103"/>
    <w:rsid w:val="008B4308"/>
    <w:rsid w:val="008B45A2"/>
    <w:rsid w:val="008B45F6"/>
    <w:rsid w:val="008B4686"/>
    <w:rsid w:val="008B482C"/>
    <w:rsid w:val="008B497B"/>
    <w:rsid w:val="008B4BFC"/>
    <w:rsid w:val="008B4E03"/>
    <w:rsid w:val="008B5203"/>
    <w:rsid w:val="008B52DA"/>
    <w:rsid w:val="008B5370"/>
    <w:rsid w:val="008B572E"/>
    <w:rsid w:val="008B579B"/>
    <w:rsid w:val="008B5960"/>
    <w:rsid w:val="008B5B92"/>
    <w:rsid w:val="008B5D9D"/>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CAE"/>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0A9"/>
    <w:rsid w:val="008C719C"/>
    <w:rsid w:val="008C71E2"/>
    <w:rsid w:val="008C77EF"/>
    <w:rsid w:val="008C781E"/>
    <w:rsid w:val="008C78EE"/>
    <w:rsid w:val="008C7B8E"/>
    <w:rsid w:val="008C7CA6"/>
    <w:rsid w:val="008C7D19"/>
    <w:rsid w:val="008C7FF1"/>
    <w:rsid w:val="008D049D"/>
    <w:rsid w:val="008D04AF"/>
    <w:rsid w:val="008D0E6D"/>
    <w:rsid w:val="008D0F19"/>
    <w:rsid w:val="008D1038"/>
    <w:rsid w:val="008D11CA"/>
    <w:rsid w:val="008D12F1"/>
    <w:rsid w:val="008D162B"/>
    <w:rsid w:val="008D1750"/>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8E7"/>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CA0"/>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413"/>
    <w:rsid w:val="008E35C7"/>
    <w:rsid w:val="008E36AF"/>
    <w:rsid w:val="008E390F"/>
    <w:rsid w:val="008E4013"/>
    <w:rsid w:val="008E43D6"/>
    <w:rsid w:val="008E45C3"/>
    <w:rsid w:val="008E45D2"/>
    <w:rsid w:val="008E4714"/>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8D9"/>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38C"/>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2E4"/>
    <w:rsid w:val="008F43FC"/>
    <w:rsid w:val="008F44AE"/>
    <w:rsid w:val="008F46DC"/>
    <w:rsid w:val="008F479B"/>
    <w:rsid w:val="008F4829"/>
    <w:rsid w:val="008F4871"/>
    <w:rsid w:val="008F4956"/>
    <w:rsid w:val="008F4E9D"/>
    <w:rsid w:val="008F50DC"/>
    <w:rsid w:val="008F516C"/>
    <w:rsid w:val="008F5259"/>
    <w:rsid w:val="008F57E1"/>
    <w:rsid w:val="008F5F6B"/>
    <w:rsid w:val="008F61F2"/>
    <w:rsid w:val="008F6318"/>
    <w:rsid w:val="008F68F4"/>
    <w:rsid w:val="008F6946"/>
    <w:rsid w:val="008F6DA1"/>
    <w:rsid w:val="008F7062"/>
    <w:rsid w:val="008F758F"/>
    <w:rsid w:val="008F7710"/>
    <w:rsid w:val="008F77DE"/>
    <w:rsid w:val="008F7879"/>
    <w:rsid w:val="008F791D"/>
    <w:rsid w:val="008F7C9B"/>
    <w:rsid w:val="008F7D28"/>
    <w:rsid w:val="00900402"/>
    <w:rsid w:val="00900571"/>
    <w:rsid w:val="00900682"/>
    <w:rsid w:val="0090098B"/>
    <w:rsid w:val="00900E1F"/>
    <w:rsid w:val="00900FB4"/>
    <w:rsid w:val="0090106B"/>
    <w:rsid w:val="00901410"/>
    <w:rsid w:val="00901430"/>
    <w:rsid w:val="009014AB"/>
    <w:rsid w:val="00901558"/>
    <w:rsid w:val="00901665"/>
    <w:rsid w:val="009017EE"/>
    <w:rsid w:val="00901AB5"/>
    <w:rsid w:val="00901C96"/>
    <w:rsid w:val="00901D8F"/>
    <w:rsid w:val="00901D96"/>
    <w:rsid w:val="00902087"/>
    <w:rsid w:val="009021A6"/>
    <w:rsid w:val="00902539"/>
    <w:rsid w:val="0090258C"/>
    <w:rsid w:val="0090258F"/>
    <w:rsid w:val="00902AD5"/>
    <w:rsid w:val="00902D57"/>
    <w:rsid w:val="00902F51"/>
    <w:rsid w:val="009032E0"/>
    <w:rsid w:val="009034F2"/>
    <w:rsid w:val="00903820"/>
    <w:rsid w:val="00903FE5"/>
    <w:rsid w:val="00904317"/>
    <w:rsid w:val="009045A5"/>
    <w:rsid w:val="00904C45"/>
    <w:rsid w:val="00904C9A"/>
    <w:rsid w:val="00904F62"/>
    <w:rsid w:val="0090500B"/>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136"/>
    <w:rsid w:val="0091236C"/>
    <w:rsid w:val="0091248C"/>
    <w:rsid w:val="00912531"/>
    <w:rsid w:val="0091260E"/>
    <w:rsid w:val="00912B5D"/>
    <w:rsid w:val="0091308B"/>
    <w:rsid w:val="009130F7"/>
    <w:rsid w:val="0091328A"/>
    <w:rsid w:val="009134B0"/>
    <w:rsid w:val="00913D7E"/>
    <w:rsid w:val="00913F50"/>
    <w:rsid w:val="0091411F"/>
    <w:rsid w:val="009142D3"/>
    <w:rsid w:val="00914560"/>
    <w:rsid w:val="0091479E"/>
    <w:rsid w:val="0091488A"/>
    <w:rsid w:val="00914FB5"/>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1A46"/>
    <w:rsid w:val="0092206C"/>
    <w:rsid w:val="0092289A"/>
    <w:rsid w:val="00922A26"/>
    <w:rsid w:val="00922C2E"/>
    <w:rsid w:val="00922C86"/>
    <w:rsid w:val="00922ECC"/>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417"/>
    <w:rsid w:val="009254D0"/>
    <w:rsid w:val="00925504"/>
    <w:rsid w:val="00925934"/>
    <w:rsid w:val="009259A4"/>
    <w:rsid w:val="00925B75"/>
    <w:rsid w:val="00925D1A"/>
    <w:rsid w:val="00925D9D"/>
    <w:rsid w:val="00925F77"/>
    <w:rsid w:val="00926170"/>
    <w:rsid w:val="00926277"/>
    <w:rsid w:val="00926455"/>
    <w:rsid w:val="009264FE"/>
    <w:rsid w:val="00926571"/>
    <w:rsid w:val="00926909"/>
    <w:rsid w:val="00926B1A"/>
    <w:rsid w:val="00926CC1"/>
    <w:rsid w:val="0092708D"/>
    <w:rsid w:val="00927242"/>
    <w:rsid w:val="00927390"/>
    <w:rsid w:val="00927537"/>
    <w:rsid w:val="00927609"/>
    <w:rsid w:val="009277EF"/>
    <w:rsid w:val="00927807"/>
    <w:rsid w:val="00927E1E"/>
    <w:rsid w:val="0093062A"/>
    <w:rsid w:val="00930930"/>
    <w:rsid w:val="00930A91"/>
    <w:rsid w:val="00930B32"/>
    <w:rsid w:val="00930DBC"/>
    <w:rsid w:val="009313A6"/>
    <w:rsid w:val="00931934"/>
    <w:rsid w:val="00931B79"/>
    <w:rsid w:val="00931BBA"/>
    <w:rsid w:val="00931DD0"/>
    <w:rsid w:val="00931F23"/>
    <w:rsid w:val="0093201A"/>
    <w:rsid w:val="00932075"/>
    <w:rsid w:val="00932212"/>
    <w:rsid w:val="009322EB"/>
    <w:rsid w:val="0093236D"/>
    <w:rsid w:val="00932843"/>
    <w:rsid w:val="009328AE"/>
    <w:rsid w:val="00932A46"/>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B7D"/>
    <w:rsid w:val="00940BB3"/>
    <w:rsid w:val="00940C43"/>
    <w:rsid w:val="00940D34"/>
    <w:rsid w:val="00940FE1"/>
    <w:rsid w:val="00941086"/>
    <w:rsid w:val="00941287"/>
    <w:rsid w:val="009414FF"/>
    <w:rsid w:val="0094159B"/>
    <w:rsid w:val="009415C3"/>
    <w:rsid w:val="00941853"/>
    <w:rsid w:val="00941855"/>
    <w:rsid w:val="00941B35"/>
    <w:rsid w:val="00941E9D"/>
    <w:rsid w:val="00941F0F"/>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CC8"/>
    <w:rsid w:val="00946F82"/>
    <w:rsid w:val="0094757F"/>
    <w:rsid w:val="00947603"/>
    <w:rsid w:val="009476E1"/>
    <w:rsid w:val="009477DE"/>
    <w:rsid w:val="00947956"/>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66"/>
    <w:rsid w:val="00952A75"/>
    <w:rsid w:val="00952BDD"/>
    <w:rsid w:val="00952C40"/>
    <w:rsid w:val="00952E89"/>
    <w:rsid w:val="00952ECA"/>
    <w:rsid w:val="00953102"/>
    <w:rsid w:val="00953190"/>
    <w:rsid w:val="0095338B"/>
    <w:rsid w:val="00953AFA"/>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920"/>
    <w:rsid w:val="00957A8E"/>
    <w:rsid w:val="00957E6C"/>
    <w:rsid w:val="00960192"/>
    <w:rsid w:val="00960359"/>
    <w:rsid w:val="00960CD8"/>
    <w:rsid w:val="00960DAA"/>
    <w:rsid w:val="00960DF4"/>
    <w:rsid w:val="00960E84"/>
    <w:rsid w:val="00961274"/>
    <w:rsid w:val="009612D5"/>
    <w:rsid w:val="0096195C"/>
    <w:rsid w:val="00961962"/>
    <w:rsid w:val="00961B16"/>
    <w:rsid w:val="00961BBC"/>
    <w:rsid w:val="009622C1"/>
    <w:rsid w:val="0096262F"/>
    <w:rsid w:val="00962A6E"/>
    <w:rsid w:val="00962C18"/>
    <w:rsid w:val="00962D9E"/>
    <w:rsid w:val="00962DF3"/>
    <w:rsid w:val="00962ED2"/>
    <w:rsid w:val="00962F84"/>
    <w:rsid w:val="0096351B"/>
    <w:rsid w:val="0096394A"/>
    <w:rsid w:val="00963AC8"/>
    <w:rsid w:val="00963ACF"/>
    <w:rsid w:val="00963B00"/>
    <w:rsid w:val="00963C06"/>
    <w:rsid w:val="00964117"/>
    <w:rsid w:val="00964CA5"/>
    <w:rsid w:val="00964D0B"/>
    <w:rsid w:val="00964D7B"/>
    <w:rsid w:val="00964E58"/>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1"/>
    <w:rsid w:val="00973C7B"/>
    <w:rsid w:val="00973E7B"/>
    <w:rsid w:val="00974368"/>
    <w:rsid w:val="00974686"/>
    <w:rsid w:val="00974701"/>
    <w:rsid w:val="00974A6B"/>
    <w:rsid w:val="00974A8D"/>
    <w:rsid w:val="00974A96"/>
    <w:rsid w:val="00974C1F"/>
    <w:rsid w:val="00974D3E"/>
    <w:rsid w:val="00974D6B"/>
    <w:rsid w:val="00974E92"/>
    <w:rsid w:val="00974ED0"/>
    <w:rsid w:val="009755F2"/>
    <w:rsid w:val="00975632"/>
    <w:rsid w:val="00975912"/>
    <w:rsid w:val="009759FF"/>
    <w:rsid w:val="00975BE1"/>
    <w:rsid w:val="00975C75"/>
    <w:rsid w:val="00975D60"/>
    <w:rsid w:val="00975E33"/>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130"/>
    <w:rsid w:val="009814E6"/>
    <w:rsid w:val="009816AE"/>
    <w:rsid w:val="009816C0"/>
    <w:rsid w:val="00981A7A"/>
    <w:rsid w:val="00981EDD"/>
    <w:rsid w:val="00981FED"/>
    <w:rsid w:val="00982025"/>
    <w:rsid w:val="0098223C"/>
    <w:rsid w:val="009822CA"/>
    <w:rsid w:val="0098234D"/>
    <w:rsid w:val="00982366"/>
    <w:rsid w:val="0098236B"/>
    <w:rsid w:val="00982670"/>
    <w:rsid w:val="009827C5"/>
    <w:rsid w:val="00982C03"/>
    <w:rsid w:val="00982CDE"/>
    <w:rsid w:val="009835FE"/>
    <w:rsid w:val="00983668"/>
    <w:rsid w:val="0098373D"/>
    <w:rsid w:val="00983759"/>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C0F"/>
    <w:rsid w:val="00986E12"/>
    <w:rsid w:val="00986F77"/>
    <w:rsid w:val="009871A8"/>
    <w:rsid w:val="009871B6"/>
    <w:rsid w:val="00987314"/>
    <w:rsid w:val="009877B9"/>
    <w:rsid w:val="00987C20"/>
    <w:rsid w:val="00987D2A"/>
    <w:rsid w:val="00987D6B"/>
    <w:rsid w:val="009902BB"/>
    <w:rsid w:val="0099058E"/>
    <w:rsid w:val="00990603"/>
    <w:rsid w:val="009907B6"/>
    <w:rsid w:val="00990A92"/>
    <w:rsid w:val="00990F86"/>
    <w:rsid w:val="00990FC0"/>
    <w:rsid w:val="0099199D"/>
    <w:rsid w:val="00991E3D"/>
    <w:rsid w:val="00991E8D"/>
    <w:rsid w:val="009922DA"/>
    <w:rsid w:val="00992420"/>
    <w:rsid w:val="00992539"/>
    <w:rsid w:val="0099298A"/>
    <w:rsid w:val="00992AAA"/>
    <w:rsid w:val="00992F27"/>
    <w:rsid w:val="00992F94"/>
    <w:rsid w:val="009932A3"/>
    <w:rsid w:val="009934FA"/>
    <w:rsid w:val="0099368B"/>
    <w:rsid w:val="00993BA6"/>
    <w:rsid w:val="0099420F"/>
    <w:rsid w:val="00994A34"/>
    <w:rsid w:val="00994CD4"/>
    <w:rsid w:val="00994D4A"/>
    <w:rsid w:val="00994E17"/>
    <w:rsid w:val="00995051"/>
    <w:rsid w:val="009951C2"/>
    <w:rsid w:val="00995215"/>
    <w:rsid w:val="00995225"/>
    <w:rsid w:val="009953BE"/>
    <w:rsid w:val="009953E5"/>
    <w:rsid w:val="00995549"/>
    <w:rsid w:val="0099556B"/>
    <w:rsid w:val="0099561F"/>
    <w:rsid w:val="00995844"/>
    <w:rsid w:val="00995D73"/>
    <w:rsid w:val="00995DFC"/>
    <w:rsid w:val="00996650"/>
    <w:rsid w:val="00996696"/>
    <w:rsid w:val="00996F82"/>
    <w:rsid w:val="0099722C"/>
    <w:rsid w:val="00997718"/>
    <w:rsid w:val="00997C4E"/>
    <w:rsid w:val="00997D13"/>
    <w:rsid w:val="00997EA7"/>
    <w:rsid w:val="00997FA3"/>
    <w:rsid w:val="00997FD2"/>
    <w:rsid w:val="009A018F"/>
    <w:rsid w:val="009A087B"/>
    <w:rsid w:val="009A08C3"/>
    <w:rsid w:val="009A0BCE"/>
    <w:rsid w:val="009A1055"/>
    <w:rsid w:val="009A108D"/>
    <w:rsid w:val="009A11EA"/>
    <w:rsid w:val="009A1570"/>
    <w:rsid w:val="009A1680"/>
    <w:rsid w:val="009A185F"/>
    <w:rsid w:val="009A18B0"/>
    <w:rsid w:val="009A2047"/>
    <w:rsid w:val="009A22AB"/>
    <w:rsid w:val="009A2343"/>
    <w:rsid w:val="009A244B"/>
    <w:rsid w:val="009A281C"/>
    <w:rsid w:val="009A2A06"/>
    <w:rsid w:val="009A2AB5"/>
    <w:rsid w:val="009A2FC9"/>
    <w:rsid w:val="009A3282"/>
    <w:rsid w:val="009A33E2"/>
    <w:rsid w:val="009A348E"/>
    <w:rsid w:val="009A3AE5"/>
    <w:rsid w:val="009A3B06"/>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367"/>
    <w:rsid w:val="009B06A9"/>
    <w:rsid w:val="009B0712"/>
    <w:rsid w:val="009B0880"/>
    <w:rsid w:val="009B0A3F"/>
    <w:rsid w:val="009B0DA4"/>
    <w:rsid w:val="009B0DEA"/>
    <w:rsid w:val="009B179D"/>
    <w:rsid w:val="009B2399"/>
    <w:rsid w:val="009B253B"/>
    <w:rsid w:val="009B2569"/>
    <w:rsid w:val="009B27A1"/>
    <w:rsid w:val="009B27CD"/>
    <w:rsid w:val="009B2931"/>
    <w:rsid w:val="009B2DA4"/>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8C3"/>
    <w:rsid w:val="009B796B"/>
    <w:rsid w:val="009B7D1C"/>
    <w:rsid w:val="009C04C9"/>
    <w:rsid w:val="009C0542"/>
    <w:rsid w:val="009C081F"/>
    <w:rsid w:val="009C0BFF"/>
    <w:rsid w:val="009C0CF5"/>
    <w:rsid w:val="009C0E0B"/>
    <w:rsid w:val="009C10B9"/>
    <w:rsid w:val="009C135F"/>
    <w:rsid w:val="009C1749"/>
    <w:rsid w:val="009C24DD"/>
    <w:rsid w:val="009C25E4"/>
    <w:rsid w:val="009C2D76"/>
    <w:rsid w:val="009C3418"/>
    <w:rsid w:val="009C3C0F"/>
    <w:rsid w:val="009C3F12"/>
    <w:rsid w:val="009C3FC3"/>
    <w:rsid w:val="009C402A"/>
    <w:rsid w:val="009C413F"/>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315"/>
    <w:rsid w:val="009C765D"/>
    <w:rsid w:val="009C770D"/>
    <w:rsid w:val="009C7F0B"/>
    <w:rsid w:val="009D05A3"/>
    <w:rsid w:val="009D096A"/>
    <w:rsid w:val="009D0A96"/>
    <w:rsid w:val="009D0BDB"/>
    <w:rsid w:val="009D0EA0"/>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02B"/>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0B4"/>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830"/>
    <w:rsid w:val="009E5A50"/>
    <w:rsid w:val="009E5A57"/>
    <w:rsid w:val="009E5A66"/>
    <w:rsid w:val="009E5CED"/>
    <w:rsid w:val="009E5ED6"/>
    <w:rsid w:val="009E61BF"/>
    <w:rsid w:val="009E678D"/>
    <w:rsid w:val="009E6DBB"/>
    <w:rsid w:val="009E6F2D"/>
    <w:rsid w:val="009E7112"/>
    <w:rsid w:val="009E7653"/>
    <w:rsid w:val="009E76E0"/>
    <w:rsid w:val="009E78C2"/>
    <w:rsid w:val="009E7BCA"/>
    <w:rsid w:val="009E7C67"/>
    <w:rsid w:val="009F0091"/>
    <w:rsid w:val="009F00B2"/>
    <w:rsid w:val="009F0150"/>
    <w:rsid w:val="009F017B"/>
    <w:rsid w:val="009F01BA"/>
    <w:rsid w:val="009F0320"/>
    <w:rsid w:val="009F074A"/>
    <w:rsid w:val="009F080A"/>
    <w:rsid w:val="009F0AA2"/>
    <w:rsid w:val="009F0B9A"/>
    <w:rsid w:val="009F0C20"/>
    <w:rsid w:val="009F0F08"/>
    <w:rsid w:val="009F122E"/>
    <w:rsid w:val="009F13E1"/>
    <w:rsid w:val="009F13E9"/>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1BB"/>
    <w:rsid w:val="009F5406"/>
    <w:rsid w:val="009F54CE"/>
    <w:rsid w:val="009F5584"/>
    <w:rsid w:val="009F5681"/>
    <w:rsid w:val="009F59D6"/>
    <w:rsid w:val="009F5B09"/>
    <w:rsid w:val="009F5BDE"/>
    <w:rsid w:val="009F5C6D"/>
    <w:rsid w:val="009F5EDD"/>
    <w:rsid w:val="009F634B"/>
    <w:rsid w:val="009F6672"/>
    <w:rsid w:val="009F66E7"/>
    <w:rsid w:val="009F6AA2"/>
    <w:rsid w:val="009F6AA4"/>
    <w:rsid w:val="009F6B09"/>
    <w:rsid w:val="009F7194"/>
    <w:rsid w:val="009F7208"/>
    <w:rsid w:val="009F72F7"/>
    <w:rsid w:val="009F734C"/>
    <w:rsid w:val="009F73FA"/>
    <w:rsid w:val="009F7495"/>
    <w:rsid w:val="009F76AD"/>
    <w:rsid w:val="009F7836"/>
    <w:rsid w:val="009F7C3D"/>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69E"/>
    <w:rsid w:val="00A01B34"/>
    <w:rsid w:val="00A01D38"/>
    <w:rsid w:val="00A020F8"/>
    <w:rsid w:val="00A021B3"/>
    <w:rsid w:val="00A0258B"/>
    <w:rsid w:val="00A02663"/>
    <w:rsid w:val="00A026BA"/>
    <w:rsid w:val="00A02BB7"/>
    <w:rsid w:val="00A03041"/>
    <w:rsid w:val="00A031C5"/>
    <w:rsid w:val="00A03418"/>
    <w:rsid w:val="00A0367F"/>
    <w:rsid w:val="00A03AD9"/>
    <w:rsid w:val="00A03BCC"/>
    <w:rsid w:val="00A0401E"/>
    <w:rsid w:val="00A04791"/>
    <w:rsid w:val="00A049B0"/>
    <w:rsid w:val="00A04A8D"/>
    <w:rsid w:val="00A04E0B"/>
    <w:rsid w:val="00A04E13"/>
    <w:rsid w:val="00A051C2"/>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C15"/>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B86"/>
    <w:rsid w:val="00A12BFA"/>
    <w:rsid w:val="00A12F48"/>
    <w:rsid w:val="00A139D6"/>
    <w:rsid w:val="00A13AD3"/>
    <w:rsid w:val="00A13D35"/>
    <w:rsid w:val="00A13D6F"/>
    <w:rsid w:val="00A13E0E"/>
    <w:rsid w:val="00A13F7D"/>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29B"/>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CE6"/>
    <w:rsid w:val="00A22DDB"/>
    <w:rsid w:val="00A22E3A"/>
    <w:rsid w:val="00A22E6B"/>
    <w:rsid w:val="00A22F9F"/>
    <w:rsid w:val="00A22FC0"/>
    <w:rsid w:val="00A23B6B"/>
    <w:rsid w:val="00A23DAD"/>
    <w:rsid w:val="00A24114"/>
    <w:rsid w:val="00A24286"/>
    <w:rsid w:val="00A2433E"/>
    <w:rsid w:val="00A24A01"/>
    <w:rsid w:val="00A24B06"/>
    <w:rsid w:val="00A24B7D"/>
    <w:rsid w:val="00A24ECF"/>
    <w:rsid w:val="00A252A8"/>
    <w:rsid w:val="00A252F7"/>
    <w:rsid w:val="00A25532"/>
    <w:rsid w:val="00A25A8E"/>
    <w:rsid w:val="00A25AAC"/>
    <w:rsid w:val="00A25AFA"/>
    <w:rsid w:val="00A25C1D"/>
    <w:rsid w:val="00A25CBD"/>
    <w:rsid w:val="00A25F01"/>
    <w:rsid w:val="00A26207"/>
    <w:rsid w:val="00A265A9"/>
    <w:rsid w:val="00A267CB"/>
    <w:rsid w:val="00A26926"/>
    <w:rsid w:val="00A26A8E"/>
    <w:rsid w:val="00A26CD2"/>
    <w:rsid w:val="00A26D3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29BD"/>
    <w:rsid w:val="00A32C92"/>
    <w:rsid w:val="00A32CF1"/>
    <w:rsid w:val="00A333DD"/>
    <w:rsid w:val="00A33474"/>
    <w:rsid w:val="00A33C51"/>
    <w:rsid w:val="00A33C84"/>
    <w:rsid w:val="00A33C99"/>
    <w:rsid w:val="00A33FE3"/>
    <w:rsid w:val="00A3432A"/>
    <w:rsid w:val="00A3475E"/>
    <w:rsid w:val="00A34A5C"/>
    <w:rsid w:val="00A34B3D"/>
    <w:rsid w:val="00A35380"/>
    <w:rsid w:val="00A3548B"/>
    <w:rsid w:val="00A3563D"/>
    <w:rsid w:val="00A35779"/>
    <w:rsid w:val="00A35A4C"/>
    <w:rsid w:val="00A35B48"/>
    <w:rsid w:val="00A35C6E"/>
    <w:rsid w:val="00A35CDD"/>
    <w:rsid w:val="00A35F1C"/>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47F95"/>
    <w:rsid w:val="00A50038"/>
    <w:rsid w:val="00A500D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79F"/>
    <w:rsid w:val="00A528E4"/>
    <w:rsid w:val="00A5295D"/>
    <w:rsid w:val="00A52A4F"/>
    <w:rsid w:val="00A52A84"/>
    <w:rsid w:val="00A52A9B"/>
    <w:rsid w:val="00A52AE5"/>
    <w:rsid w:val="00A52AF3"/>
    <w:rsid w:val="00A52BF7"/>
    <w:rsid w:val="00A52D32"/>
    <w:rsid w:val="00A52DC6"/>
    <w:rsid w:val="00A52E47"/>
    <w:rsid w:val="00A52F3C"/>
    <w:rsid w:val="00A5329A"/>
    <w:rsid w:val="00A534D5"/>
    <w:rsid w:val="00A538D9"/>
    <w:rsid w:val="00A53C15"/>
    <w:rsid w:val="00A53C6B"/>
    <w:rsid w:val="00A53CA8"/>
    <w:rsid w:val="00A53ED2"/>
    <w:rsid w:val="00A5407B"/>
    <w:rsid w:val="00A54335"/>
    <w:rsid w:val="00A54744"/>
    <w:rsid w:val="00A54A2B"/>
    <w:rsid w:val="00A54D1B"/>
    <w:rsid w:val="00A55024"/>
    <w:rsid w:val="00A55274"/>
    <w:rsid w:val="00A55448"/>
    <w:rsid w:val="00A554FF"/>
    <w:rsid w:val="00A5571C"/>
    <w:rsid w:val="00A55980"/>
    <w:rsid w:val="00A55A02"/>
    <w:rsid w:val="00A55A76"/>
    <w:rsid w:val="00A55B85"/>
    <w:rsid w:val="00A5660F"/>
    <w:rsid w:val="00A567B1"/>
    <w:rsid w:val="00A56C53"/>
    <w:rsid w:val="00A56CAE"/>
    <w:rsid w:val="00A56D13"/>
    <w:rsid w:val="00A56DB6"/>
    <w:rsid w:val="00A56E6A"/>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601"/>
    <w:rsid w:val="00A627DB"/>
    <w:rsid w:val="00A62856"/>
    <w:rsid w:val="00A62924"/>
    <w:rsid w:val="00A62B8C"/>
    <w:rsid w:val="00A62DFD"/>
    <w:rsid w:val="00A62F85"/>
    <w:rsid w:val="00A630B1"/>
    <w:rsid w:val="00A631CD"/>
    <w:rsid w:val="00A638CC"/>
    <w:rsid w:val="00A63ACB"/>
    <w:rsid w:val="00A63F72"/>
    <w:rsid w:val="00A641AB"/>
    <w:rsid w:val="00A64410"/>
    <w:rsid w:val="00A644DD"/>
    <w:rsid w:val="00A6465F"/>
    <w:rsid w:val="00A64699"/>
    <w:rsid w:val="00A64948"/>
    <w:rsid w:val="00A64F89"/>
    <w:rsid w:val="00A64FD2"/>
    <w:rsid w:val="00A6507C"/>
    <w:rsid w:val="00A65201"/>
    <w:rsid w:val="00A6530E"/>
    <w:rsid w:val="00A6536B"/>
    <w:rsid w:val="00A653DB"/>
    <w:rsid w:val="00A65581"/>
    <w:rsid w:val="00A65778"/>
    <w:rsid w:val="00A66018"/>
    <w:rsid w:val="00A6632A"/>
    <w:rsid w:val="00A664F0"/>
    <w:rsid w:val="00A6689C"/>
    <w:rsid w:val="00A6693C"/>
    <w:rsid w:val="00A673E0"/>
    <w:rsid w:val="00A67409"/>
    <w:rsid w:val="00A6797D"/>
    <w:rsid w:val="00A67B10"/>
    <w:rsid w:val="00A67D73"/>
    <w:rsid w:val="00A7001E"/>
    <w:rsid w:val="00A7050B"/>
    <w:rsid w:val="00A70649"/>
    <w:rsid w:val="00A7073B"/>
    <w:rsid w:val="00A70754"/>
    <w:rsid w:val="00A707A9"/>
    <w:rsid w:val="00A709CD"/>
    <w:rsid w:val="00A70CD0"/>
    <w:rsid w:val="00A70DA8"/>
    <w:rsid w:val="00A70DD6"/>
    <w:rsid w:val="00A71264"/>
    <w:rsid w:val="00A713D5"/>
    <w:rsid w:val="00A718AC"/>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C3"/>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B5C"/>
    <w:rsid w:val="00A76C73"/>
    <w:rsid w:val="00A77372"/>
    <w:rsid w:val="00A774FE"/>
    <w:rsid w:val="00A77638"/>
    <w:rsid w:val="00A776F7"/>
    <w:rsid w:val="00A778A4"/>
    <w:rsid w:val="00A779E9"/>
    <w:rsid w:val="00A77D76"/>
    <w:rsid w:val="00A77EEE"/>
    <w:rsid w:val="00A77EFF"/>
    <w:rsid w:val="00A80018"/>
    <w:rsid w:val="00A8006E"/>
    <w:rsid w:val="00A802B3"/>
    <w:rsid w:val="00A802F4"/>
    <w:rsid w:val="00A805F5"/>
    <w:rsid w:val="00A80673"/>
    <w:rsid w:val="00A807D4"/>
    <w:rsid w:val="00A808C9"/>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368"/>
    <w:rsid w:val="00A83457"/>
    <w:rsid w:val="00A834E1"/>
    <w:rsid w:val="00A83828"/>
    <w:rsid w:val="00A83BFF"/>
    <w:rsid w:val="00A83EFE"/>
    <w:rsid w:val="00A83F7B"/>
    <w:rsid w:val="00A840E5"/>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AD2"/>
    <w:rsid w:val="00A87D3D"/>
    <w:rsid w:val="00A87FF3"/>
    <w:rsid w:val="00A9062D"/>
    <w:rsid w:val="00A90988"/>
    <w:rsid w:val="00A90A7B"/>
    <w:rsid w:val="00A90CB4"/>
    <w:rsid w:val="00A90E04"/>
    <w:rsid w:val="00A91125"/>
    <w:rsid w:val="00A919A7"/>
    <w:rsid w:val="00A91BB9"/>
    <w:rsid w:val="00A91F7F"/>
    <w:rsid w:val="00A91FC6"/>
    <w:rsid w:val="00A92045"/>
    <w:rsid w:val="00A92057"/>
    <w:rsid w:val="00A92265"/>
    <w:rsid w:val="00A9230A"/>
    <w:rsid w:val="00A92861"/>
    <w:rsid w:val="00A928B9"/>
    <w:rsid w:val="00A929C1"/>
    <w:rsid w:val="00A934AA"/>
    <w:rsid w:val="00A93605"/>
    <w:rsid w:val="00A936C0"/>
    <w:rsid w:val="00A9372C"/>
    <w:rsid w:val="00A93954"/>
    <w:rsid w:val="00A93B14"/>
    <w:rsid w:val="00A93D81"/>
    <w:rsid w:val="00A93D8E"/>
    <w:rsid w:val="00A93DFD"/>
    <w:rsid w:val="00A94125"/>
    <w:rsid w:val="00A9448C"/>
    <w:rsid w:val="00A94CDC"/>
    <w:rsid w:val="00A94D74"/>
    <w:rsid w:val="00A95011"/>
    <w:rsid w:val="00A95394"/>
    <w:rsid w:val="00A9541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023"/>
    <w:rsid w:val="00AA0168"/>
    <w:rsid w:val="00AA045B"/>
    <w:rsid w:val="00AA0470"/>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8DB"/>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87A"/>
    <w:rsid w:val="00AA6A0A"/>
    <w:rsid w:val="00AA6B85"/>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0B51"/>
    <w:rsid w:val="00AB166F"/>
    <w:rsid w:val="00AB17E5"/>
    <w:rsid w:val="00AB1936"/>
    <w:rsid w:val="00AB1A01"/>
    <w:rsid w:val="00AB1A1F"/>
    <w:rsid w:val="00AB1BAB"/>
    <w:rsid w:val="00AB1C23"/>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9B5"/>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F0"/>
    <w:rsid w:val="00AC3F36"/>
    <w:rsid w:val="00AC416D"/>
    <w:rsid w:val="00AC43D5"/>
    <w:rsid w:val="00AC4587"/>
    <w:rsid w:val="00AC4626"/>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19E6"/>
    <w:rsid w:val="00AD2708"/>
    <w:rsid w:val="00AD276E"/>
    <w:rsid w:val="00AD2816"/>
    <w:rsid w:val="00AD2820"/>
    <w:rsid w:val="00AD2967"/>
    <w:rsid w:val="00AD2B19"/>
    <w:rsid w:val="00AD2D76"/>
    <w:rsid w:val="00AD2F2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5F64"/>
    <w:rsid w:val="00AD604B"/>
    <w:rsid w:val="00AD62BC"/>
    <w:rsid w:val="00AD6301"/>
    <w:rsid w:val="00AD65EE"/>
    <w:rsid w:val="00AD6621"/>
    <w:rsid w:val="00AD6748"/>
    <w:rsid w:val="00AD674F"/>
    <w:rsid w:val="00AD6788"/>
    <w:rsid w:val="00AD6B82"/>
    <w:rsid w:val="00AD6C27"/>
    <w:rsid w:val="00AD6CB3"/>
    <w:rsid w:val="00AD6D69"/>
    <w:rsid w:val="00AD724A"/>
    <w:rsid w:val="00AD7695"/>
    <w:rsid w:val="00AD7A96"/>
    <w:rsid w:val="00AD7AF3"/>
    <w:rsid w:val="00AD7E14"/>
    <w:rsid w:val="00AE00C5"/>
    <w:rsid w:val="00AE01B2"/>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1CED"/>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5AE"/>
    <w:rsid w:val="00AE36D0"/>
    <w:rsid w:val="00AE3EB0"/>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4C8"/>
    <w:rsid w:val="00AE7634"/>
    <w:rsid w:val="00AE7838"/>
    <w:rsid w:val="00AE78B1"/>
    <w:rsid w:val="00AE7A9E"/>
    <w:rsid w:val="00AE7BDF"/>
    <w:rsid w:val="00AF011C"/>
    <w:rsid w:val="00AF0729"/>
    <w:rsid w:val="00AF0910"/>
    <w:rsid w:val="00AF0AD9"/>
    <w:rsid w:val="00AF0F20"/>
    <w:rsid w:val="00AF127E"/>
    <w:rsid w:val="00AF1714"/>
    <w:rsid w:val="00AF1822"/>
    <w:rsid w:val="00AF1CEA"/>
    <w:rsid w:val="00AF1D10"/>
    <w:rsid w:val="00AF1F6E"/>
    <w:rsid w:val="00AF2329"/>
    <w:rsid w:val="00AF239B"/>
    <w:rsid w:val="00AF23A3"/>
    <w:rsid w:val="00AF2490"/>
    <w:rsid w:val="00AF25A3"/>
    <w:rsid w:val="00AF26E7"/>
    <w:rsid w:val="00AF278D"/>
    <w:rsid w:val="00AF2CF6"/>
    <w:rsid w:val="00AF346F"/>
    <w:rsid w:val="00AF3659"/>
    <w:rsid w:val="00AF36B0"/>
    <w:rsid w:val="00AF37D8"/>
    <w:rsid w:val="00AF39CF"/>
    <w:rsid w:val="00AF3AEF"/>
    <w:rsid w:val="00AF3B5A"/>
    <w:rsid w:val="00AF3CA2"/>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AB"/>
    <w:rsid w:val="00AF5707"/>
    <w:rsid w:val="00AF5979"/>
    <w:rsid w:val="00AF5E12"/>
    <w:rsid w:val="00AF5ED1"/>
    <w:rsid w:val="00AF61B2"/>
    <w:rsid w:val="00AF64BB"/>
    <w:rsid w:val="00AF672B"/>
    <w:rsid w:val="00AF7207"/>
    <w:rsid w:val="00AF7444"/>
    <w:rsid w:val="00AF7472"/>
    <w:rsid w:val="00AF7621"/>
    <w:rsid w:val="00AF780B"/>
    <w:rsid w:val="00AF7CC8"/>
    <w:rsid w:val="00AF7F94"/>
    <w:rsid w:val="00B00060"/>
    <w:rsid w:val="00B001AB"/>
    <w:rsid w:val="00B001BE"/>
    <w:rsid w:val="00B0021C"/>
    <w:rsid w:val="00B003A8"/>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AD2"/>
    <w:rsid w:val="00B03D51"/>
    <w:rsid w:val="00B04028"/>
    <w:rsid w:val="00B0453E"/>
    <w:rsid w:val="00B0454A"/>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6B9D"/>
    <w:rsid w:val="00B0722E"/>
    <w:rsid w:val="00B077DA"/>
    <w:rsid w:val="00B07A6E"/>
    <w:rsid w:val="00B07E23"/>
    <w:rsid w:val="00B1032C"/>
    <w:rsid w:val="00B10727"/>
    <w:rsid w:val="00B10858"/>
    <w:rsid w:val="00B108F4"/>
    <w:rsid w:val="00B10B17"/>
    <w:rsid w:val="00B10BEE"/>
    <w:rsid w:val="00B10C68"/>
    <w:rsid w:val="00B10D36"/>
    <w:rsid w:val="00B10F5C"/>
    <w:rsid w:val="00B10FF1"/>
    <w:rsid w:val="00B11601"/>
    <w:rsid w:val="00B11C31"/>
    <w:rsid w:val="00B11FE4"/>
    <w:rsid w:val="00B1210A"/>
    <w:rsid w:val="00B1226F"/>
    <w:rsid w:val="00B12467"/>
    <w:rsid w:val="00B12485"/>
    <w:rsid w:val="00B124A6"/>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1FF"/>
    <w:rsid w:val="00B17323"/>
    <w:rsid w:val="00B174B2"/>
    <w:rsid w:val="00B17618"/>
    <w:rsid w:val="00B17A9B"/>
    <w:rsid w:val="00B2013C"/>
    <w:rsid w:val="00B205F9"/>
    <w:rsid w:val="00B207A5"/>
    <w:rsid w:val="00B207DE"/>
    <w:rsid w:val="00B20838"/>
    <w:rsid w:val="00B20C65"/>
    <w:rsid w:val="00B20D8F"/>
    <w:rsid w:val="00B21020"/>
    <w:rsid w:val="00B210AD"/>
    <w:rsid w:val="00B2111A"/>
    <w:rsid w:val="00B2125D"/>
    <w:rsid w:val="00B213C5"/>
    <w:rsid w:val="00B2174F"/>
    <w:rsid w:val="00B2180A"/>
    <w:rsid w:val="00B218D7"/>
    <w:rsid w:val="00B21AE1"/>
    <w:rsid w:val="00B21D19"/>
    <w:rsid w:val="00B21E7E"/>
    <w:rsid w:val="00B220F0"/>
    <w:rsid w:val="00B221AE"/>
    <w:rsid w:val="00B2269E"/>
    <w:rsid w:val="00B23247"/>
    <w:rsid w:val="00B2372A"/>
    <w:rsid w:val="00B23971"/>
    <w:rsid w:val="00B23D79"/>
    <w:rsid w:val="00B24272"/>
    <w:rsid w:val="00B24275"/>
    <w:rsid w:val="00B243FC"/>
    <w:rsid w:val="00B2444F"/>
    <w:rsid w:val="00B245F3"/>
    <w:rsid w:val="00B247B9"/>
    <w:rsid w:val="00B24D5E"/>
    <w:rsid w:val="00B25123"/>
    <w:rsid w:val="00B25138"/>
    <w:rsid w:val="00B25234"/>
    <w:rsid w:val="00B2530C"/>
    <w:rsid w:val="00B2560B"/>
    <w:rsid w:val="00B2569A"/>
    <w:rsid w:val="00B257D6"/>
    <w:rsid w:val="00B25DC8"/>
    <w:rsid w:val="00B25F2A"/>
    <w:rsid w:val="00B26244"/>
    <w:rsid w:val="00B263C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450"/>
    <w:rsid w:val="00B3062E"/>
    <w:rsid w:val="00B30725"/>
    <w:rsid w:val="00B30752"/>
    <w:rsid w:val="00B30E13"/>
    <w:rsid w:val="00B30E93"/>
    <w:rsid w:val="00B30EE0"/>
    <w:rsid w:val="00B30F98"/>
    <w:rsid w:val="00B31187"/>
    <w:rsid w:val="00B313D8"/>
    <w:rsid w:val="00B31902"/>
    <w:rsid w:val="00B31A56"/>
    <w:rsid w:val="00B31A7D"/>
    <w:rsid w:val="00B31AA2"/>
    <w:rsid w:val="00B31C3F"/>
    <w:rsid w:val="00B31DF6"/>
    <w:rsid w:val="00B31EB9"/>
    <w:rsid w:val="00B32685"/>
    <w:rsid w:val="00B32A01"/>
    <w:rsid w:val="00B32D08"/>
    <w:rsid w:val="00B33613"/>
    <w:rsid w:val="00B3365E"/>
    <w:rsid w:val="00B33759"/>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1445"/>
    <w:rsid w:val="00B417BE"/>
    <w:rsid w:val="00B41843"/>
    <w:rsid w:val="00B41B8D"/>
    <w:rsid w:val="00B425C4"/>
    <w:rsid w:val="00B426F9"/>
    <w:rsid w:val="00B428B7"/>
    <w:rsid w:val="00B428E3"/>
    <w:rsid w:val="00B42B13"/>
    <w:rsid w:val="00B4371B"/>
    <w:rsid w:val="00B43B9F"/>
    <w:rsid w:val="00B43BF6"/>
    <w:rsid w:val="00B43C3E"/>
    <w:rsid w:val="00B43CE7"/>
    <w:rsid w:val="00B43E5E"/>
    <w:rsid w:val="00B43F03"/>
    <w:rsid w:val="00B4425B"/>
    <w:rsid w:val="00B445E3"/>
    <w:rsid w:val="00B44D19"/>
    <w:rsid w:val="00B44D3B"/>
    <w:rsid w:val="00B4500A"/>
    <w:rsid w:val="00B4514A"/>
    <w:rsid w:val="00B45412"/>
    <w:rsid w:val="00B455C7"/>
    <w:rsid w:val="00B4580E"/>
    <w:rsid w:val="00B4598E"/>
    <w:rsid w:val="00B45A33"/>
    <w:rsid w:val="00B45A7E"/>
    <w:rsid w:val="00B45C97"/>
    <w:rsid w:val="00B45E73"/>
    <w:rsid w:val="00B4623A"/>
    <w:rsid w:val="00B462EF"/>
    <w:rsid w:val="00B464A8"/>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A00"/>
    <w:rsid w:val="00B50D45"/>
    <w:rsid w:val="00B50DB7"/>
    <w:rsid w:val="00B51657"/>
    <w:rsid w:val="00B519B1"/>
    <w:rsid w:val="00B51E51"/>
    <w:rsid w:val="00B52220"/>
    <w:rsid w:val="00B523BA"/>
    <w:rsid w:val="00B526A1"/>
    <w:rsid w:val="00B527A7"/>
    <w:rsid w:val="00B52932"/>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7288"/>
    <w:rsid w:val="00B57566"/>
    <w:rsid w:val="00B5785A"/>
    <w:rsid w:val="00B57888"/>
    <w:rsid w:val="00B5789E"/>
    <w:rsid w:val="00B578C7"/>
    <w:rsid w:val="00B57C19"/>
    <w:rsid w:val="00B57CD6"/>
    <w:rsid w:val="00B57DA1"/>
    <w:rsid w:val="00B57DFA"/>
    <w:rsid w:val="00B57FB9"/>
    <w:rsid w:val="00B60077"/>
    <w:rsid w:val="00B601D0"/>
    <w:rsid w:val="00B6037A"/>
    <w:rsid w:val="00B60F26"/>
    <w:rsid w:val="00B614CB"/>
    <w:rsid w:val="00B61935"/>
    <w:rsid w:val="00B61A21"/>
    <w:rsid w:val="00B61B8D"/>
    <w:rsid w:val="00B61E08"/>
    <w:rsid w:val="00B62173"/>
    <w:rsid w:val="00B621AC"/>
    <w:rsid w:val="00B62363"/>
    <w:rsid w:val="00B624E0"/>
    <w:rsid w:val="00B6256C"/>
    <w:rsid w:val="00B6297E"/>
    <w:rsid w:val="00B62990"/>
    <w:rsid w:val="00B629F2"/>
    <w:rsid w:val="00B62B14"/>
    <w:rsid w:val="00B62F13"/>
    <w:rsid w:val="00B63319"/>
    <w:rsid w:val="00B6343E"/>
    <w:rsid w:val="00B637BC"/>
    <w:rsid w:val="00B638FC"/>
    <w:rsid w:val="00B63F61"/>
    <w:rsid w:val="00B641C9"/>
    <w:rsid w:val="00B64207"/>
    <w:rsid w:val="00B64273"/>
    <w:rsid w:val="00B642D7"/>
    <w:rsid w:val="00B6461B"/>
    <w:rsid w:val="00B646A5"/>
    <w:rsid w:val="00B646AD"/>
    <w:rsid w:val="00B646E7"/>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6FB7"/>
    <w:rsid w:val="00B67248"/>
    <w:rsid w:val="00B673BC"/>
    <w:rsid w:val="00B673E1"/>
    <w:rsid w:val="00B67967"/>
    <w:rsid w:val="00B67CA3"/>
    <w:rsid w:val="00B67D68"/>
    <w:rsid w:val="00B67DAA"/>
    <w:rsid w:val="00B67E06"/>
    <w:rsid w:val="00B70921"/>
    <w:rsid w:val="00B70971"/>
    <w:rsid w:val="00B70A2E"/>
    <w:rsid w:val="00B70A5D"/>
    <w:rsid w:val="00B70D7A"/>
    <w:rsid w:val="00B70DD5"/>
    <w:rsid w:val="00B70FD9"/>
    <w:rsid w:val="00B71009"/>
    <w:rsid w:val="00B71255"/>
    <w:rsid w:val="00B712CA"/>
    <w:rsid w:val="00B71348"/>
    <w:rsid w:val="00B71380"/>
    <w:rsid w:val="00B7154F"/>
    <w:rsid w:val="00B717E2"/>
    <w:rsid w:val="00B718B6"/>
    <w:rsid w:val="00B71B19"/>
    <w:rsid w:val="00B72061"/>
    <w:rsid w:val="00B72143"/>
    <w:rsid w:val="00B722B8"/>
    <w:rsid w:val="00B7266B"/>
    <w:rsid w:val="00B727CA"/>
    <w:rsid w:val="00B732A1"/>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10D"/>
    <w:rsid w:val="00B81381"/>
    <w:rsid w:val="00B813CD"/>
    <w:rsid w:val="00B81713"/>
    <w:rsid w:val="00B81782"/>
    <w:rsid w:val="00B8182D"/>
    <w:rsid w:val="00B81869"/>
    <w:rsid w:val="00B8194F"/>
    <w:rsid w:val="00B81B1D"/>
    <w:rsid w:val="00B81EEC"/>
    <w:rsid w:val="00B81FF3"/>
    <w:rsid w:val="00B8205E"/>
    <w:rsid w:val="00B822CC"/>
    <w:rsid w:val="00B827DB"/>
    <w:rsid w:val="00B82A62"/>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AF"/>
    <w:rsid w:val="00B850BA"/>
    <w:rsid w:val="00B85146"/>
    <w:rsid w:val="00B85646"/>
    <w:rsid w:val="00B85673"/>
    <w:rsid w:val="00B85774"/>
    <w:rsid w:val="00B8577B"/>
    <w:rsid w:val="00B858C8"/>
    <w:rsid w:val="00B859D4"/>
    <w:rsid w:val="00B85CC6"/>
    <w:rsid w:val="00B85F4A"/>
    <w:rsid w:val="00B862C6"/>
    <w:rsid w:val="00B8632C"/>
    <w:rsid w:val="00B86391"/>
    <w:rsid w:val="00B869EA"/>
    <w:rsid w:val="00B86B00"/>
    <w:rsid w:val="00B870F8"/>
    <w:rsid w:val="00B87573"/>
    <w:rsid w:val="00B8772B"/>
    <w:rsid w:val="00B87781"/>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2AA"/>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1FE3"/>
    <w:rsid w:val="00BA20FA"/>
    <w:rsid w:val="00BA214C"/>
    <w:rsid w:val="00BA222D"/>
    <w:rsid w:val="00BA22B5"/>
    <w:rsid w:val="00BA2495"/>
    <w:rsid w:val="00BA25E3"/>
    <w:rsid w:val="00BA2774"/>
    <w:rsid w:val="00BA2A55"/>
    <w:rsid w:val="00BA2ADA"/>
    <w:rsid w:val="00BA2AF1"/>
    <w:rsid w:val="00BA2B3F"/>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A18"/>
    <w:rsid w:val="00BA5D25"/>
    <w:rsid w:val="00BA5D72"/>
    <w:rsid w:val="00BA5DE2"/>
    <w:rsid w:val="00BA5E3C"/>
    <w:rsid w:val="00BA601B"/>
    <w:rsid w:val="00BA641D"/>
    <w:rsid w:val="00BA662F"/>
    <w:rsid w:val="00BA66D5"/>
    <w:rsid w:val="00BA67C8"/>
    <w:rsid w:val="00BA6B44"/>
    <w:rsid w:val="00BA6C73"/>
    <w:rsid w:val="00BA6D58"/>
    <w:rsid w:val="00BA72CD"/>
    <w:rsid w:val="00BA7423"/>
    <w:rsid w:val="00BA7728"/>
    <w:rsid w:val="00BA789E"/>
    <w:rsid w:val="00BA790F"/>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AA0"/>
    <w:rsid w:val="00BB1C9C"/>
    <w:rsid w:val="00BB1E07"/>
    <w:rsid w:val="00BB201D"/>
    <w:rsid w:val="00BB230B"/>
    <w:rsid w:val="00BB24E4"/>
    <w:rsid w:val="00BB2FE5"/>
    <w:rsid w:val="00BB317C"/>
    <w:rsid w:val="00BB3379"/>
    <w:rsid w:val="00BB349F"/>
    <w:rsid w:val="00BB36B8"/>
    <w:rsid w:val="00BB37C3"/>
    <w:rsid w:val="00BB37F6"/>
    <w:rsid w:val="00BB3A60"/>
    <w:rsid w:val="00BB3E01"/>
    <w:rsid w:val="00BB3E70"/>
    <w:rsid w:val="00BB4220"/>
    <w:rsid w:val="00BB4283"/>
    <w:rsid w:val="00BB4471"/>
    <w:rsid w:val="00BB45B6"/>
    <w:rsid w:val="00BB45DD"/>
    <w:rsid w:val="00BB4613"/>
    <w:rsid w:val="00BB4635"/>
    <w:rsid w:val="00BB4817"/>
    <w:rsid w:val="00BB4B26"/>
    <w:rsid w:val="00BB4C96"/>
    <w:rsid w:val="00BB4CD8"/>
    <w:rsid w:val="00BB4D70"/>
    <w:rsid w:val="00BB4E83"/>
    <w:rsid w:val="00BB4FE8"/>
    <w:rsid w:val="00BB5247"/>
    <w:rsid w:val="00BB5879"/>
    <w:rsid w:val="00BB5A72"/>
    <w:rsid w:val="00BB5D1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E9A"/>
    <w:rsid w:val="00BC1293"/>
    <w:rsid w:val="00BC1371"/>
    <w:rsid w:val="00BC14FB"/>
    <w:rsid w:val="00BC182B"/>
    <w:rsid w:val="00BC188F"/>
    <w:rsid w:val="00BC1AA9"/>
    <w:rsid w:val="00BC23CA"/>
    <w:rsid w:val="00BC2413"/>
    <w:rsid w:val="00BC27B5"/>
    <w:rsid w:val="00BC27FE"/>
    <w:rsid w:val="00BC2833"/>
    <w:rsid w:val="00BC2971"/>
    <w:rsid w:val="00BC2AFB"/>
    <w:rsid w:val="00BC2DC6"/>
    <w:rsid w:val="00BC308C"/>
    <w:rsid w:val="00BC3139"/>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10D"/>
    <w:rsid w:val="00BD0330"/>
    <w:rsid w:val="00BD06DC"/>
    <w:rsid w:val="00BD0906"/>
    <w:rsid w:val="00BD0B61"/>
    <w:rsid w:val="00BD0D3D"/>
    <w:rsid w:val="00BD0D4C"/>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A7C"/>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15"/>
    <w:rsid w:val="00BD7028"/>
    <w:rsid w:val="00BD7056"/>
    <w:rsid w:val="00BD7218"/>
    <w:rsid w:val="00BD73D7"/>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144"/>
    <w:rsid w:val="00BE123A"/>
    <w:rsid w:val="00BE151A"/>
    <w:rsid w:val="00BE171F"/>
    <w:rsid w:val="00BE1948"/>
    <w:rsid w:val="00BE1A8F"/>
    <w:rsid w:val="00BE1B83"/>
    <w:rsid w:val="00BE1CD3"/>
    <w:rsid w:val="00BE22F8"/>
    <w:rsid w:val="00BE23D8"/>
    <w:rsid w:val="00BE26A6"/>
    <w:rsid w:val="00BE28D4"/>
    <w:rsid w:val="00BE29FA"/>
    <w:rsid w:val="00BE2A9F"/>
    <w:rsid w:val="00BE2B21"/>
    <w:rsid w:val="00BE2B93"/>
    <w:rsid w:val="00BE2B94"/>
    <w:rsid w:val="00BE2BB0"/>
    <w:rsid w:val="00BE2EE0"/>
    <w:rsid w:val="00BE3035"/>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2FC"/>
    <w:rsid w:val="00BF15A6"/>
    <w:rsid w:val="00BF177F"/>
    <w:rsid w:val="00BF1818"/>
    <w:rsid w:val="00BF191B"/>
    <w:rsid w:val="00BF192E"/>
    <w:rsid w:val="00BF1B00"/>
    <w:rsid w:val="00BF1C39"/>
    <w:rsid w:val="00BF1CF9"/>
    <w:rsid w:val="00BF1E7D"/>
    <w:rsid w:val="00BF2194"/>
    <w:rsid w:val="00BF21DF"/>
    <w:rsid w:val="00BF23A1"/>
    <w:rsid w:val="00BF285F"/>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4E9"/>
    <w:rsid w:val="00BF574E"/>
    <w:rsid w:val="00BF57BF"/>
    <w:rsid w:val="00BF5BC6"/>
    <w:rsid w:val="00BF5C46"/>
    <w:rsid w:val="00BF616A"/>
    <w:rsid w:val="00BF61EC"/>
    <w:rsid w:val="00BF6595"/>
    <w:rsid w:val="00BF6D60"/>
    <w:rsid w:val="00BF7811"/>
    <w:rsid w:val="00C0000D"/>
    <w:rsid w:val="00C001B0"/>
    <w:rsid w:val="00C003CE"/>
    <w:rsid w:val="00C00404"/>
    <w:rsid w:val="00C0050C"/>
    <w:rsid w:val="00C0086E"/>
    <w:rsid w:val="00C009DD"/>
    <w:rsid w:val="00C00A1B"/>
    <w:rsid w:val="00C00ADE"/>
    <w:rsid w:val="00C00C5D"/>
    <w:rsid w:val="00C012DB"/>
    <w:rsid w:val="00C015C3"/>
    <w:rsid w:val="00C01631"/>
    <w:rsid w:val="00C01718"/>
    <w:rsid w:val="00C017D3"/>
    <w:rsid w:val="00C01B08"/>
    <w:rsid w:val="00C01ED4"/>
    <w:rsid w:val="00C01FB0"/>
    <w:rsid w:val="00C02120"/>
    <w:rsid w:val="00C021BE"/>
    <w:rsid w:val="00C0254B"/>
    <w:rsid w:val="00C0266C"/>
    <w:rsid w:val="00C0272D"/>
    <w:rsid w:val="00C02788"/>
    <w:rsid w:val="00C027A7"/>
    <w:rsid w:val="00C02878"/>
    <w:rsid w:val="00C02EB7"/>
    <w:rsid w:val="00C032E8"/>
    <w:rsid w:val="00C035AB"/>
    <w:rsid w:val="00C036C5"/>
    <w:rsid w:val="00C03BCA"/>
    <w:rsid w:val="00C0401D"/>
    <w:rsid w:val="00C042EA"/>
    <w:rsid w:val="00C04544"/>
    <w:rsid w:val="00C0460D"/>
    <w:rsid w:val="00C0475A"/>
    <w:rsid w:val="00C04D27"/>
    <w:rsid w:val="00C05059"/>
    <w:rsid w:val="00C050A5"/>
    <w:rsid w:val="00C05439"/>
    <w:rsid w:val="00C055D6"/>
    <w:rsid w:val="00C062BB"/>
    <w:rsid w:val="00C063DB"/>
    <w:rsid w:val="00C06553"/>
    <w:rsid w:val="00C0656F"/>
    <w:rsid w:val="00C067DD"/>
    <w:rsid w:val="00C0699B"/>
    <w:rsid w:val="00C06E58"/>
    <w:rsid w:val="00C06FE2"/>
    <w:rsid w:val="00C07020"/>
    <w:rsid w:val="00C07043"/>
    <w:rsid w:val="00C07348"/>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D85"/>
    <w:rsid w:val="00C11DB9"/>
    <w:rsid w:val="00C11DED"/>
    <w:rsid w:val="00C11FF4"/>
    <w:rsid w:val="00C123DB"/>
    <w:rsid w:val="00C1258E"/>
    <w:rsid w:val="00C1285D"/>
    <w:rsid w:val="00C12950"/>
    <w:rsid w:val="00C129C9"/>
    <w:rsid w:val="00C12AE7"/>
    <w:rsid w:val="00C12BBF"/>
    <w:rsid w:val="00C12D17"/>
    <w:rsid w:val="00C12DF9"/>
    <w:rsid w:val="00C13095"/>
    <w:rsid w:val="00C130C6"/>
    <w:rsid w:val="00C1319A"/>
    <w:rsid w:val="00C13353"/>
    <w:rsid w:val="00C13481"/>
    <w:rsid w:val="00C13A80"/>
    <w:rsid w:val="00C13B4B"/>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61"/>
    <w:rsid w:val="00C1686B"/>
    <w:rsid w:val="00C168FD"/>
    <w:rsid w:val="00C16F3E"/>
    <w:rsid w:val="00C16F5C"/>
    <w:rsid w:val="00C17106"/>
    <w:rsid w:val="00C17112"/>
    <w:rsid w:val="00C1721A"/>
    <w:rsid w:val="00C172A1"/>
    <w:rsid w:val="00C172CC"/>
    <w:rsid w:val="00C172D9"/>
    <w:rsid w:val="00C17318"/>
    <w:rsid w:val="00C17474"/>
    <w:rsid w:val="00C1759B"/>
    <w:rsid w:val="00C17615"/>
    <w:rsid w:val="00C17753"/>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A4E"/>
    <w:rsid w:val="00C23C7E"/>
    <w:rsid w:val="00C23DD2"/>
    <w:rsid w:val="00C2415D"/>
    <w:rsid w:val="00C2417E"/>
    <w:rsid w:val="00C24BA0"/>
    <w:rsid w:val="00C24FE7"/>
    <w:rsid w:val="00C2516B"/>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B91"/>
    <w:rsid w:val="00C30D17"/>
    <w:rsid w:val="00C30F38"/>
    <w:rsid w:val="00C30F6F"/>
    <w:rsid w:val="00C30FF5"/>
    <w:rsid w:val="00C31252"/>
    <w:rsid w:val="00C312CD"/>
    <w:rsid w:val="00C31367"/>
    <w:rsid w:val="00C31488"/>
    <w:rsid w:val="00C31511"/>
    <w:rsid w:val="00C31626"/>
    <w:rsid w:val="00C31AB8"/>
    <w:rsid w:val="00C31C96"/>
    <w:rsid w:val="00C31CB8"/>
    <w:rsid w:val="00C321EF"/>
    <w:rsid w:val="00C32717"/>
    <w:rsid w:val="00C32A12"/>
    <w:rsid w:val="00C32B6A"/>
    <w:rsid w:val="00C32E61"/>
    <w:rsid w:val="00C32EE4"/>
    <w:rsid w:val="00C330C1"/>
    <w:rsid w:val="00C331D1"/>
    <w:rsid w:val="00C332F2"/>
    <w:rsid w:val="00C33695"/>
    <w:rsid w:val="00C3369F"/>
    <w:rsid w:val="00C33A8C"/>
    <w:rsid w:val="00C33A9B"/>
    <w:rsid w:val="00C3405D"/>
    <w:rsid w:val="00C34246"/>
    <w:rsid w:val="00C3444E"/>
    <w:rsid w:val="00C347B8"/>
    <w:rsid w:val="00C34887"/>
    <w:rsid w:val="00C348FF"/>
    <w:rsid w:val="00C34A07"/>
    <w:rsid w:val="00C34ADB"/>
    <w:rsid w:val="00C34D3A"/>
    <w:rsid w:val="00C34E01"/>
    <w:rsid w:val="00C34E6C"/>
    <w:rsid w:val="00C34ECC"/>
    <w:rsid w:val="00C356D4"/>
    <w:rsid w:val="00C3576E"/>
    <w:rsid w:val="00C35A81"/>
    <w:rsid w:val="00C35FEE"/>
    <w:rsid w:val="00C36146"/>
    <w:rsid w:val="00C3619F"/>
    <w:rsid w:val="00C36F03"/>
    <w:rsid w:val="00C37191"/>
    <w:rsid w:val="00C371C6"/>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B67"/>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0A3"/>
    <w:rsid w:val="00C44220"/>
    <w:rsid w:val="00C4484B"/>
    <w:rsid w:val="00C44A35"/>
    <w:rsid w:val="00C44B11"/>
    <w:rsid w:val="00C44E51"/>
    <w:rsid w:val="00C45062"/>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E3"/>
    <w:rsid w:val="00C50B44"/>
    <w:rsid w:val="00C50E8B"/>
    <w:rsid w:val="00C5133B"/>
    <w:rsid w:val="00C51385"/>
    <w:rsid w:val="00C5153C"/>
    <w:rsid w:val="00C51586"/>
    <w:rsid w:val="00C51633"/>
    <w:rsid w:val="00C5165D"/>
    <w:rsid w:val="00C516A5"/>
    <w:rsid w:val="00C5173C"/>
    <w:rsid w:val="00C51F29"/>
    <w:rsid w:val="00C5219D"/>
    <w:rsid w:val="00C521AF"/>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9F8"/>
    <w:rsid w:val="00C56BB5"/>
    <w:rsid w:val="00C56BF5"/>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A39"/>
    <w:rsid w:val="00C60AF2"/>
    <w:rsid w:val="00C60B50"/>
    <w:rsid w:val="00C60B78"/>
    <w:rsid w:val="00C60C0B"/>
    <w:rsid w:val="00C60CAE"/>
    <w:rsid w:val="00C60E27"/>
    <w:rsid w:val="00C60F07"/>
    <w:rsid w:val="00C60F2F"/>
    <w:rsid w:val="00C613F3"/>
    <w:rsid w:val="00C6140E"/>
    <w:rsid w:val="00C61441"/>
    <w:rsid w:val="00C61635"/>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6F5"/>
    <w:rsid w:val="00C6382F"/>
    <w:rsid w:val="00C63A3C"/>
    <w:rsid w:val="00C63BC7"/>
    <w:rsid w:val="00C63CDD"/>
    <w:rsid w:val="00C63D3E"/>
    <w:rsid w:val="00C63F50"/>
    <w:rsid w:val="00C64473"/>
    <w:rsid w:val="00C6474B"/>
    <w:rsid w:val="00C648B9"/>
    <w:rsid w:val="00C648C4"/>
    <w:rsid w:val="00C649FB"/>
    <w:rsid w:val="00C64C6F"/>
    <w:rsid w:val="00C64D14"/>
    <w:rsid w:val="00C65073"/>
    <w:rsid w:val="00C65103"/>
    <w:rsid w:val="00C65139"/>
    <w:rsid w:val="00C654D0"/>
    <w:rsid w:val="00C6571C"/>
    <w:rsid w:val="00C6580D"/>
    <w:rsid w:val="00C65C2F"/>
    <w:rsid w:val="00C65D09"/>
    <w:rsid w:val="00C66157"/>
    <w:rsid w:val="00C661AB"/>
    <w:rsid w:val="00C662F1"/>
    <w:rsid w:val="00C665E0"/>
    <w:rsid w:val="00C66B02"/>
    <w:rsid w:val="00C66C23"/>
    <w:rsid w:val="00C6703C"/>
    <w:rsid w:val="00C67113"/>
    <w:rsid w:val="00C6730F"/>
    <w:rsid w:val="00C673D3"/>
    <w:rsid w:val="00C67BB0"/>
    <w:rsid w:val="00C67E23"/>
    <w:rsid w:val="00C67EDE"/>
    <w:rsid w:val="00C67F8E"/>
    <w:rsid w:val="00C70067"/>
    <w:rsid w:val="00C701F8"/>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D24"/>
    <w:rsid w:val="00C750EB"/>
    <w:rsid w:val="00C7518C"/>
    <w:rsid w:val="00C751B9"/>
    <w:rsid w:val="00C75289"/>
    <w:rsid w:val="00C75A00"/>
    <w:rsid w:val="00C75BD1"/>
    <w:rsid w:val="00C75BE3"/>
    <w:rsid w:val="00C75BF0"/>
    <w:rsid w:val="00C75C2F"/>
    <w:rsid w:val="00C75C81"/>
    <w:rsid w:val="00C75FBF"/>
    <w:rsid w:val="00C75FCD"/>
    <w:rsid w:val="00C7614B"/>
    <w:rsid w:val="00C76164"/>
    <w:rsid w:val="00C7618C"/>
    <w:rsid w:val="00C76489"/>
    <w:rsid w:val="00C7662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2F9"/>
    <w:rsid w:val="00C81919"/>
    <w:rsid w:val="00C81994"/>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BD7"/>
    <w:rsid w:val="00C84DB9"/>
    <w:rsid w:val="00C85040"/>
    <w:rsid w:val="00C8509B"/>
    <w:rsid w:val="00C85471"/>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56B"/>
    <w:rsid w:val="00CA078F"/>
    <w:rsid w:val="00CA0A22"/>
    <w:rsid w:val="00CA0A4C"/>
    <w:rsid w:val="00CA0B44"/>
    <w:rsid w:val="00CA1060"/>
    <w:rsid w:val="00CA11AA"/>
    <w:rsid w:val="00CA13F3"/>
    <w:rsid w:val="00CA14E2"/>
    <w:rsid w:val="00CA1B82"/>
    <w:rsid w:val="00CA1C73"/>
    <w:rsid w:val="00CA1F08"/>
    <w:rsid w:val="00CA215D"/>
    <w:rsid w:val="00CA21AF"/>
    <w:rsid w:val="00CA24BA"/>
    <w:rsid w:val="00CA2641"/>
    <w:rsid w:val="00CA26DB"/>
    <w:rsid w:val="00CA2773"/>
    <w:rsid w:val="00CA27D3"/>
    <w:rsid w:val="00CA2857"/>
    <w:rsid w:val="00CA288D"/>
    <w:rsid w:val="00CA298F"/>
    <w:rsid w:val="00CA2A69"/>
    <w:rsid w:val="00CA2CA6"/>
    <w:rsid w:val="00CA2CA8"/>
    <w:rsid w:val="00CA2D78"/>
    <w:rsid w:val="00CA2DA4"/>
    <w:rsid w:val="00CA2F2F"/>
    <w:rsid w:val="00CA33C7"/>
    <w:rsid w:val="00CA33DD"/>
    <w:rsid w:val="00CA3765"/>
    <w:rsid w:val="00CA38EC"/>
    <w:rsid w:val="00CA3958"/>
    <w:rsid w:val="00CA39F3"/>
    <w:rsid w:val="00CA3A8A"/>
    <w:rsid w:val="00CA3AC6"/>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9DA"/>
    <w:rsid w:val="00CB09DF"/>
    <w:rsid w:val="00CB1664"/>
    <w:rsid w:val="00CB1668"/>
    <w:rsid w:val="00CB1671"/>
    <w:rsid w:val="00CB19A9"/>
    <w:rsid w:val="00CB1A0F"/>
    <w:rsid w:val="00CB1DF6"/>
    <w:rsid w:val="00CB1F02"/>
    <w:rsid w:val="00CB1F64"/>
    <w:rsid w:val="00CB21E1"/>
    <w:rsid w:val="00CB21E5"/>
    <w:rsid w:val="00CB238C"/>
    <w:rsid w:val="00CB24C8"/>
    <w:rsid w:val="00CB24D2"/>
    <w:rsid w:val="00CB2930"/>
    <w:rsid w:val="00CB2A65"/>
    <w:rsid w:val="00CB2C02"/>
    <w:rsid w:val="00CB30F2"/>
    <w:rsid w:val="00CB3234"/>
    <w:rsid w:val="00CB33D1"/>
    <w:rsid w:val="00CB3890"/>
    <w:rsid w:val="00CB3B75"/>
    <w:rsid w:val="00CB3D0D"/>
    <w:rsid w:val="00CB407D"/>
    <w:rsid w:val="00CB432A"/>
    <w:rsid w:val="00CB45D3"/>
    <w:rsid w:val="00CB4775"/>
    <w:rsid w:val="00CB47B4"/>
    <w:rsid w:val="00CB4C2D"/>
    <w:rsid w:val="00CB4E8B"/>
    <w:rsid w:val="00CB503D"/>
    <w:rsid w:val="00CB50C5"/>
    <w:rsid w:val="00CB5185"/>
    <w:rsid w:val="00CB54DC"/>
    <w:rsid w:val="00CB5541"/>
    <w:rsid w:val="00CB5A3B"/>
    <w:rsid w:val="00CB5A8C"/>
    <w:rsid w:val="00CB5ACE"/>
    <w:rsid w:val="00CB5BDF"/>
    <w:rsid w:val="00CB5F60"/>
    <w:rsid w:val="00CB6244"/>
    <w:rsid w:val="00CB6CA5"/>
    <w:rsid w:val="00CB6CA8"/>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A"/>
    <w:rsid w:val="00CC055E"/>
    <w:rsid w:val="00CC061B"/>
    <w:rsid w:val="00CC07FF"/>
    <w:rsid w:val="00CC0BCF"/>
    <w:rsid w:val="00CC0D10"/>
    <w:rsid w:val="00CC13EF"/>
    <w:rsid w:val="00CC1554"/>
    <w:rsid w:val="00CC197E"/>
    <w:rsid w:val="00CC1C21"/>
    <w:rsid w:val="00CC1C2F"/>
    <w:rsid w:val="00CC1CD7"/>
    <w:rsid w:val="00CC215D"/>
    <w:rsid w:val="00CC2242"/>
    <w:rsid w:val="00CC240D"/>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3D"/>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6B"/>
    <w:rsid w:val="00CD04FE"/>
    <w:rsid w:val="00CD076E"/>
    <w:rsid w:val="00CD0831"/>
    <w:rsid w:val="00CD0AD2"/>
    <w:rsid w:val="00CD0B2F"/>
    <w:rsid w:val="00CD0B88"/>
    <w:rsid w:val="00CD0B9D"/>
    <w:rsid w:val="00CD0BAC"/>
    <w:rsid w:val="00CD0CC6"/>
    <w:rsid w:val="00CD0DAD"/>
    <w:rsid w:val="00CD103B"/>
    <w:rsid w:val="00CD104E"/>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5D9"/>
    <w:rsid w:val="00CD665B"/>
    <w:rsid w:val="00CD6767"/>
    <w:rsid w:val="00CD67B4"/>
    <w:rsid w:val="00CD68AC"/>
    <w:rsid w:val="00CD6BEF"/>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3C0"/>
    <w:rsid w:val="00CE2801"/>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007"/>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856"/>
    <w:rsid w:val="00CF1A11"/>
    <w:rsid w:val="00CF1C61"/>
    <w:rsid w:val="00CF20CB"/>
    <w:rsid w:val="00CF24FC"/>
    <w:rsid w:val="00CF26DC"/>
    <w:rsid w:val="00CF288C"/>
    <w:rsid w:val="00CF293D"/>
    <w:rsid w:val="00CF2974"/>
    <w:rsid w:val="00CF2A46"/>
    <w:rsid w:val="00CF2AEE"/>
    <w:rsid w:val="00CF2B11"/>
    <w:rsid w:val="00CF2B1E"/>
    <w:rsid w:val="00CF2ED1"/>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680"/>
    <w:rsid w:val="00D00B16"/>
    <w:rsid w:val="00D00F1C"/>
    <w:rsid w:val="00D01067"/>
    <w:rsid w:val="00D0130E"/>
    <w:rsid w:val="00D014E4"/>
    <w:rsid w:val="00D01643"/>
    <w:rsid w:val="00D01664"/>
    <w:rsid w:val="00D018A9"/>
    <w:rsid w:val="00D018E4"/>
    <w:rsid w:val="00D01B02"/>
    <w:rsid w:val="00D01DAA"/>
    <w:rsid w:val="00D02081"/>
    <w:rsid w:val="00D02453"/>
    <w:rsid w:val="00D0250A"/>
    <w:rsid w:val="00D0262D"/>
    <w:rsid w:val="00D02B14"/>
    <w:rsid w:val="00D02BB2"/>
    <w:rsid w:val="00D02C08"/>
    <w:rsid w:val="00D03123"/>
    <w:rsid w:val="00D035EE"/>
    <w:rsid w:val="00D03681"/>
    <w:rsid w:val="00D036BB"/>
    <w:rsid w:val="00D0370B"/>
    <w:rsid w:val="00D03C52"/>
    <w:rsid w:val="00D03D09"/>
    <w:rsid w:val="00D03ECC"/>
    <w:rsid w:val="00D0406E"/>
    <w:rsid w:val="00D0419E"/>
    <w:rsid w:val="00D04204"/>
    <w:rsid w:val="00D04889"/>
    <w:rsid w:val="00D04D2D"/>
    <w:rsid w:val="00D04F7D"/>
    <w:rsid w:val="00D051CC"/>
    <w:rsid w:val="00D053A4"/>
    <w:rsid w:val="00D055C2"/>
    <w:rsid w:val="00D058F9"/>
    <w:rsid w:val="00D05AF3"/>
    <w:rsid w:val="00D05B1A"/>
    <w:rsid w:val="00D05B1B"/>
    <w:rsid w:val="00D05C69"/>
    <w:rsid w:val="00D05E1F"/>
    <w:rsid w:val="00D05F39"/>
    <w:rsid w:val="00D05F42"/>
    <w:rsid w:val="00D06061"/>
    <w:rsid w:val="00D061A4"/>
    <w:rsid w:val="00D06AC2"/>
    <w:rsid w:val="00D06C54"/>
    <w:rsid w:val="00D06E02"/>
    <w:rsid w:val="00D0727A"/>
    <w:rsid w:val="00D07378"/>
    <w:rsid w:val="00D0750C"/>
    <w:rsid w:val="00D07AE6"/>
    <w:rsid w:val="00D07CB6"/>
    <w:rsid w:val="00D10038"/>
    <w:rsid w:val="00D100A1"/>
    <w:rsid w:val="00D1026F"/>
    <w:rsid w:val="00D105C5"/>
    <w:rsid w:val="00D1065A"/>
    <w:rsid w:val="00D10685"/>
    <w:rsid w:val="00D106D1"/>
    <w:rsid w:val="00D10E1B"/>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31AE"/>
    <w:rsid w:val="00D13493"/>
    <w:rsid w:val="00D1378F"/>
    <w:rsid w:val="00D137C5"/>
    <w:rsid w:val="00D13BFE"/>
    <w:rsid w:val="00D13D38"/>
    <w:rsid w:val="00D13D98"/>
    <w:rsid w:val="00D13ED6"/>
    <w:rsid w:val="00D14111"/>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837"/>
    <w:rsid w:val="00D238F4"/>
    <w:rsid w:val="00D23A23"/>
    <w:rsid w:val="00D23AE5"/>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6C9"/>
    <w:rsid w:val="00D32876"/>
    <w:rsid w:val="00D32A55"/>
    <w:rsid w:val="00D32C56"/>
    <w:rsid w:val="00D32C5A"/>
    <w:rsid w:val="00D32E30"/>
    <w:rsid w:val="00D32E7F"/>
    <w:rsid w:val="00D33137"/>
    <w:rsid w:val="00D333B1"/>
    <w:rsid w:val="00D336E3"/>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37F08"/>
    <w:rsid w:val="00D401CA"/>
    <w:rsid w:val="00D40677"/>
    <w:rsid w:val="00D40868"/>
    <w:rsid w:val="00D40F04"/>
    <w:rsid w:val="00D411EA"/>
    <w:rsid w:val="00D416DD"/>
    <w:rsid w:val="00D416FE"/>
    <w:rsid w:val="00D41798"/>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3082"/>
    <w:rsid w:val="00D43393"/>
    <w:rsid w:val="00D43715"/>
    <w:rsid w:val="00D438D8"/>
    <w:rsid w:val="00D43CBD"/>
    <w:rsid w:val="00D43CD5"/>
    <w:rsid w:val="00D43D72"/>
    <w:rsid w:val="00D440D9"/>
    <w:rsid w:val="00D441E4"/>
    <w:rsid w:val="00D444D5"/>
    <w:rsid w:val="00D4451B"/>
    <w:rsid w:val="00D4456B"/>
    <w:rsid w:val="00D44975"/>
    <w:rsid w:val="00D44A06"/>
    <w:rsid w:val="00D44A2B"/>
    <w:rsid w:val="00D45095"/>
    <w:rsid w:val="00D4511E"/>
    <w:rsid w:val="00D4515E"/>
    <w:rsid w:val="00D45323"/>
    <w:rsid w:val="00D45354"/>
    <w:rsid w:val="00D4556E"/>
    <w:rsid w:val="00D455BA"/>
    <w:rsid w:val="00D45C9C"/>
    <w:rsid w:val="00D4600B"/>
    <w:rsid w:val="00D462D8"/>
    <w:rsid w:val="00D4657E"/>
    <w:rsid w:val="00D468C5"/>
    <w:rsid w:val="00D46AA7"/>
    <w:rsid w:val="00D46ABC"/>
    <w:rsid w:val="00D46AD9"/>
    <w:rsid w:val="00D473CC"/>
    <w:rsid w:val="00D47792"/>
    <w:rsid w:val="00D4783F"/>
    <w:rsid w:val="00D4787D"/>
    <w:rsid w:val="00D47CE3"/>
    <w:rsid w:val="00D5079B"/>
    <w:rsid w:val="00D50A5F"/>
    <w:rsid w:val="00D50C02"/>
    <w:rsid w:val="00D50D1F"/>
    <w:rsid w:val="00D50E88"/>
    <w:rsid w:val="00D51148"/>
    <w:rsid w:val="00D511DD"/>
    <w:rsid w:val="00D51206"/>
    <w:rsid w:val="00D5129D"/>
    <w:rsid w:val="00D516B5"/>
    <w:rsid w:val="00D518ED"/>
    <w:rsid w:val="00D51ADB"/>
    <w:rsid w:val="00D51B7F"/>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708"/>
    <w:rsid w:val="00D547C0"/>
    <w:rsid w:val="00D54BB0"/>
    <w:rsid w:val="00D54DF3"/>
    <w:rsid w:val="00D55515"/>
    <w:rsid w:val="00D5552F"/>
    <w:rsid w:val="00D55873"/>
    <w:rsid w:val="00D5599B"/>
    <w:rsid w:val="00D559DC"/>
    <w:rsid w:val="00D55B18"/>
    <w:rsid w:val="00D55E86"/>
    <w:rsid w:val="00D55E96"/>
    <w:rsid w:val="00D562AC"/>
    <w:rsid w:val="00D5630E"/>
    <w:rsid w:val="00D56433"/>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C6D"/>
    <w:rsid w:val="00D60EF9"/>
    <w:rsid w:val="00D60F51"/>
    <w:rsid w:val="00D60F6A"/>
    <w:rsid w:val="00D61153"/>
    <w:rsid w:val="00D6123C"/>
    <w:rsid w:val="00D61571"/>
    <w:rsid w:val="00D61625"/>
    <w:rsid w:val="00D6176A"/>
    <w:rsid w:val="00D61842"/>
    <w:rsid w:val="00D619B9"/>
    <w:rsid w:val="00D61EBE"/>
    <w:rsid w:val="00D61F85"/>
    <w:rsid w:val="00D624CA"/>
    <w:rsid w:val="00D6264C"/>
    <w:rsid w:val="00D626A2"/>
    <w:rsid w:val="00D62BE3"/>
    <w:rsid w:val="00D62F19"/>
    <w:rsid w:val="00D63494"/>
    <w:rsid w:val="00D636A7"/>
    <w:rsid w:val="00D63C93"/>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098"/>
    <w:rsid w:val="00D67393"/>
    <w:rsid w:val="00D679AF"/>
    <w:rsid w:val="00D67A8A"/>
    <w:rsid w:val="00D67CBD"/>
    <w:rsid w:val="00D67E39"/>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8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265"/>
    <w:rsid w:val="00D7535A"/>
    <w:rsid w:val="00D754DE"/>
    <w:rsid w:val="00D755E6"/>
    <w:rsid w:val="00D759F6"/>
    <w:rsid w:val="00D75A79"/>
    <w:rsid w:val="00D75A9A"/>
    <w:rsid w:val="00D75CB4"/>
    <w:rsid w:val="00D75D19"/>
    <w:rsid w:val="00D75DB6"/>
    <w:rsid w:val="00D76213"/>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E7"/>
    <w:rsid w:val="00D8366F"/>
    <w:rsid w:val="00D838D8"/>
    <w:rsid w:val="00D839C3"/>
    <w:rsid w:val="00D84039"/>
    <w:rsid w:val="00D840B5"/>
    <w:rsid w:val="00D84150"/>
    <w:rsid w:val="00D841A1"/>
    <w:rsid w:val="00D847C1"/>
    <w:rsid w:val="00D84926"/>
    <w:rsid w:val="00D84B64"/>
    <w:rsid w:val="00D84F71"/>
    <w:rsid w:val="00D84FB8"/>
    <w:rsid w:val="00D8569B"/>
    <w:rsid w:val="00D8586B"/>
    <w:rsid w:val="00D85F2D"/>
    <w:rsid w:val="00D85F5D"/>
    <w:rsid w:val="00D85F6D"/>
    <w:rsid w:val="00D85FD5"/>
    <w:rsid w:val="00D860E3"/>
    <w:rsid w:val="00D8674B"/>
    <w:rsid w:val="00D86839"/>
    <w:rsid w:val="00D86C00"/>
    <w:rsid w:val="00D86CA7"/>
    <w:rsid w:val="00D86D11"/>
    <w:rsid w:val="00D86E84"/>
    <w:rsid w:val="00D86F16"/>
    <w:rsid w:val="00D8728A"/>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513"/>
    <w:rsid w:val="00D9788C"/>
    <w:rsid w:val="00D97B24"/>
    <w:rsid w:val="00D97C9C"/>
    <w:rsid w:val="00D97EB3"/>
    <w:rsid w:val="00D97F7C"/>
    <w:rsid w:val="00DA038B"/>
    <w:rsid w:val="00DA0B03"/>
    <w:rsid w:val="00DA0D70"/>
    <w:rsid w:val="00DA1572"/>
    <w:rsid w:val="00DA164C"/>
    <w:rsid w:val="00DA168E"/>
    <w:rsid w:val="00DA1A30"/>
    <w:rsid w:val="00DA1B44"/>
    <w:rsid w:val="00DA1C88"/>
    <w:rsid w:val="00DA228C"/>
    <w:rsid w:val="00DA23CC"/>
    <w:rsid w:val="00DA26A8"/>
    <w:rsid w:val="00DA2725"/>
    <w:rsid w:val="00DA29F7"/>
    <w:rsid w:val="00DA2B93"/>
    <w:rsid w:val="00DA31C0"/>
    <w:rsid w:val="00DA3528"/>
    <w:rsid w:val="00DA3A84"/>
    <w:rsid w:val="00DA3C89"/>
    <w:rsid w:val="00DA3D78"/>
    <w:rsid w:val="00DA3E3F"/>
    <w:rsid w:val="00DA3EC9"/>
    <w:rsid w:val="00DA3F01"/>
    <w:rsid w:val="00DA43D0"/>
    <w:rsid w:val="00DA447F"/>
    <w:rsid w:val="00DA47CF"/>
    <w:rsid w:val="00DA4B7E"/>
    <w:rsid w:val="00DA4E21"/>
    <w:rsid w:val="00DA4F2C"/>
    <w:rsid w:val="00DA53A6"/>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916"/>
    <w:rsid w:val="00DB0CCF"/>
    <w:rsid w:val="00DB0EEB"/>
    <w:rsid w:val="00DB0F4F"/>
    <w:rsid w:val="00DB12CB"/>
    <w:rsid w:val="00DB1567"/>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B3"/>
    <w:rsid w:val="00DB31DA"/>
    <w:rsid w:val="00DB33E8"/>
    <w:rsid w:val="00DB340B"/>
    <w:rsid w:val="00DB3439"/>
    <w:rsid w:val="00DB36B8"/>
    <w:rsid w:val="00DB389B"/>
    <w:rsid w:val="00DB3900"/>
    <w:rsid w:val="00DB3920"/>
    <w:rsid w:val="00DB39DB"/>
    <w:rsid w:val="00DB3A05"/>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0BA"/>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196"/>
    <w:rsid w:val="00DC0535"/>
    <w:rsid w:val="00DC0548"/>
    <w:rsid w:val="00DC05CB"/>
    <w:rsid w:val="00DC0652"/>
    <w:rsid w:val="00DC098C"/>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2AF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A9C"/>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31C"/>
    <w:rsid w:val="00DD2345"/>
    <w:rsid w:val="00DD29EB"/>
    <w:rsid w:val="00DD2CAB"/>
    <w:rsid w:val="00DD2D50"/>
    <w:rsid w:val="00DD2EB3"/>
    <w:rsid w:val="00DD2F88"/>
    <w:rsid w:val="00DD32AA"/>
    <w:rsid w:val="00DD3346"/>
    <w:rsid w:val="00DD336A"/>
    <w:rsid w:val="00DD33AE"/>
    <w:rsid w:val="00DD3AF1"/>
    <w:rsid w:val="00DD3C63"/>
    <w:rsid w:val="00DD3CA7"/>
    <w:rsid w:val="00DD407A"/>
    <w:rsid w:val="00DD44EF"/>
    <w:rsid w:val="00DD4686"/>
    <w:rsid w:val="00DD4F91"/>
    <w:rsid w:val="00DD51FC"/>
    <w:rsid w:val="00DD53F6"/>
    <w:rsid w:val="00DD545C"/>
    <w:rsid w:val="00DD5636"/>
    <w:rsid w:val="00DD5714"/>
    <w:rsid w:val="00DD5BD6"/>
    <w:rsid w:val="00DD5EAF"/>
    <w:rsid w:val="00DD60C8"/>
    <w:rsid w:val="00DD693B"/>
    <w:rsid w:val="00DD693F"/>
    <w:rsid w:val="00DD6D0E"/>
    <w:rsid w:val="00DD75CB"/>
    <w:rsid w:val="00DD776F"/>
    <w:rsid w:val="00DD79B6"/>
    <w:rsid w:val="00DD7A44"/>
    <w:rsid w:val="00DD7BB6"/>
    <w:rsid w:val="00DD7D5B"/>
    <w:rsid w:val="00DD7D89"/>
    <w:rsid w:val="00DD7F9D"/>
    <w:rsid w:val="00DE011B"/>
    <w:rsid w:val="00DE0462"/>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0F"/>
    <w:rsid w:val="00DE219D"/>
    <w:rsid w:val="00DE236E"/>
    <w:rsid w:val="00DE24C5"/>
    <w:rsid w:val="00DE2556"/>
    <w:rsid w:val="00DE2569"/>
    <w:rsid w:val="00DE26F3"/>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856"/>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0CC"/>
    <w:rsid w:val="00DE7168"/>
    <w:rsid w:val="00DE7228"/>
    <w:rsid w:val="00DE7598"/>
    <w:rsid w:val="00DE7ACC"/>
    <w:rsid w:val="00DE7D91"/>
    <w:rsid w:val="00DE7F9F"/>
    <w:rsid w:val="00DF03AF"/>
    <w:rsid w:val="00DF0A39"/>
    <w:rsid w:val="00DF0B7A"/>
    <w:rsid w:val="00DF0C65"/>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2E"/>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5E"/>
    <w:rsid w:val="00E039D5"/>
    <w:rsid w:val="00E03BE5"/>
    <w:rsid w:val="00E044CF"/>
    <w:rsid w:val="00E046C9"/>
    <w:rsid w:val="00E04886"/>
    <w:rsid w:val="00E04A89"/>
    <w:rsid w:val="00E04CA6"/>
    <w:rsid w:val="00E04D80"/>
    <w:rsid w:val="00E04FFD"/>
    <w:rsid w:val="00E0535B"/>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966"/>
    <w:rsid w:val="00E06AAA"/>
    <w:rsid w:val="00E06ACA"/>
    <w:rsid w:val="00E06AFB"/>
    <w:rsid w:val="00E06BD4"/>
    <w:rsid w:val="00E06C9D"/>
    <w:rsid w:val="00E06E5E"/>
    <w:rsid w:val="00E07739"/>
    <w:rsid w:val="00E077F8"/>
    <w:rsid w:val="00E078F1"/>
    <w:rsid w:val="00E07C11"/>
    <w:rsid w:val="00E103C9"/>
    <w:rsid w:val="00E10443"/>
    <w:rsid w:val="00E1044E"/>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5254"/>
    <w:rsid w:val="00E15EA9"/>
    <w:rsid w:val="00E16289"/>
    <w:rsid w:val="00E16770"/>
    <w:rsid w:val="00E16CA7"/>
    <w:rsid w:val="00E16E24"/>
    <w:rsid w:val="00E16FDB"/>
    <w:rsid w:val="00E17236"/>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8A8"/>
    <w:rsid w:val="00E27B0B"/>
    <w:rsid w:val="00E27C03"/>
    <w:rsid w:val="00E27D09"/>
    <w:rsid w:val="00E30733"/>
    <w:rsid w:val="00E30959"/>
    <w:rsid w:val="00E30A69"/>
    <w:rsid w:val="00E30B3A"/>
    <w:rsid w:val="00E30E13"/>
    <w:rsid w:val="00E310BE"/>
    <w:rsid w:val="00E31437"/>
    <w:rsid w:val="00E31461"/>
    <w:rsid w:val="00E3188E"/>
    <w:rsid w:val="00E31ACC"/>
    <w:rsid w:val="00E31CD8"/>
    <w:rsid w:val="00E31EDA"/>
    <w:rsid w:val="00E31F5F"/>
    <w:rsid w:val="00E31F77"/>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981"/>
    <w:rsid w:val="00E33DBD"/>
    <w:rsid w:val="00E33FE8"/>
    <w:rsid w:val="00E3419A"/>
    <w:rsid w:val="00E341F7"/>
    <w:rsid w:val="00E34232"/>
    <w:rsid w:val="00E3451B"/>
    <w:rsid w:val="00E34527"/>
    <w:rsid w:val="00E349D7"/>
    <w:rsid w:val="00E34A21"/>
    <w:rsid w:val="00E34AE2"/>
    <w:rsid w:val="00E34BE9"/>
    <w:rsid w:val="00E34CDE"/>
    <w:rsid w:val="00E34CFA"/>
    <w:rsid w:val="00E34D1C"/>
    <w:rsid w:val="00E34D9D"/>
    <w:rsid w:val="00E34E12"/>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37F3C"/>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1B"/>
    <w:rsid w:val="00E42BB7"/>
    <w:rsid w:val="00E42BDA"/>
    <w:rsid w:val="00E42E57"/>
    <w:rsid w:val="00E434A8"/>
    <w:rsid w:val="00E434B7"/>
    <w:rsid w:val="00E43AF5"/>
    <w:rsid w:val="00E43CC2"/>
    <w:rsid w:val="00E4430E"/>
    <w:rsid w:val="00E447B5"/>
    <w:rsid w:val="00E44E77"/>
    <w:rsid w:val="00E44EAF"/>
    <w:rsid w:val="00E44EE9"/>
    <w:rsid w:val="00E44F7C"/>
    <w:rsid w:val="00E450B8"/>
    <w:rsid w:val="00E45145"/>
    <w:rsid w:val="00E451D0"/>
    <w:rsid w:val="00E452E7"/>
    <w:rsid w:val="00E453E7"/>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EE2"/>
    <w:rsid w:val="00E500F9"/>
    <w:rsid w:val="00E503A7"/>
    <w:rsid w:val="00E507A4"/>
    <w:rsid w:val="00E507C2"/>
    <w:rsid w:val="00E50E41"/>
    <w:rsid w:val="00E50F22"/>
    <w:rsid w:val="00E5103A"/>
    <w:rsid w:val="00E51297"/>
    <w:rsid w:val="00E51689"/>
    <w:rsid w:val="00E518F2"/>
    <w:rsid w:val="00E51978"/>
    <w:rsid w:val="00E51E7F"/>
    <w:rsid w:val="00E51EB8"/>
    <w:rsid w:val="00E51FE2"/>
    <w:rsid w:val="00E523FF"/>
    <w:rsid w:val="00E52433"/>
    <w:rsid w:val="00E526B0"/>
    <w:rsid w:val="00E52912"/>
    <w:rsid w:val="00E52925"/>
    <w:rsid w:val="00E53699"/>
    <w:rsid w:val="00E53767"/>
    <w:rsid w:val="00E53B1A"/>
    <w:rsid w:val="00E53BE7"/>
    <w:rsid w:val="00E53CC4"/>
    <w:rsid w:val="00E541D3"/>
    <w:rsid w:val="00E5431A"/>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B9A"/>
    <w:rsid w:val="00E56F29"/>
    <w:rsid w:val="00E573A4"/>
    <w:rsid w:val="00E577B7"/>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016"/>
    <w:rsid w:val="00E70156"/>
    <w:rsid w:val="00E70292"/>
    <w:rsid w:val="00E70635"/>
    <w:rsid w:val="00E70875"/>
    <w:rsid w:val="00E71016"/>
    <w:rsid w:val="00E71077"/>
    <w:rsid w:val="00E7132F"/>
    <w:rsid w:val="00E7148A"/>
    <w:rsid w:val="00E71534"/>
    <w:rsid w:val="00E71616"/>
    <w:rsid w:val="00E7165C"/>
    <w:rsid w:val="00E716A7"/>
    <w:rsid w:val="00E71C6E"/>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28"/>
    <w:rsid w:val="00E76A49"/>
    <w:rsid w:val="00E76D9A"/>
    <w:rsid w:val="00E770D1"/>
    <w:rsid w:val="00E7710F"/>
    <w:rsid w:val="00E773FB"/>
    <w:rsid w:val="00E77678"/>
    <w:rsid w:val="00E7772E"/>
    <w:rsid w:val="00E77AFC"/>
    <w:rsid w:val="00E77F2A"/>
    <w:rsid w:val="00E800A3"/>
    <w:rsid w:val="00E80309"/>
    <w:rsid w:val="00E804D6"/>
    <w:rsid w:val="00E80807"/>
    <w:rsid w:val="00E80AFB"/>
    <w:rsid w:val="00E80CCA"/>
    <w:rsid w:val="00E80DC0"/>
    <w:rsid w:val="00E80F65"/>
    <w:rsid w:val="00E8147B"/>
    <w:rsid w:val="00E814B2"/>
    <w:rsid w:val="00E815B9"/>
    <w:rsid w:val="00E815F5"/>
    <w:rsid w:val="00E81852"/>
    <w:rsid w:val="00E818DE"/>
    <w:rsid w:val="00E819D1"/>
    <w:rsid w:val="00E81F2F"/>
    <w:rsid w:val="00E81FB4"/>
    <w:rsid w:val="00E82222"/>
    <w:rsid w:val="00E825F4"/>
    <w:rsid w:val="00E8260B"/>
    <w:rsid w:val="00E8264C"/>
    <w:rsid w:val="00E828D8"/>
    <w:rsid w:val="00E82AC5"/>
    <w:rsid w:val="00E82CE4"/>
    <w:rsid w:val="00E82F5A"/>
    <w:rsid w:val="00E83145"/>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5A"/>
    <w:rsid w:val="00E848D8"/>
    <w:rsid w:val="00E84C00"/>
    <w:rsid w:val="00E84D02"/>
    <w:rsid w:val="00E84E15"/>
    <w:rsid w:val="00E84E2F"/>
    <w:rsid w:val="00E853C4"/>
    <w:rsid w:val="00E857BD"/>
    <w:rsid w:val="00E85B61"/>
    <w:rsid w:val="00E860E5"/>
    <w:rsid w:val="00E864E3"/>
    <w:rsid w:val="00E86C3C"/>
    <w:rsid w:val="00E86CED"/>
    <w:rsid w:val="00E86DA2"/>
    <w:rsid w:val="00E8707C"/>
    <w:rsid w:val="00E872E6"/>
    <w:rsid w:val="00E87BA4"/>
    <w:rsid w:val="00E87C2B"/>
    <w:rsid w:val="00E87C95"/>
    <w:rsid w:val="00E87E9A"/>
    <w:rsid w:val="00E87F9C"/>
    <w:rsid w:val="00E9011F"/>
    <w:rsid w:val="00E90238"/>
    <w:rsid w:val="00E903AD"/>
    <w:rsid w:val="00E905AA"/>
    <w:rsid w:val="00E9076D"/>
    <w:rsid w:val="00E910A8"/>
    <w:rsid w:val="00E915BB"/>
    <w:rsid w:val="00E91681"/>
    <w:rsid w:val="00E918A2"/>
    <w:rsid w:val="00E91930"/>
    <w:rsid w:val="00E91A24"/>
    <w:rsid w:val="00E91AD3"/>
    <w:rsid w:val="00E91B88"/>
    <w:rsid w:val="00E91CE6"/>
    <w:rsid w:val="00E91D0F"/>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5D4E"/>
    <w:rsid w:val="00E9662E"/>
    <w:rsid w:val="00E96631"/>
    <w:rsid w:val="00E96908"/>
    <w:rsid w:val="00E96AE2"/>
    <w:rsid w:val="00E96BCF"/>
    <w:rsid w:val="00E96E46"/>
    <w:rsid w:val="00E96E59"/>
    <w:rsid w:val="00E96F00"/>
    <w:rsid w:val="00E96F66"/>
    <w:rsid w:val="00E971E2"/>
    <w:rsid w:val="00E97340"/>
    <w:rsid w:val="00E97532"/>
    <w:rsid w:val="00E9794B"/>
    <w:rsid w:val="00E97B05"/>
    <w:rsid w:val="00E97B4A"/>
    <w:rsid w:val="00E97E77"/>
    <w:rsid w:val="00E97EA9"/>
    <w:rsid w:val="00EA00AE"/>
    <w:rsid w:val="00EA01B4"/>
    <w:rsid w:val="00EA0246"/>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CFD"/>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0D03"/>
    <w:rsid w:val="00EB10A9"/>
    <w:rsid w:val="00EB131A"/>
    <w:rsid w:val="00EB1497"/>
    <w:rsid w:val="00EB149D"/>
    <w:rsid w:val="00EB15AB"/>
    <w:rsid w:val="00EB169C"/>
    <w:rsid w:val="00EB17E1"/>
    <w:rsid w:val="00EB1DAF"/>
    <w:rsid w:val="00EB1DBD"/>
    <w:rsid w:val="00EB2078"/>
    <w:rsid w:val="00EB2308"/>
    <w:rsid w:val="00EB2478"/>
    <w:rsid w:val="00EB2520"/>
    <w:rsid w:val="00EB252D"/>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864"/>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DEA"/>
    <w:rsid w:val="00EC7EC6"/>
    <w:rsid w:val="00ED01D0"/>
    <w:rsid w:val="00ED040E"/>
    <w:rsid w:val="00ED0556"/>
    <w:rsid w:val="00ED0622"/>
    <w:rsid w:val="00ED098B"/>
    <w:rsid w:val="00ED09EF"/>
    <w:rsid w:val="00ED1506"/>
    <w:rsid w:val="00ED1520"/>
    <w:rsid w:val="00ED17B0"/>
    <w:rsid w:val="00ED1FD1"/>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B2E"/>
    <w:rsid w:val="00ED3D83"/>
    <w:rsid w:val="00ED3DF0"/>
    <w:rsid w:val="00ED3E05"/>
    <w:rsid w:val="00ED4010"/>
    <w:rsid w:val="00ED4027"/>
    <w:rsid w:val="00ED430B"/>
    <w:rsid w:val="00ED4AF6"/>
    <w:rsid w:val="00ED4EDA"/>
    <w:rsid w:val="00ED4F50"/>
    <w:rsid w:val="00ED5063"/>
    <w:rsid w:val="00ED5A03"/>
    <w:rsid w:val="00ED5B65"/>
    <w:rsid w:val="00ED5E4A"/>
    <w:rsid w:val="00ED605B"/>
    <w:rsid w:val="00ED6267"/>
    <w:rsid w:val="00ED65D9"/>
    <w:rsid w:val="00ED6998"/>
    <w:rsid w:val="00ED6FAC"/>
    <w:rsid w:val="00ED7230"/>
    <w:rsid w:val="00ED755C"/>
    <w:rsid w:val="00ED7882"/>
    <w:rsid w:val="00ED79A0"/>
    <w:rsid w:val="00ED7E3C"/>
    <w:rsid w:val="00EE009F"/>
    <w:rsid w:val="00EE07CA"/>
    <w:rsid w:val="00EE0905"/>
    <w:rsid w:val="00EE0BA1"/>
    <w:rsid w:val="00EE1048"/>
    <w:rsid w:val="00EE120E"/>
    <w:rsid w:val="00EE1243"/>
    <w:rsid w:val="00EE163E"/>
    <w:rsid w:val="00EE173E"/>
    <w:rsid w:val="00EE1CB2"/>
    <w:rsid w:val="00EE1F17"/>
    <w:rsid w:val="00EE2203"/>
    <w:rsid w:val="00EE221F"/>
    <w:rsid w:val="00EE2681"/>
    <w:rsid w:val="00EE27A3"/>
    <w:rsid w:val="00EE2AC9"/>
    <w:rsid w:val="00EE2B6B"/>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FA"/>
    <w:rsid w:val="00EE4D01"/>
    <w:rsid w:val="00EE5271"/>
    <w:rsid w:val="00EE5317"/>
    <w:rsid w:val="00EE53C5"/>
    <w:rsid w:val="00EE53E9"/>
    <w:rsid w:val="00EE591C"/>
    <w:rsid w:val="00EE5C0F"/>
    <w:rsid w:val="00EE5CEC"/>
    <w:rsid w:val="00EE6300"/>
    <w:rsid w:val="00EE64EE"/>
    <w:rsid w:val="00EE670B"/>
    <w:rsid w:val="00EE67E6"/>
    <w:rsid w:val="00EE6B30"/>
    <w:rsid w:val="00EE6BAD"/>
    <w:rsid w:val="00EE6E49"/>
    <w:rsid w:val="00EE6E7D"/>
    <w:rsid w:val="00EE747C"/>
    <w:rsid w:val="00EE750B"/>
    <w:rsid w:val="00EE75E4"/>
    <w:rsid w:val="00EE76A2"/>
    <w:rsid w:val="00EE76B1"/>
    <w:rsid w:val="00EE7947"/>
    <w:rsid w:val="00EE79EC"/>
    <w:rsid w:val="00EE7C32"/>
    <w:rsid w:val="00EE7E8C"/>
    <w:rsid w:val="00EF01E3"/>
    <w:rsid w:val="00EF02AD"/>
    <w:rsid w:val="00EF0437"/>
    <w:rsid w:val="00EF064E"/>
    <w:rsid w:val="00EF06E1"/>
    <w:rsid w:val="00EF06F2"/>
    <w:rsid w:val="00EF109F"/>
    <w:rsid w:val="00EF1177"/>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718"/>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C99"/>
    <w:rsid w:val="00EF6EAA"/>
    <w:rsid w:val="00EF7510"/>
    <w:rsid w:val="00EF7574"/>
    <w:rsid w:val="00EF757C"/>
    <w:rsid w:val="00EF79FE"/>
    <w:rsid w:val="00EF7ACE"/>
    <w:rsid w:val="00EF7B10"/>
    <w:rsid w:val="00EF7BC1"/>
    <w:rsid w:val="00EF7CC1"/>
    <w:rsid w:val="00EF7FA3"/>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C61"/>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2E5"/>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4ED"/>
    <w:rsid w:val="00F1255E"/>
    <w:rsid w:val="00F127F2"/>
    <w:rsid w:val="00F12985"/>
    <w:rsid w:val="00F12A2A"/>
    <w:rsid w:val="00F13042"/>
    <w:rsid w:val="00F13410"/>
    <w:rsid w:val="00F134C6"/>
    <w:rsid w:val="00F136AB"/>
    <w:rsid w:val="00F137D5"/>
    <w:rsid w:val="00F13934"/>
    <w:rsid w:val="00F139FA"/>
    <w:rsid w:val="00F13A49"/>
    <w:rsid w:val="00F13AEE"/>
    <w:rsid w:val="00F13F37"/>
    <w:rsid w:val="00F14241"/>
    <w:rsid w:val="00F14289"/>
    <w:rsid w:val="00F14F7D"/>
    <w:rsid w:val="00F150C0"/>
    <w:rsid w:val="00F15152"/>
    <w:rsid w:val="00F15356"/>
    <w:rsid w:val="00F1544A"/>
    <w:rsid w:val="00F15494"/>
    <w:rsid w:val="00F155BA"/>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20"/>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DE6"/>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CD1"/>
    <w:rsid w:val="00F3107A"/>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746"/>
    <w:rsid w:val="00F33C58"/>
    <w:rsid w:val="00F33D28"/>
    <w:rsid w:val="00F34492"/>
    <w:rsid w:val="00F34B47"/>
    <w:rsid w:val="00F34F3A"/>
    <w:rsid w:val="00F34F63"/>
    <w:rsid w:val="00F350A2"/>
    <w:rsid w:val="00F357CF"/>
    <w:rsid w:val="00F35DE6"/>
    <w:rsid w:val="00F35E7D"/>
    <w:rsid w:val="00F3611C"/>
    <w:rsid w:val="00F362EF"/>
    <w:rsid w:val="00F36317"/>
    <w:rsid w:val="00F3665B"/>
    <w:rsid w:val="00F366DA"/>
    <w:rsid w:val="00F3687B"/>
    <w:rsid w:val="00F36B25"/>
    <w:rsid w:val="00F3705B"/>
    <w:rsid w:val="00F37175"/>
    <w:rsid w:val="00F37257"/>
    <w:rsid w:val="00F373B7"/>
    <w:rsid w:val="00F37635"/>
    <w:rsid w:val="00F37636"/>
    <w:rsid w:val="00F37650"/>
    <w:rsid w:val="00F376E5"/>
    <w:rsid w:val="00F37BA0"/>
    <w:rsid w:val="00F37F3F"/>
    <w:rsid w:val="00F40082"/>
    <w:rsid w:val="00F40121"/>
    <w:rsid w:val="00F404D6"/>
    <w:rsid w:val="00F40500"/>
    <w:rsid w:val="00F4082A"/>
    <w:rsid w:val="00F40905"/>
    <w:rsid w:val="00F40AA2"/>
    <w:rsid w:val="00F40CC2"/>
    <w:rsid w:val="00F41046"/>
    <w:rsid w:val="00F412D5"/>
    <w:rsid w:val="00F41482"/>
    <w:rsid w:val="00F415AD"/>
    <w:rsid w:val="00F418BD"/>
    <w:rsid w:val="00F419BC"/>
    <w:rsid w:val="00F41A72"/>
    <w:rsid w:val="00F41CC7"/>
    <w:rsid w:val="00F41F6F"/>
    <w:rsid w:val="00F42239"/>
    <w:rsid w:val="00F42353"/>
    <w:rsid w:val="00F428E8"/>
    <w:rsid w:val="00F4293E"/>
    <w:rsid w:val="00F42B38"/>
    <w:rsid w:val="00F42E3D"/>
    <w:rsid w:val="00F43215"/>
    <w:rsid w:val="00F433F1"/>
    <w:rsid w:val="00F43752"/>
    <w:rsid w:val="00F43BDB"/>
    <w:rsid w:val="00F43C15"/>
    <w:rsid w:val="00F43D4C"/>
    <w:rsid w:val="00F43DFF"/>
    <w:rsid w:val="00F442C1"/>
    <w:rsid w:val="00F443C8"/>
    <w:rsid w:val="00F443E7"/>
    <w:rsid w:val="00F4449F"/>
    <w:rsid w:val="00F44553"/>
    <w:rsid w:val="00F4495F"/>
    <w:rsid w:val="00F44991"/>
    <w:rsid w:val="00F44DC5"/>
    <w:rsid w:val="00F45040"/>
    <w:rsid w:val="00F45218"/>
    <w:rsid w:val="00F45971"/>
    <w:rsid w:val="00F45B13"/>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A51"/>
    <w:rsid w:val="00F50B0E"/>
    <w:rsid w:val="00F50F86"/>
    <w:rsid w:val="00F5124D"/>
    <w:rsid w:val="00F51720"/>
    <w:rsid w:val="00F5177C"/>
    <w:rsid w:val="00F517C8"/>
    <w:rsid w:val="00F51818"/>
    <w:rsid w:val="00F5197A"/>
    <w:rsid w:val="00F51B00"/>
    <w:rsid w:val="00F51BF4"/>
    <w:rsid w:val="00F51C3D"/>
    <w:rsid w:val="00F5204C"/>
    <w:rsid w:val="00F522D2"/>
    <w:rsid w:val="00F522D5"/>
    <w:rsid w:val="00F52345"/>
    <w:rsid w:val="00F524C5"/>
    <w:rsid w:val="00F526EC"/>
    <w:rsid w:val="00F52804"/>
    <w:rsid w:val="00F5283B"/>
    <w:rsid w:val="00F52A8C"/>
    <w:rsid w:val="00F52AE6"/>
    <w:rsid w:val="00F52B09"/>
    <w:rsid w:val="00F53461"/>
    <w:rsid w:val="00F5348D"/>
    <w:rsid w:val="00F53511"/>
    <w:rsid w:val="00F53712"/>
    <w:rsid w:val="00F53734"/>
    <w:rsid w:val="00F53DEA"/>
    <w:rsid w:val="00F53F7E"/>
    <w:rsid w:val="00F54029"/>
    <w:rsid w:val="00F5416C"/>
    <w:rsid w:val="00F54AAC"/>
    <w:rsid w:val="00F54C8B"/>
    <w:rsid w:val="00F54D99"/>
    <w:rsid w:val="00F552DF"/>
    <w:rsid w:val="00F5552E"/>
    <w:rsid w:val="00F5594B"/>
    <w:rsid w:val="00F55BB9"/>
    <w:rsid w:val="00F55E42"/>
    <w:rsid w:val="00F55FC6"/>
    <w:rsid w:val="00F56094"/>
    <w:rsid w:val="00F5609E"/>
    <w:rsid w:val="00F5611C"/>
    <w:rsid w:val="00F56371"/>
    <w:rsid w:val="00F56558"/>
    <w:rsid w:val="00F5658C"/>
    <w:rsid w:val="00F569DA"/>
    <w:rsid w:val="00F56D78"/>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E26"/>
    <w:rsid w:val="00F61F9C"/>
    <w:rsid w:val="00F621EF"/>
    <w:rsid w:val="00F623EB"/>
    <w:rsid w:val="00F62885"/>
    <w:rsid w:val="00F62963"/>
    <w:rsid w:val="00F62965"/>
    <w:rsid w:val="00F62AD1"/>
    <w:rsid w:val="00F62ADF"/>
    <w:rsid w:val="00F62B8F"/>
    <w:rsid w:val="00F62FDE"/>
    <w:rsid w:val="00F633F2"/>
    <w:rsid w:val="00F637C3"/>
    <w:rsid w:val="00F638CC"/>
    <w:rsid w:val="00F6396C"/>
    <w:rsid w:val="00F63A7E"/>
    <w:rsid w:val="00F63B59"/>
    <w:rsid w:val="00F63B6D"/>
    <w:rsid w:val="00F63D62"/>
    <w:rsid w:val="00F63F38"/>
    <w:rsid w:val="00F6447B"/>
    <w:rsid w:val="00F645D7"/>
    <w:rsid w:val="00F646B1"/>
    <w:rsid w:val="00F646E9"/>
    <w:rsid w:val="00F6499A"/>
    <w:rsid w:val="00F649D5"/>
    <w:rsid w:val="00F64A18"/>
    <w:rsid w:val="00F64CB0"/>
    <w:rsid w:val="00F64CFF"/>
    <w:rsid w:val="00F64D24"/>
    <w:rsid w:val="00F65128"/>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B31"/>
    <w:rsid w:val="00F70DEE"/>
    <w:rsid w:val="00F71A21"/>
    <w:rsid w:val="00F71A2E"/>
    <w:rsid w:val="00F71BDF"/>
    <w:rsid w:val="00F71E4C"/>
    <w:rsid w:val="00F72338"/>
    <w:rsid w:val="00F72642"/>
    <w:rsid w:val="00F726F7"/>
    <w:rsid w:val="00F72962"/>
    <w:rsid w:val="00F729EF"/>
    <w:rsid w:val="00F72CED"/>
    <w:rsid w:val="00F72D3D"/>
    <w:rsid w:val="00F72D5A"/>
    <w:rsid w:val="00F73069"/>
    <w:rsid w:val="00F73189"/>
    <w:rsid w:val="00F7392F"/>
    <w:rsid w:val="00F73953"/>
    <w:rsid w:val="00F739CE"/>
    <w:rsid w:val="00F73E8B"/>
    <w:rsid w:val="00F745D6"/>
    <w:rsid w:val="00F746A5"/>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7CB"/>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C75"/>
    <w:rsid w:val="00F87D52"/>
    <w:rsid w:val="00F87DC0"/>
    <w:rsid w:val="00F87E24"/>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3E9"/>
    <w:rsid w:val="00F924FC"/>
    <w:rsid w:val="00F92727"/>
    <w:rsid w:val="00F9286B"/>
    <w:rsid w:val="00F92941"/>
    <w:rsid w:val="00F929BD"/>
    <w:rsid w:val="00F92BC6"/>
    <w:rsid w:val="00F93070"/>
    <w:rsid w:val="00F9327E"/>
    <w:rsid w:val="00F932B8"/>
    <w:rsid w:val="00F93340"/>
    <w:rsid w:val="00F9335E"/>
    <w:rsid w:val="00F9355F"/>
    <w:rsid w:val="00F938BD"/>
    <w:rsid w:val="00F93DE5"/>
    <w:rsid w:val="00F94007"/>
    <w:rsid w:val="00F940E8"/>
    <w:rsid w:val="00F94349"/>
    <w:rsid w:val="00F9448D"/>
    <w:rsid w:val="00F944C2"/>
    <w:rsid w:val="00F946D9"/>
    <w:rsid w:val="00F947B9"/>
    <w:rsid w:val="00F94AE7"/>
    <w:rsid w:val="00F94E21"/>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14"/>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A4"/>
    <w:rsid w:val="00FA32F6"/>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656"/>
    <w:rsid w:val="00FB48DB"/>
    <w:rsid w:val="00FB4AD0"/>
    <w:rsid w:val="00FB4F01"/>
    <w:rsid w:val="00FB4F50"/>
    <w:rsid w:val="00FB5385"/>
    <w:rsid w:val="00FB5558"/>
    <w:rsid w:val="00FB58AD"/>
    <w:rsid w:val="00FB59E0"/>
    <w:rsid w:val="00FB5D47"/>
    <w:rsid w:val="00FB5FC0"/>
    <w:rsid w:val="00FB6007"/>
    <w:rsid w:val="00FB643A"/>
    <w:rsid w:val="00FB6809"/>
    <w:rsid w:val="00FB6BBB"/>
    <w:rsid w:val="00FB6CDE"/>
    <w:rsid w:val="00FB6F93"/>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0FB9"/>
    <w:rsid w:val="00FC1008"/>
    <w:rsid w:val="00FC160D"/>
    <w:rsid w:val="00FC180F"/>
    <w:rsid w:val="00FC19C3"/>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1D7"/>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6F7"/>
    <w:rsid w:val="00FC59D4"/>
    <w:rsid w:val="00FC5B94"/>
    <w:rsid w:val="00FC5BE5"/>
    <w:rsid w:val="00FC5EE7"/>
    <w:rsid w:val="00FC66A6"/>
    <w:rsid w:val="00FC681B"/>
    <w:rsid w:val="00FC6A94"/>
    <w:rsid w:val="00FC6AA8"/>
    <w:rsid w:val="00FC6C76"/>
    <w:rsid w:val="00FC6E17"/>
    <w:rsid w:val="00FC6FA5"/>
    <w:rsid w:val="00FC719E"/>
    <w:rsid w:val="00FC71D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0C0"/>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322C"/>
    <w:rsid w:val="00FE3287"/>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411"/>
    <w:rsid w:val="00FE7509"/>
    <w:rsid w:val="00FE7980"/>
    <w:rsid w:val="00FE7BCE"/>
    <w:rsid w:val="00FE7CC1"/>
    <w:rsid w:val="00FE7F11"/>
    <w:rsid w:val="00FE7F56"/>
    <w:rsid w:val="00FE7FE9"/>
    <w:rsid w:val="00FF003D"/>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05"/>
    <w:rsid w:val="00FF45F8"/>
    <w:rsid w:val="00FF472E"/>
    <w:rsid w:val="00FF4E57"/>
    <w:rsid w:val="00FF51E2"/>
    <w:rsid w:val="00FF52C8"/>
    <w:rsid w:val="00FF537F"/>
    <w:rsid w:val="00FF539C"/>
    <w:rsid w:val="00FF58D7"/>
    <w:rsid w:val="00FF5922"/>
    <w:rsid w:val="00FF5AA1"/>
    <w:rsid w:val="00FF5B41"/>
    <w:rsid w:val="00FF5FED"/>
    <w:rsid w:val="00FF610F"/>
    <w:rsid w:val="00FF626E"/>
    <w:rsid w:val="00FF6369"/>
    <w:rsid w:val="00FF63CF"/>
    <w:rsid w:val="00FF686D"/>
    <w:rsid w:val="00FF68B2"/>
    <w:rsid w:val="00FF695A"/>
    <w:rsid w:val="00FF6A4E"/>
    <w:rsid w:val="00FF6B4D"/>
    <w:rsid w:val="00FF7213"/>
    <w:rsid w:val="00FF7773"/>
    <w:rsid w:val="00FF78DA"/>
    <w:rsid w:val="00FF7E3F"/>
    <w:rsid w:val="00FF7F28"/>
    <w:rsid w:val="00FF7FE4"/>
    <w:rsid w:val="4FFA72D7"/>
    <w:rsid w:val="52883FC3"/>
    <w:rsid w:val="6A94DD8E"/>
    <w:rsid w:val="725A27AC"/>
    <w:rsid w:val="7F93B5E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E70CF648-9579-47E0-B1CC-7913E3E7E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style>
  <w:style w:type="paragraph" w:styleId="Heading1">
    <w:name w:val="heading 1"/>
    <w:aliases w:val="PB Heading 1"/>
    <w:basedOn w:val="Normal"/>
    <w:next w:val="PBParagraphNumber"/>
    <w:link w:val="Heading1Char"/>
    <w:uiPriority w:val="1"/>
    <w:qFormat/>
    <w:rsid w:val="00E7383C"/>
    <w:pPr>
      <w:keepNext/>
      <w:keepLines/>
      <w:numPr>
        <w:numId w:val="10"/>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7D72C1"/>
    <w:pPr>
      <w:numPr>
        <w:numId w:val="15"/>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7D72C1"/>
    <w:pPr>
      <w:numPr>
        <w:numId w:val="0"/>
      </w:numPr>
      <w:ind w:left="567"/>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fr-FR"/>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fr-FR"/>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fr-FR"/>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9"/>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rPr>
  </w:style>
  <w:style w:type="character" w:customStyle="1" w:styleId="ListParagraphChar">
    <w:name w:val="List Paragraph Char"/>
    <w:aliases w:val="PB Numbered List Char"/>
    <w:basedOn w:val="DefaultParagraphFont"/>
    <w:link w:val="ListParagraph"/>
    <w:uiPriority w:val="34"/>
    <w:rsid w:val="008E6580"/>
  </w:style>
  <w:style w:type="character" w:customStyle="1" w:styleId="PBParagraphNumberChar">
    <w:name w:val="PB Paragraph Number Char"/>
    <w:basedOn w:val="ListParagraphChar"/>
    <w:link w:val="PBParagraphNumber"/>
    <w:rsid w:val="005A09D5"/>
    <w:rPr>
      <w:color w:val="002060"/>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rPr>
  </w:style>
  <w:style w:type="character" w:customStyle="1" w:styleId="PBBulletListChar">
    <w:name w:val="PB Bullet List Char"/>
    <w:basedOn w:val="ListParagraphChar"/>
    <w:link w:val="PBBulletList"/>
    <w:uiPriority w:val="6"/>
    <w:rsid w:val="008E6580"/>
    <w:rPr>
      <w:color w:val="002060"/>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fr-FR"/>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fr-FR"/>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EB2478"/>
    <w:pPr>
      <w:tabs>
        <w:tab w:val="left" w:pos="1985"/>
        <w:tab w:val="left" w:pos="2657"/>
        <w:tab w:val="right" w:leader="dot" w:pos="9628"/>
      </w:tabs>
      <w:spacing w:after="120"/>
      <w:ind w:left="1985" w:hanging="851"/>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fr-FR"/>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fr-FR"/>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fr-FR"/>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fr-FR"/>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fr-FR"/>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Mentionnonrsolue1">
    <w:name w:val="Mention non résolue1"/>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fr-FR"/>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fr-FR"/>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fr-FR"/>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fr-FR"/>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fr-FR"/>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fr-FR"/>
    </w:rPr>
  </w:style>
  <w:style w:type="character" w:customStyle="1" w:styleId="EndnoteTextChar">
    <w:name w:val="Endnote Text Char"/>
    <w:basedOn w:val="DefaultParagraphFont"/>
    <w:link w:val="EndnoteText"/>
    <w:uiPriority w:val="99"/>
    <w:rsid w:val="000D78A1"/>
    <w:rPr>
      <w:sz w:val="20"/>
      <w:szCs w:val="20"/>
      <w:lang w:val="fr-FR"/>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fr-FR"/>
    </w:rPr>
  </w:style>
  <w:style w:type="paragraph" w:customStyle="1" w:styleId="PBFSindentline">
    <w:name w:val="PB FS indent line"/>
    <w:basedOn w:val="PBFSline"/>
    <w:link w:val="PBFSindentlineChar"/>
    <w:qFormat/>
    <w:rsid w:val="006E7EE2"/>
    <w:pPr>
      <w:numPr>
        <w:numId w:val="5"/>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fr-FR"/>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fr-FR"/>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fr-FR"/>
    </w:rPr>
  </w:style>
  <w:style w:type="paragraph" w:customStyle="1" w:styleId="FStable-">
    <w:name w:val="FS table -"/>
    <w:basedOn w:val="FStable0"/>
    <w:link w:val="FStable-Char"/>
    <w:qFormat/>
    <w:rsid w:val="00575CF0"/>
    <w:pPr>
      <w:numPr>
        <w:numId w:val="6"/>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fr-FR"/>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fr-FR"/>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fr-FR"/>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fr-FR"/>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DD693B"/>
    <w:pPr>
      <w:numPr>
        <w:numId w:val="8"/>
      </w:numPr>
    </w:pPr>
    <w:rPr>
      <w:i/>
      <w:iCs/>
      <w:color w:val="4BC9FF" w:themeColor="accent1" w:themeTint="99"/>
    </w:rPr>
  </w:style>
  <w:style w:type="character" w:customStyle="1" w:styleId="PBheadingiChar">
    <w:name w:val="PB heading i Char"/>
    <w:basedOn w:val="PBParagraphNumberChar"/>
    <w:link w:val="PBheadingi"/>
    <w:rsid w:val="00DD693B"/>
    <w:rPr>
      <w:i/>
      <w:iCs/>
      <w:color w:val="4BC9FF" w:themeColor="accent1" w:themeTint="99"/>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fr-FR"/>
    </w:rPr>
  </w:style>
  <w:style w:type="character" w:customStyle="1" w:styleId="fontstyle01">
    <w:name w:val="fontstyle01"/>
    <w:basedOn w:val="DefaultParagraphFont"/>
    <w:rsid w:val="00034CE1"/>
    <w:rPr>
      <w:rFonts w:ascii="FreeSerif" w:hAnsi="FreeSerif" w:hint="default"/>
      <w:b w:val="0"/>
      <w:bCs w:val="0"/>
      <w:i w:val="0"/>
      <w:iCs w:val="0"/>
      <w:color w:val="000000"/>
      <w:sz w:val="20"/>
      <w:szCs w:val="20"/>
    </w:rPr>
  </w:style>
  <w:style w:type="character" w:customStyle="1" w:styleId="fontstyle21">
    <w:name w:val="fontstyle21"/>
    <w:basedOn w:val="DefaultParagraphFont"/>
    <w:rsid w:val="00034CE1"/>
    <w:rPr>
      <w:rFonts w:ascii="FreeSerifItalic" w:hAnsi="FreeSerifItalic" w:hint="default"/>
      <w:b w:val="0"/>
      <w:bCs w:val="0"/>
      <w:i/>
      <w:iCs/>
      <w:color w:val="000000"/>
      <w:sz w:val="20"/>
      <w:szCs w:val="20"/>
    </w:rPr>
  </w:style>
  <w:style w:type="paragraph" w:customStyle="1" w:styleId="PBPara2">
    <w:name w:val="PB Para 2"/>
    <w:basedOn w:val="PBParagraphNumber"/>
    <w:link w:val="PBPara2Char"/>
    <w:qFormat/>
    <w:rsid w:val="008C4CAE"/>
    <w:pPr>
      <w:numPr>
        <w:numId w:val="0"/>
      </w:numPr>
      <w:ind w:left="993" w:hanging="426"/>
    </w:pPr>
  </w:style>
  <w:style w:type="paragraph" w:customStyle="1" w:styleId="PBPara3">
    <w:name w:val="PB Para3"/>
    <w:basedOn w:val="PBPara2"/>
    <w:link w:val="PBPara3Char"/>
    <w:qFormat/>
    <w:rsid w:val="008C4CAE"/>
    <w:pPr>
      <w:ind w:left="1560"/>
    </w:pPr>
  </w:style>
  <w:style w:type="character" w:customStyle="1" w:styleId="PBPara2Char">
    <w:name w:val="PB Para 2 Char"/>
    <w:basedOn w:val="PBParagraphNumberChar"/>
    <w:link w:val="PBPara2"/>
    <w:rsid w:val="008C4CAE"/>
    <w:rPr>
      <w:color w:val="002060"/>
      <w:lang w:val="fr-FR"/>
    </w:rPr>
  </w:style>
  <w:style w:type="character" w:customStyle="1" w:styleId="PBPara3Char">
    <w:name w:val="PB Para3 Char"/>
    <w:basedOn w:val="PBPara2Char"/>
    <w:link w:val="PBPara3"/>
    <w:rsid w:val="008C4CAE"/>
    <w:rPr>
      <w:color w:val="002060"/>
      <w:lang w:val="fr-FR"/>
    </w:rPr>
  </w:style>
  <w:style w:type="character" w:styleId="UnresolvedMention">
    <w:name w:val="Unresolved Mention"/>
    <w:uiPriority w:val="99"/>
    <w:unhideWhenUsed/>
    <w:rsid w:val="009A3B06"/>
    <w:rPr>
      <w:color w:val="605E5C"/>
      <w:shd w:val="clear" w:color="auto" w:fill="E1DFDD"/>
    </w:rPr>
  </w:style>
  <w:style w:type="character" w:styleId="Mention">
    <w:name w:val="Mention"/>
    <w:uiPriority w:val="99"/>
    <w:unhideWhenUsed/>
    <w:rsid w:val="009A3B06"/>
    <w:rPr>
      <w:color w:val="2B579A"/>
      <w:shd w:val="clear" w:color="auto" w:fill="E1DFDD"/>
    </w:rPr>
  </w:style>
  <w:style w:type="paragraph" w:styleId="NormalWeb">
    <w:name w:val="Normal (Web)"/>
    <w:basedOn w:val="Normal"/>
    <w:uiPriority w:val="99"/>
    <w:unhideWhenUsed/>
    <w:rsid w:val="009A3B06"/>
    <w:pPr>
      <w:spacing w:before="100" w:beforeAutospacing="1" w:after="100" w:afterAutospacing="1" w:line="240" w:lineRule="auto"/>
      <w:jc w:val="left"/>
    </w:pPr>
    <w:rPr>
      <w:rFonts w:ascii="Calibri" w:eastAsia="Franklin Gothic Book"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84b07556-a777-4393-b4b3-0a034c098f91.pdf"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3525ac16-22ec-4588-a38f-2252283d8c0a.pdf" TargetMode="Externa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efc2597e-3bf5-4645-bc33-66189992901a.pdf"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799914e0-b2c2-49c6-a7a3-711f39c3461a.pdf" TargetMode="External"/><Relationship Id="rId22" Type="http://schemas.openxmlformats.org/officeDocument/2006/relationships/footer" Target="footer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fm-mfi.org/fr/node/120" TargetMode="External"/><Relationship Id="rId13" Type="http://schemas.openxmlformats.org/officeDocument/2006/relationships/hyperlink" Target="https://www.bj.admin.ch/bj/fr/home/aktuell/reden/2020-02-27.html" TargetMode="External"/><Relationship Id="rId3" Type="http://schemas.openxmlformats.org/officeDocument/2006/relationships/hyperlink" Target="https://www.dss.gov.au/families-and-children-programs-services-intercountry-adoption-key-policy-documents/protocol-for-responding-to-allegations-of-child-trafficking-in-intercountry-adoption" TargetMode="External"/><Relationship Id="rId7" Type="http://schemas.openxmlformats.org/officeDocument/2006/relationships/hyperlink" Target="https://www.iss-ssi.org/images/Plaidoyer/Illegal_Adoption_ISS_Professional_Handbook_FRA.pdf" TargetMode="External"/><Relationship Id="rId12" Type="http://schemas.openxmlformats.org/officeDocument/2006/relationships/hyperlink" Target="https://www.hrw.org/news/2021/02/22/sweden-investigate-illegal-intercountry-adoptions" TargetMode="External"/><Relationship Id="rId2" Type="http://schemas.openxmlformats.org/officeDocument/2006/relationships/hyperlink" Target="https://www.dss.gov.au/families-and-children-programs-services-intercountry-adoption-key-policy-documents/protocol-for-responding-to-allegations-of-illicit-or-illegal-practices-in-intercountry-adoption" TargetMode="External"/><Relationship Id="rId16" Type="http://schemas.openxmlformats.org/officeDocument/2006/relationships/hyperlink" Target="https://www.ictj.org/about" TargetMode="External"/><Relationship Id="rId1" Type="http://schemas.openxmlformats.org/officeDocument/2006/relationships/hyperlink" Target="https://www.refworld.org/cgi-bin/texis/vtx/rwmain/opendocpdf.pdf?reldoc=y&amp;docid=4bbaedd82" TargetMode="External"/><Relationship Id="rId6" Type="http://schemas.openxmlformats.org/officeDocument/2006/relationships/hyperlink" Target="https://www.iss-ssi.org/images/Plaidoyer/Illegal_Adoption_ISS_Professional_Handbook_FRA.pdf" TargetMode="External"/><Relationship Id="rId11" Type="http://schemas.openxmlformats.org/officeDocument/2006/relationships/hyperlink" Target="https://www.rijksoverheid.nl/documenten/rapporten/2021/02/08/tk-bijlage-coia-rapport" TargetMode="External"/><Relationship Id="rId5" Type="http://schemas.openxmlformats.org/officeDocument/2006/relationships/hyperlink" Target="https://www.communitygrants.gov.au/sites/default/files/documents/10_2020/icafss-grant-opportunity-guidelines.pdf" TargetMode="External"/><Relationship Id="rId15" Type="http://schemas.openxmlformats.org/officeDocument/2006/relationships/hyperlink" Target="https://bettercarenetwork.org/library/social-welfare-systems/child-care-and-protection-policies/2019-unga-resolution-on-the-rights-of-the-child" TargetMode="External"/><Relationship Id="rId10" Type="http://schemas.openxmlformats.org/officeDocument/2006/relationships/hyperlink" Target="https://www.lci.fr/societe/le-gouvernement-annonce-la-tenue-d-une-commission-d-enquete-sur-des-adoptions-illegales-a-l-international-2187278.html" TargetMode="External"/><Relationship Id="rId4" Type="http://schemas.openxmlformats.org/officeDocument/2006/relationships/hyperlink" Target="https://assets.hcch.net/upload/2012discpaper33fr.pdf" TargetMode="External"/><Relationship Id="rId9" Type="http://schemas.openxmlformats.org/officeDocument/2006/relationships/hyperlink" Target="https://www.iss-ssi.org/images/editorial-monthly-review/Editorials_fra/2018/Edito_222Juin_2018.pdf" TargetMode="External"/><Relationship Id="rId14" Type="http://schemas.openxmlformats.org/officeDocument/2006/relationships/hyperlink" Target="https://assets.hcch.net/docs/8fe5d2ce-020d-4d54-ab97-d99460c76dc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Capucine Page</DisplayName>
        <AccountId>52</AccountId>
        <AccountType/>
      </UserInfo>
      <UserInfo>
        <DisplayName>Laura Martinez-Mora</DisplayName>
        <AccountId>53</AccountId>
        <AccountType/>
      </UserInfo>
      <UserInfo>
        <DisplayName>Lydie de Loof</DisplayName>
        <AccountId>76</AccountId>
        <AccountType/>
      </UserInfo>
      <UserInfo>
        <DisplayName>Anna Koelewijn</DisplayName>
        <AccountId>106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7A9D39E1-7F55-49FA-AFED-CEF25DCAA1D5}">
  <ds:schemaRefs>
    <ds:schemaRef ds:uri="http://schemas.openxmlformats.org/officeDocument/2006/bibliography"/>
  </ds:schemaRefs>
</ds:datastoreItem>
</file>

<file path=customXml/itemProps3.xml><?xml version="1.0" encoding="utf-8"?>
<ds:datastoreItem xmlns:ds="http://schemas.openxmlformats.org/officeDocument/2006/customXml" ds:itemID="{67948EE6-E2F1-48D5-9805-EB0F2D3EA0D8}">
  <ds:schemaRefs>
    <ds:schemaRef ds:uri="6652c5c8-06da-49d8-9279-6cb6c545cc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d0217c9-950a-4e41-bf50-cb4941fbe92a"/>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97F097C7-5E78-4425-B539-A13BBFF46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9834</Words>
  <Characters>54090</Characters>
  <Application>Microsoft Office Word</Application>
  <DocSecurity>0</DocSecurity>
  <Lines>886</Lines>
  <Paragraphs>363</Paragraphs>
  <ScaleCrop>false</ScaleCrop>
  <Company/>
  <LinksUpToDate>false</LinksUpToDate>
  <CharactersWithSpaces>63561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Boîte à outils visant à prévenir les pratiques illicites en matière d’adoption internationale et à y remédier
PARTIE IV – PROCÉDURE TYPE VISANT À RÉPONDRE AUX PRATIQUES ILLICITES</dc:title>
  <dc:subject/>
  <dc:creator>Nicole Sims</dc:creator>
  <cp:keywords/>
  <dc:description/>
  <cp:lastModifiedBy>Stuart Hawkins</cp:lastModifiedBy>
  <cp:revision>2</cp:revision>
  <cp:lastPrinted>2021-02-18T05:29:00Z</cp:lastPrinted>
  <dcterms:created xsi:type="dcterms:W3CDTF">2022-06-14T08:24:00Z</dcterms:created>
  <dcterms:modified xsi:type="dcterms:W3CDTF">2022-06-14T08:24:00Z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