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2B93B"/>
          <w:left w:val="single" w:sz="4" w:space="0" w:color="A2B93B"/>
          <w:bottom w:val="single" w:sz="4" w:space="0" w:color="A2B93B"/>
          <w:right w:val="single" w:sz="4" w:space="0" w:color="A2B93B"/>
          <w:insideH w:val="single" w:sz="4" w:space="0" w:color="A2B93B"/>
          <w:insideV w:val="single" w:sz="4" w:space="0" w:color="A2B93B"/>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402909" w14:paraId="08B8BE4F" w14:textId="77777777" w:rsidTr="6060CC07">
        <w:trPr>
          <w:trHeight w:val="850"/>
        </w:trPr>
        <w:tc>
          <w:tcPr>
            <w:tcW w:w="1666" w:type="pct"/>
            <w:shd w:val="clear" w:color="auto" w:fill="auto"/>
            <w:vAlign w:val="center"/>
          </w:tcPr>
          <w:p w14:paraId="174A5360" w14:textId="77777777" w:rsidR="00252B28" w:rsidRPr="00402909" w:rsidRDefault="00252B28" w:rsidP="00402909">
            <w:pPr>
              <w:spacing w:after="0" w:line="240" w:lineRule="auto"/>
              <w:jc w:val="center"/>
              <w:rPr>
                <w:rFonts w:ascii="Franklin Gothic Medium" w:hAnsi="Franklin Gothic Medium"/>
                <w:color w:val="024987"/>
              </w:rPr>
            </w:pPr>
            <w:r>
              <w:rPr>
                <w:rFonts w:ascii="Franklin Gothic Medium" w:hAnsi="Franklin Gothic Medium"/>
                <w:color w:val="024987"/>
              </w:rPr>
              <w:t>Titre</w:t>
            </w:r>
          </w:p>
        </w:tc>
        <w:tc>
          <w:tcPr>
            <w:tcW w:w="3334" w:type="pct"/>
            <w:shd w:val="clear" w:color="auto" w:fill="auto"/>
            <w:vAlign w:val="center"/>
          </w:tcPr>
          <w:p w14:paraId="196D41A0" w14:textId="31BEABB2" w:rsidR="00A5716E" w:rsidRPr="00402909" w:rsidRDefault="00A5716E" w:rsidP="00402909">
            <w:pPr>
              <w:spacing w:after="0" w:line="240" w:lineRule="auto"/>
              <w:jc w:val="left"/>
              <w:rPr>
                <w:b/>
                <w:bCs/>
                <w:color w:val="002060"/>
                <w:sz w:val="24"/>
                <w:szCs w:val="24"/>
              </w:rPr>
            </w:pPr>
            <w:r>
              <w:rPr>
                <w:b/>
                <w:color w:val="002060"/>
                <w:sz w:val="24"/>
              </w:rPr>
              <w:t>Projet de Boîte à outils visant à prévenir les pratiques illicites en matière d</w:t>
            </w:r>
            <w:r w:rsidR="00190C93">
              <w:rPr>
                <w:b/>
                <w:color w:val="002060"/>
                <w:sz w:val="24"/>
              </w:rPr>
              <w:t>’</w:t>
            </w:r>
            <w:r>
              <w:rPr>
                <w:b/>
                <w:color w:val="002060"/>
                <w:sz w:val="24"/>
              </w:rPr>
              <w:t>adoption internationale et à y remédier</w:t>
            </w:r>
            <w:r>
              <w:rPr>
                <w:b/>
                <w:color w:val="002060"/>
                <w:sz w:val="24"/>
              </w:rPr>
              <w:br/>
              <w:t>PARTIE</w:t>
            </w:r>
            <w:r w:rsidR="00476CE3">
              <w:rPr>
                <w:b/>
                <w:color w:val="002060"/>
                <w:sz w:val="24"/>
              </w:rPr>
              <w:t> </w:t>
            </w:r>
            <w:r>
              <w:rPr>
                <w:b/>
                <w:color w:val="002060"/>
                <w:sz w:val="24"/>
              </w:rPr>
              <w:t>V – LIGNES DIRECTRICES RELATIVES À LA COOPÉRATION ET À LA COORDINATION</w:t>
            </w:r>
          </w:p>
          <w:p w14:paraId="0F7B5000" w14:textId="77777777" w:rsidR="00EA3F4A" w:rsidRPr="00402909" w:rsidRDefault="00EA3F4A" w:rsidP="00402909">
            <w:pPr>
              <w:spacing w:after="0" w:line="240" w:lineRule="auto"/>
              <w:jc w:val="left"/>
              <w:rPr>
                <w:b/>
                <w:color w:val="002060"/>
                <w:sz w:val="24"/>
                <w:szCs w:val="24"/>
              </w:rPr>
            </w:pPr>
          </w:p>
        </w:tc>
      </w:tr>
      <w:tr w:rsidR="006E1A35" w:rsidRPr="008520CB" w14:paraId="4C7CBEFE" w14:textId="77777777" w:rsidTr="6060CC07">
        <w:trPr>
          <w:trHeight w:val="850"/>
        </w:trPr>
        <w:tc>
          <w:tcPr>
            <w:tcW w:w="1666" w:type="pct"/>
            <w:shd w:val="clear" w:color="auto" w:fill="auto"/>
            <w:vAlign w:val="center"/>
          </w:tcPr>
          <w:p w14:paraId="326999EB" w14:textId="77777777" w:rsidR="006E1A35" w:rsidRPr="00402909" w:rsidRDefault="006E1A35" w:rsidP="00402909">
            <w:pPr>
              <w:spacing w:after="0" w:line="240" w:lineRule="auto"/>
              <w:jc w:val="center"/>
              <w:rPr>
                <w:rFonts w:ascii="Franklin Gothic Medium" w:hAnsi="Franklin Gothic Medium"/>
                <w:color w:val="024987"/>
              </w:rPr>
            </w:pPr>
            <w:r>
              <w:rPr>
                <w:rFonts w:ascii="Franklin Gothic Medium" w:hAnsi="Franklin Gothic Medium"/>
                <w:color w:val="024987"/>
              </w:rPr>
              <w:t>Document</w:t>
            </w:r>
          </w:p>
        </w:tc>
        <w:tc>
          <w:tcPr>
            <w:tcW w:w="3334" w:type="pct"/>
            <w:shd w:val="clear" w:color="auto" w:fill="auto"/>
            <w:vAlign w:val="center"/>
          </w:tcPr>
          <w:p w14:paraId="18428F36" w14:textId="77777777" w:rsidR="006E1A35" w:rsidRPr="00AE1456" w:rsidRDefault="00333F30" w:rsidP="00402909">
            <w:pPr>
              <w:spacing w:after="0" w:line="240" w:lineRule="auto"/>
              <w:jc w:val="left"/>
              <w:rPr>
                <w:lang w:val="es-ES"/>
              </w:rPr>
            </w:pPr>
            <w:bookmarkStart w:id="0" w:name="PrelDoc_Info"/>
            <w:r w:rsidRPr="00AE1456">
              <w:rPr>
                <w:b/>
                <w:bCs/>
                <w:color w:val="002060"/>
                <w:sz w:val="24"/>
                <w:lang w:val="es-ES"/>
              </w:rPr>
              <w:t>Doc. prél. No 6E REV de janvier 2022</w:t>
            </w:r>
            <w:bookmarkEnd w:id="0"/>
          </w:p>
        </w:tc>
      </w:tr>
      <w:tr w:rsidR="00252B28" w:rsidRPr="00402909" w14:paraId="3E7B7481" w14:textId="77777777" w:rsidTr="6060CC07">
        <w:trPr>
          <w:trHeight w:val="850"/>
        </w:trPr>
        <w:tc>
          <w:tcPr>
            <w:tcW w:w="1666" w:type="pct"/>
            <w:shd w:val="clear" w:color="auto" w:fill="auto"/>
            <w:vAlign w:val="center"/>
          </w:tcPr>
          <w:p w14:paraId="68B7EED6" w14:textId="77777777" w:rsidR="00252B28" w:rsidRPr="00402909" w:rsidRDefault="00252B28" w:rsidP="00402909">
            <w:pPr>
              <w:spacing w:after="0" w:line="240" w:lineRule="auto"/>
              <w:jc w:val="center"/>
              <w:rPr>
                <w:rFonts w:ascii="Franklin Gothic Medium" w:hAnsi="Franklin Gothic Medium"/>
                <w:color w:val="024987"/>
              </w:rPr>
            </w:pPr>
            <w:r>
              <w:rPr>
                <w:rFonts w:ascii="Franklin Gothic Medium" w:hAnsi="Franklin Gothic Medium"/>
                <w:color w:val="024987"/>
              </w:rPr>
              <w:t>Auteur</w:t>
            </w:r>
          </w:p>
        </w:tc>
        <w:tc>
          <w:tcPr>
            <w:tcW w:w="3334" w:type="pct"/>
            <w:shd w:val="clear" w:color="auto" w:fill="auto"/>
            <w:vAlign w:val="center"/>
          </w:tcPr>
          <w:p w14:paraId="73527C67" w14:textId="24F5EB92" w:rsidR="00252B28" w:rsidRPr="00402909" w:rsidRDefault="00E20F03" w:rsidP="00402909">
            <w:pPr>
              <w:spacing w:after="0" w:line="240" w:lineRule="auto"/>
              <w:jc w:val="left"/>
              <w:rPr>
                <w:color w:val="808080"/>
              </w:rPr>
            </w:pPr>
            <w:r>
              <w:rPr>
                <w:color w:val="002060"/>
              </w:rPr>
              <w:t>Groupe de travail sur la prévention des pratiques illicites en matière d</w:t>
            </w:r>
            <w:r w:rsidR="00190C93">
              <w:rPr>
                <w:color w:val="002060"/>
              </w:rPr>
              <w:t>’</w:t>
            </w:r>
            <w:r>
              <w:rPr>
                <w:color w:val="002060"/>
              </w:rPr>
              <w:t>adoption internationale et la manière d</w:t>
            </w:r>
            <w:r w:rsidR="00190C93">
              <w:rPr>
                <w:color w:val="002060"/>
              </w:rPr>
              <w:t>’</w:t>
            </w:r>
            <w:r>
              <w:rPr>
                <w:color w:val="002060"/>
              </w:rPr>
              <w:t>y remédier (Groupe de travail), avec l</w:t>
            </w:r>
            <w:r w:rsidR="00190C93">
              <w:rPr>
                <w:color w:val="002060"/>
              </w:rPr>
              <w:t>’</w:t>
            </w:r>
            <w:r>
              <w:rPr>
                <w:color w:val="002060"/>
              </w:rPr>
              <w:t>appui du Bureau Permanent (BP) de la HCCH</w:t>
            </w:r>
          </w:p>
        </w:tc>
      </w:tr>
      <w:tr w:rsidR="00252B28" w:rsidRPr="00402909" w14:paraId="25E61A72" w14:textId="77777777" w:rsidTr="6060CC07">
        <w:trPr>
          <w:trHeight w:val="850"/>
        </w:trPr>
        <w:tc>
          <w:tcPr>
            <w:tcW w:w="1666" w:type="pct"/>
            <w:shd w:val="clear" w:color="auto" w:fill="auto"/>
            <w:vAlign w:val="center"/>
          </w:tcPr>
          <w:p w14:paraId="213140B9" w14:textId="02B28FD1" w:rsidR="00252B28" w:rsidRPr="00402909" w:rsidRDefault="00252B28" w:rsidP="00402909">
            <w:pPr>
              <w:spacing w:after="0" w:line="240" w:lineRule="auto"/>
              <w:jc w:val="center"/>
              <w:rPr>
                <w:rFonts w:ascii="Franklin Gothic Medium" w:hAnsi="Franklin Gothic Medium"/>
                <w:color w:val="024987"/>
              </w:rPr>
            </w:pPr>
            <w:r>
              <w:rPr>
                <w:rFonts w:ascii="Franklin Gothic Medium" w:hAnsi="Franklin Gothic Medium"/>
                <w:color w:val="024987"/>
              </w:rPr>
              <w:t>Point de l</w:t>
            </w:r>
            <w:r w:rsidR="00190C93">
              <w:rPr>
                <w:rFonts w:ascii="Franklin Gothic Medium" w:hAnsi="Franklin Gothic Medium"/>
                <w:color w:val="024987"/>
              </w:rPr>
              <w:t>’</w:t>
            </w:r>
            <w:r>
              <w:rPr>
                <w:rFonts w:ascii="Franklin Gothic Medium" w:hAnsi="Franklin Gothic Medium"/>
                <w:color w:val="024987"/>
              </w:rPr>
              <w:t>ordre du jour</w:t>
            </w:r>
          </w:p>
        </w:tc>
        <w:tc>
          <w:tcPr>
            <w:tcW w:w="3334" w:type="pct"/>
            <w:shd w:val="clear" w:color="auto" w:fill="auto"/>
            <w:vAlign w:val="center"/>
          </w:tcPr>
          <w:p w14:paraId="798CB419" w14:textId="05F665FC" w:rsidR="00252B28" w:rsidRPr="00402909" w:rsidRDefault="00471847" w:rsidP="6060CC07">
            <w:pPr>
              <w:spacing w:after="0" w:line="240" w:lineRule="auto"/>
              <w:jc w:val="left"/>
              <w:rPr>
                <w:color w:val="002060"/>
              </w:rPr>
            </w:pPr>
            <w:r w:rsidRPr="6060CC07">
              <w:rPr>
                <w:color w:val="002060"/>
              </w:rPr>
              <w:t>Point 8</w:t>
            </w:r>
          </w:p>
        </w:tc>
      </w:tr>
      <w:tr w:rsidR="00252B28" w:rsidRPr="00402909" w14:paraId="498165FD" w14:textId="77777777" w:rsidTr="6060CC07">
        <w:trPr>
          <w:trHeight w:val="850"/>
        </w:trPr>
        <w:tc>
          <w:tcPr>
            <w:tcW w:w="1666" w:type="pct"/>
            <w:shd w:val="clear" w:color="auto" w:fill="auto"/>
            <w:vAlign w:val="center"/>
          </w:tcPr>
          <w:p w14:paraId="07914888" w14:textId="77777777" w:rsidR="00252B28" w:rsidRPr="00402909" w:rsidRDefault="00252B28" w:rsidP="00402909">
            <w:pPr>
              <w:spacing w:after="0" w:line="240" w:lineRule="auto"/>
              <w:jc w:val="center"/>
              <w:rPr>
                <w:rFonts w:ascii="Franklin Gothic Medium" w:hAnsi="Franklin Gothic Medium"/>
                <w:color w:val="024987"/>
              </w:rPr>
            </w:pPr>
            <w:r>
              <w:rPr>
                <w:rFonts w:ascii="Franklin Gothic Medium" w:hAnsi="Franklin Gothic Medium"/>
                <w:color w:val="024987"/>
              </w:rPr>
              <w:t>Mandat(s)</w:t>
            </w:r>
          </w:p>
        </w:tc>
        <w:tc>
          <w:tcPr>
            <w:tcW w:w="3334" w:type="pct"/>
            <w:shd w:val="clear" w:color="auto" w:fill="auto"/>
            <w:vAlign w:val="center"/>
          </w:tcPr>
          <w:p w14:paraId="6B9836F6" w14:textId="77777777" w:rsidR="00252B28" w:rsidRPr="00402909" w:rsidRDefault="00AB7BD2" w:rsidP="00402909">
            <w:pPr>
              <w:spacing w:after="0" w:line="240" w:lineRule="auto"/>
              <w:rPr>
                <w:i/>
                <w:iCs/>
                <w:color w:val="808080"/>
              </w:rPr>
            </w:pPr>
            <w:r>
              <w:rPr>
                <w:color w:val="002060"/>
              </w:rPr>
              <w:t>C&amp;R No 24 du CAGP de 2017.</w:t>
            </w:r>
          </w:p>
        </w:tc>
      </w:tr>
      <w:tr w:rsidR="00252B28" w:rsidRPr="00402909" w14:paraId="5800E4F2" w14:textId="77777777" w:rsidTr="6060CC07">
        <w:trPr>
          <w:trHeight w:val="850"/>
        </w:trPr>
        <w:tc>
          <w:tcPr>
            <w:tcW w:w="1666" w:type="pct"/>
            <w:shd w:val="clear" w:color="auto" w:fill="auto"/>
            <w:vAlign w:val="center"/>
          </w:tcPr>
          <w:p w14:paraId="04328709" w14:textId="77777777" w:rsidR="00252B28" w:rsidRPr="00402909" w:rsidRDefault="00252B28" w:rsidP="00402909">
            <w:pPr>
              <w:spacing w:after="0" w:line="240" w:lineRule="auto"/>
              <w:jc w:val="center"/>
              <w:rPr>
                <w:rFonts w:ascii="Franklin Gothic Medium" w:hAnsi="Franklin Gothic Medium"/>
                <w:color w:val="024987"/>
              </w:rPr>
            </w:pPr>
            <w:r>
              <w:rPr>
                <w:rFonts w:ascii="Franklin Gothic Medium" w:hAnsi="Franklin Gothic Medium"/>
                <w:color w:val="024987"/>
              </w:rPr>
              <w:t>Objectif</w:t>
            </w:r>
          </w:p>
        </w:tc>
        <w:tc>
          <w:tcPr>
            <w:tcW w:w="3334" w:type="pct"/>
            <w:shd w:val="clear" w:color="auto" w:fill="auto"/>
            <w:vAlign w:val="center"/>
          </w:tcPr>
          <w:p w14:paraId="21731BDE" w14:textId="15C88819" w:rsidR="00252B28" w:rsidRPr="00402909" w:rsidRDefault="00882B23" w:rsidP="00402909">
            <w:pPr>
              <w:spacing w:after="0" w:line="240" w:lineRule="auto"/>
              <w:jc w:val="left"/>
              <w:rPr>
                <w:color w:val="002060"/>
              </w:rPr>
            </w:pPr>
            <w:r>
              <w:rPr>
                <w:color w:val="002060"/>
              </w:rPr>
              <w:t>Discuter des principales questions en suspens concernant le projet de Boîte à outils lors de la réunion de la Commission spéciale, en vue d</w:t>
            </w:r>
            <w:r w:rsidR="00190C93">
              <w:rPr>
                <w:color w:val="002060"/>
              </w:rPr>
              <w:t>’</w:t>
            </w:r>
            <w:r>
              <w:rPr>
                <w:color w:val="002060"/>
              </w:rPr>
              <w:t>obtenir l</w:t>
            </w:r>
            <w:r w:rsidR="00190C93">
              <w:rPr>
                <w:color w:val="002060"/>
              </w:rPr>
              <w:t>’</w:t>
            </w:r>
            <w:r>
              <w:rPr>
                <w:color w:val="002060"/>
              </w:rPr>
              <w:t xml:space="preserve">approbation de la Commission spéciale </w:t>
            </w:r>
          </w:p>
        </w:tc>
      </w:tr>
      <w:tr w:rsidR="00252B28" w:rsidRPr="00402909" w14:paraId="31D23A81" w14:textId="77777777" w:rsidTr="6060CC07">
        <w:trPr>
          <w:trHeight w:val="850"/>
        </w:trPr>
        <w:tc>
          <w:tcPr>
            <w:tcW w:w="1666" w:type="pct"/>
            <w:shd w:val="clear" w:color="auto" w:fill="auto"/>
            <w:vAlign w:val="center"/>
          </w:tcPr>
          <w:p w14:paraId="355BF4D3" w14:textId="77777777" w:rsidR="00252B28" w:rsidRPr="00402909" w:rsidRDefault="00252B28" w:rsidP="00402909">
            <w:pPr>
              <w:spacing w:after="0" w:line="240" w:lineRule="auto"/>
              <w:jc w:val="center"/>
              <w:rPr>
                <w:rFonts w:ascii="Franklin Gothic Medium" w:hAnsi="Franklin Gothic Medium"/>
                <w:color w:val="024987"/>
              </w:rPr>
            </w:pPr>
            <w:r>
              <w:rPr>
                <w:rFonts w:ascii="Franklin Gothic Medium" w:hAnsi="Franklin Gothic Medium"/>
                <w:color w:val="024987"/>
              </w:rPr>
              <w:t>Mesures à prendre</w:t>
            </w:r>
          </w:p>
        </w:tc>
        <w:tc>
          <w:tcPr>
            <w:tcW w:w="3334" w:type="pct"/>
            <w:shd w:val="clear" w:color="auto" w:fill="auto"/>
            <w:vAlign w:val="center"/>
          </w:tcPr>
          <w:p w14:paraId="23CC257C" w14:textId="5E563AAB" w:rsidR="002932EE" w:rsidRPr="00402909" w:rsidRDefault="002932EE" w:rsidP="00402909">
            <w:pPr>
              <w:tabs>
                <w:tab w:val="left" w:pos="2325"/>
              </w:tabs>
              <w:spacing w:after="0" w:line="240" w:lineRule="auto"/>
              <w:jc w:val="left"/>
              <w:rPr>
                <w:color w:val="002060"/>
              </w:rPr>
            </w:pPr>
            <w:r>
              <w:rPr>
                <w:color w:val="002060"/>
              </w:rPr>
              <w:t>Pour décision</w:t>
            </w:r>
            <w:r>
              <w:rPr>
                <w:color w:val="002060"/>
              </w:rPr>
              <w:tab/>
            </w:r>
            <w:r>
              <w:rPr>
                <w:color w:val="002060"/>
              </w:rPr>
              <w:tab/>
            </w:r>
            <w:r>
              <w:rPr>
                <w:rFonts w:ascii="MS Gothic" w:hAnsi="MS Gothic"/>
                <w:color w:val="002060"/>
              </w:rPr>
              <w:t>☐</w:t>
            </w:r>
          </w:p>
          <w:p w14:paraId="69C6CFED" w14:textId="77777777" w:rsidR="00252B28" w:rsidRPr="00402909" w:rsidRDefault="00E72135" w:rsidP="00402909">
            <w:pPr>
              <w:tabs>
                <w:tab w:val="left" w:pos="2325"/>
              </w:tabs>
              <w:spacing w:after="0" w:line="240" w:lineRule="auto"/>
              <w:jc w:val="left"/>
              <w:rPr>
                <w:color w:val="002060"/>
              </w:rPr>
            </w:pPr>
            <w:r>
              <w:rPr>
                <w:color w:val="002060"/>
              </w:rPr>
              <w:t>Pour approbation</w:t>
            </w:r>
            <w:r>
              <w:rPr>
                <w:color w:val="002060"/>
              </w:rPr>
              <w:tab/>
            </w:r>
            <w:r>
              <w:rPr>
                <w:color w:val="002060"/>
              </w:rPr>
              <w:tab/>
            </w:r>
            <w:r>
              <w:rPr>
                <w:rFonts w:ascii="MS Gothic" w:hAnsi="MS Gothic"/>
                <w:color w:val="002060"/>
              </w:rPr>
              <w:t>☐</w:t>
            </w:r>
          </w:p>
          <w:p w14:paraId="0B2394B0" w14:textId="049835D7" w:rsidR="00E72135" w:rsidRPr="00402909" w:rsidRDefault="00E72135" w:rsidP="00402909">
            <w:pPr>
              <w:tabs>
                <w:tab w:val="left" w:pos="2325"/>
              </w:tabs>
              <w:spacing w:after="0" w:line="240" w:lineRule="auto"/>
              <w:jc w:val="left"/>
              <w:rPr>
                <w:color w:val="002060"/>
              </w:rPr>
            </w:pPr>
            <w:r>
              <w:rPr>
                <w:color w:val="002060"/>
              </w:rPr>
              <w:t>Pour discussion</w:t>
            </w:r>
            <w:r>
              <w:rPr>
                <w:color w:val="002060"/>
              </w:rPr>
              <w:tab/>
            </w:r>
            <w:r>
              <w:rPr>
                <w:color w:val="002060"/>
              </w:rPr>
              <w:tab/>
            </w:r>
            <w:r>
              <w:rPr>
                <w:rFonts w:ascii="MS Gothic" w:hAnsi="MS Gothic"/>
                <w:color w:val="002060"/>
              </w:rPr>
              <w:t>☒</w:t>
            </w:r>
          </w:p>
          <w:p w14:paraId="6F0BD264" w14:textId="77777777" w:rsidR="00492885" w:rsidRPr="00402909" w:rsidRDefault="00492885" w:rsidP="00402909">
            <w:pPr>
              <w:tabs>
                <w:tab w:val="left" w:pos="2325"/>
              </w:tabs>
              <w:spacing w:after="0" w:line="240" w:lineRule="auto"/>
              <w:jc w:val="left"/>
              <w:rPr>
                <w:color w:val="002060"/>
              </w:rPr>
            </w:pPr>
            <w:r>
              <w:rPr>
                <w:color w:val="002060"/>
              </w:rPr>
              <w:t>Pour action / achèvement</w:t>
            </w:r>
            <w:r>
              <w:rPr>
                <w:color w:val="002060"/>
              </w:rPr>
              <w:tab/>
            </w:r>
            <w:r>
              <w:rPr>
                <w:rFonts w:ascii="MS Gothic" w:hAnsi="MS Gothic"/>
                <w:color w:val="002060"/>
              </w:rPr>
              <w:t>☐</w:t>
            </w:r>
          </w:p>
          <w:p w14:paraId="339337D8" w14:textId="77777777" w:rsidR="002932EE" w:rsidRPr="00402909" w:rsidRDefault="00E72135" w:rsidP="00402909">
            <w:pPr>
              <w:tabs>
                <w:tab w:val="left" w:pos="2325"/>
              </w:tabs>
              <w:spacing w:after="0" w:line="240" w:lineRule="auto"/>
              <w:jc w:val="left"/>
            </w:pPr>
            <w:r>
              <w:rPr>
                <w:color w:val="002060"/>
              </w:rPr>
              <w:t>Pour information</w:t>
            </w:r>
            <w:r>
              <w:rPr>
                <w:color w:val="002060"/>
              </w:rPr>
              <w:tab/>
            </w:r>
            <w:r>
              <w:rPr>
                <w:color w:val="002060"/>
              </w:rPr>
              <w:tab/>
              <w:t>☐</w:t>
            </w:r>
          </w:p>
        </w:tc>
      </w:tr>
      <w:tr w:rsidR="00252B28" w:rsidRPr="00402909" w14:paraId="4219079C" w14:textId="77777777" w:rsidTr="6060CC07">
        <w:trPr>
          <w:trHeight w:val="517"/>
        </w:trPr>
        <w:tc>
          <w:tcPr>
            <w:tcW w:w="1666" w:type="pct"/>
            <w:shd w:val="clear" w:color="auto" w:fill="auto"/>
            <w:vAlign w:val="center"/>
          </w:tcPr>
          <w:p w14:paraId="691B22F4" w14:textId="77777777" w:rsidR="00252B28" w:rsidRPr="00402909" w:rsidRDefault="00252B28" w:rsidP="00402909">
            <w:pPr>
              <w:spacing w:after="0" w:line="240" w:lineRule="auto"/>
              <w:jc w:val="center"/>
              <w:rPr>
                <w:rFonts w:ascii="Franklin Gothic Medium" w:hAnsi="Franklin Gothic Medium"/>
                <w:color w:val="024987"/>
              </w:rPr>
            </w:pPr>
            <w:r>
              <w:rPr>
                <w:rFonts w:ascii="Franklin Gothic Medium" w:hAnsi="Franklin Gothic Medium"/>
                <w:color w:val="024987"/>
              </w:rPr>
              <w:t>Annexes</w:t>
            </w:r>
          </w:p>
        </w:tc>
        <w:tc>
          <w:tcPr>
            <w:tcW w:w="3334" w:type="pct"/>
            <w:shd w:val="clear" w:color="auto" w:fill="auto"/>
            <w:vAlign w:val="center"/>
          </w:tcPr>
          <w:p w14:paraId="5118DE67" w14:textId="77777777" w:rsidR="00252B28" w:rsidRPr="00402909" w:rsidRDefault="00C70C28" w:rsidP="00402909">
            <w:pPr>
              <w:spacing w:after="0" w:line="240" w:lineRule="auto"/>
            </w:pPr>
            <w:r>
              <w:rPr>
                <w:color w:val="002060"/>
              </w:rPr>
              <w:t>S.O.</w:t>
            </w:r>
          </w:p>
        </w:tc>
      </w:tr>
      <w:tr w:rsidR="00252B28" w:rsidRPr="00402909" w14:paraId="779061C7" w14:textId="77777777" w:rsidTr="6060CC07">
        <w:trPr>
          <w:trHeight w:val="850"/>
        </w:trPr>
        <w:tc>
          <w:tcPr>
            <w:tcW w:w="1666" w:type="pct"/>
            <w:shd w:val="clear" w:color="auto" w:fill="auto"/>
            <w:vAlign w:val="center"/>
          </w:tcPr>
          <w:p w14:paraId="5545BE9E" w14:textId="77777777" w:rsidR="00252B28" w:rsidRPr="00402909" w:rsidRDefault="00252B28" w:rsidP="00402909">
            <w:pPr>
              <w:spacing w:after="0" w:line="240" w:lineRule="auto"/>
              <w:jc w:val="center"/>
              <w:rPr>
                <w:rFonts w:ascii="Franklin Gothic Medium" w:hAnsi="Franklin Gothic Medium"/>
                <w:color w:val="024987"/>
              </w:rPr>
            </w:pPr>
            <w:r>
              <w:rPr>
                <w:rFonts w:ascii="Franklin Gothic Medium" w:hAnsi="Franklin Gothic Medium"/>
                <w:color w:val="024987"/>
              </w:rPr>
              <w:t>Document(s) connexe(s)</w:t>
            </w:r>
          </w:p>
        </w:tc>
        <w:tc>
          <w:tcPr>
            <w:tcW w:w="3334" w:type="pct"/>
            <w:shd w:val="clear" w:color="auto" w:fill="auto"/>
            <w:vAlign w:val="center"/>
          </w:tcPr>
          <w:p w14:paraId="6FAE9028" w14:textId="44BD39FC" w:rsidR="00095DC7" w:rsidRPr="00402909" w:rsidRDefault="00095DC7" w:rsidP="00402909">
            <w:pPr>
              <w:spacing w:after="0" w:line="240" w:lineRule="auto"/>
              <w:jc w:val="left"/>
            </w:pPr>
            <w:r>
              <w:rPr>
                <w:color w:val="002060"/>
              </w:rPr>
              <w:t xml:space="preserve">Rapport du Groupe de travail </w:t>
            </w:r>
            <w:r>
              <w:t>(</w:t>
            </w:r>
            <w:hyperlink r:id="rId11" w:history="1">
              <w:r>
                <w:rPr>
                  <w:rStyle w:val="Hyperlink"/>
                </w:rPr>
                <w:t>réunions de septembre et novembre 2021</w:t>
              </w:r>
            </w:hyperlink>
            <w:r>
              <w:t>)</w:t>
            </w:r>
          </w:p>
          <w:p w14:paraId="16DD49CB" w14:textId="2A665EC0" w:rsidR="0020717A" w:rsidRPr="00402909" w:rsidRDefault="0020717A" w:rsidP="00402909">
            <w:pPr>
              <w:spacing w:after="0" w:line="240" w:lineRule="auto"/>
              <w:jc w:val="left"/>
              <w:rPr>
                <w:color w:val="002060"/>
              </w:rPr>
            </w:pPr>
            <w:r>
              <w:rPr>
                <w:color w:val="002060"/>
              </w:rPr>
              <w:t xml:space="preserve">Rapport du Groupe de travail </w:t>
            </w:r>
            <w:r>
              <w:t>(</w:t>
            </w:r>
            <w:hyperlink r:id="rId12" w:history="1">
              <w:r>
                <w:rPr>
                  <w:rStyle w:val="Hyperlink"/>
                </w:rPr>
                <w:t>réunion du 8 au 10 juillet 2020</w:t>
              </w:r>
            </w:hyperlink>
            <w:r>
              <w:t>)</w:t>
            </w:r>
          </w:p>
          <w:p w14:paraId="42649C94" w14:textId="344DBC4D" w:rsidR="0020717A" w:rsidRPr="00402909" w:rsidRDefault="0020717A" w:rsidP="00402909">
            <w:pPr>
              <w:spacing w:after="0" w:line="240" w:lineRule="auto"/>
              <w:jc w:val="left"/>
            </w:pPr>
            <w:r>
              <w:rPr>
                <w:color w:val="002060"/>
              </w:rPr>
              <w:t xml:space="preserve">Conclusions et Recommandations du Groupe de travail </w:t>
            </w:r>
            <w:r>
              <w:t>(</w:t>
            </w:r>
            <w:hyperlink r:id="rId13" w:history="1">
              <w:r>
                <w:rPr>
                  <w:rStyle w:val="Hyperlink"/>
                </w:rPr>
                <w:t>réunion du 21 au 23 mai 2019</w:t>
              </w:r>
            </w:hyperlink>
            <w:r>
              <w:t xml:space="preserve">) </w:t>
            </w:r>
          </w:p>
          <w:p w14:paraId="28D7BD92" w14:textId="253D9391" w:rsidR="00252B28" w:rsidRPr="00402909" w:rsidRDefault="0020717A" w:rsidP="00402909">
            <w:pPr>
              <w:spacing w:after="0" w:line="240" w:lineRule="auto"/>
              <w:jc w:val="left"/>
            </w:pPr>
            <w:r>
              <w:rPr>
                <w:color w:val="002060"/>
              </w:rPr>
              <w:t xml:space="preserve">Conclusions et Recommandations du Groupe de travail </w:t>
            </w:r>
            <w:r>
              <w:t>(</w:t>
            </w:r>
            <w:hyperlink r:id="rId14" w:history="1">
              <w:r>
                <w:rPr>
                  <w:rStyle w:val="Hyperlink"/>
                </w:rPr>
                <w:t>réunion du 13 au 15 octobre 2016</w:t>
              </w:r>
            </w:hyperlink>
            <w:r>
              <w:t>)</w:t>
            </w:r>
          </w:p>
        </w:tc>
      </w:tr>
    </w:tbl>
    <w:p w14:paraId="79040407" w14:textId="77777777" w:rsidR="009519B1" w:rsidRPr="009519B1" w:rsidRDefault="009519B1" w:rsidP="009519B1">
      <w:pPr>
        <w:tabs>
          <w:tab w:val="left" w:pos="8040"/>
        </w:tabs>
        <w:sectPr w:rsidR="009519B1" w:rsidRPr="009519B1" w:rsidSect="00430BD2">
          <w:headerReference w:type="even" r:id="rId15"/>
          <w:headerReference w:type="default" r:id="rId16"/>
          <w:footerReference w:type="even" r:id="rId17"/>
          <w:footerReference w:type="default" r:id="rId18"/>
          <w:headerReference w:type="first" r:id="rId19"/>
          <w:footerReference w:type="first" r:id="rId20"/>
          <w:pgSz w:w="11906" w:h="16838"/>
          <w:pgMar w:top="2835" w:right="851" w:bottom="851" w:left="851" w:header="709" w:footer="709" w:gutter="0"/>
          <w:cols w:space="708"/>
          <w:docGrid w:linePitch="360"/>
        </w:sectPr>
      </w:pPr>
    </w:p>
    <w:p w14:paraId="2A1B80BF" w14:textId="77777777" w:rsidR="00E864E3" w:rsidRDefault="00E864E3">
      <w:pPr>
        <w:pStyle w:val="TOCHeading"/>
      </w:pPr>
      <w:bookmarkStart w:id="1" w:name="_Toc44605845"/>
      <w:bookmarkStart w:id="2" w:name="_Toc44606104"/>
      <w:r>
        <w:lastRenderedPageBreak/>
        <w:t>Table des matières</w:t>
      </w:r>
    </w:p>
    <w:p w14:paraId="3DFC9984" w14:textId="77777777" w:rsidR="00D74B34" w:rsidRPr="00E670A3" w:rsidRDefault="00027317" w:rsidP="00F84584">
      <w:pPr>
        <w:pStyle w:val="TOC1"/>
      </w:pPr>
      <w:r w:rsidRPr="00E670A3">
        <w:tab/>
      </w:r>
      <w:r w:rsidR="00E864E3" w:rsidRPr="00E670A3">
        <w:fldChar w:fldCharType="begin"/>
      </w:r>
      <w:r w:rsidR="00E864E3" w:rsidRPr="00E670A3">
        <w:instrText xml:space="preserve"> TOC \o "1-3" \h \z \u </w:instrText>
      </w:r>
      <w:r w:rsidR="00E864E3" w:rsidRPr="00E670A3">
        <w:fldChar w:fldCharType="separate"/>
      </w:r>
    </w:p>
    <w:p w14:paraId="1E9A3898" w14:textId="2805E17D" w:rsidR="00D74B34" w:rsidRPr="00E670A3" w:rsidRDefault="009076AF" w:rsidP="00F84584">
      <w:pPr>
        <w:pStyle w:val="TOC1"/>
        <w:rPr>
          <w:rFonts w:asciiTheme="minorHAnsi" w:eastAsiaTheme="minorEastAsia" w:hAnsiTheme="minorHAnsi" w:cstheme="minorBidi"/>
        </w:rPr>
      </w:pPr>
      <w:hyperlink w:anchor="_Toc98748215" w:history="1">
        <w:r w:rsidR="00D74B34" w:rsidRPr="00E670A3">
          <w:rPr>
            <w:rStyle w:val="Hyperlink"/>
            <w:color w:val="002060"/>
          </w:rPr>
          <w:t>PARTIE V : LIGNES DIRECTRICES RELATIVES À LA COOPÉRATION ET À LA COORDINATION EN MATIÈRE DE PRÉVENTION DES PRATIQUES ILLICITES, Y COMPRIS LES PRATIQUES ILLICITES SYSTÉMIQUES, ET LA MANIÈRE D</w:t>
        </w:r>
        <w:r w:rsidR="00190C93" w:rsidRPr="00E670A3">
          <w:rPr>
            <w:rStyle w:val="Hyperlink"/>
            <w:color w:val="002060"/>
          </w:rPr>
          <w:t>’</w:t>
        </w:r>
        <w:r w:rsidR="00D74B34" w:rsidRPr="00E670A3">
          <w:rPr>
            <w:rStyle w:val="Hyperlink"/>
            <w:color w:val="002060"/>
          </w:rPr>
          <w:t>Y REMÉDIER</w:t>
        </w:r>
        <w:r w:rsidR="00D74B34" w:rsidRPr="00E670A3">
          <w:rPr>
            <w:webHidden/>
          </w:rPr>
          <w:tab/>
        </w:r>
        <w:r w:rsidR="00D74B34" w:rsidRPr="00E670A3">
          <w:rPr>
            <w:webHidden/>
          </w:rPr>
          <w:fldChar w:fldCharType="begin"/>
        </w:r>
        <w:r w:rsidR="00D74B34" w:rsidRPr="00E670A3">
          <w:rPr>
            <w:webHidden/>
          </w:rPr>
          <w:instrText xml:space="preserve"> PAGEREF _Toc98748215 \h </w:instrText>
        </w:r>
        <w:r w:rsidR="00D74B34" w:rsidRPr="00E670A3">
          <w:rPr>
            <w:webHidden/>
          </w:rPr>
        </w:r>
        <w:r w:rsidR="00D74B34" w:rsidRPr="00E670A3">
          <w:rPr>
            <w:webHidden/>
          </w:rPr>
          <w:fldChar w:fldCharType="separate"/>
        </w:r>
        <w:r w:rsidR="00D74B34" w:rsidRPr="00E670A3">
          <w:rPr>
            <w:webHidden/>
          </w:rPr>
          <w:t>2</w:t>
        </w:r>
        <w:r w:rsidR="00D74B34" w:rsidRPr="00E670A3">
          <w:rPr>
            <w:webHidden/>
          </w:rPr>
          <w:fldChar w:fldCharType="end"/>
        </w:r>
      </w:hyperlink>
    </w:p>
    <w:p w14:paraId="1D79D851" w14:textId="460C8E15" w:rsidR="00D74B34" w:rsidRPr="00E670A3" w:rsidRDefault="009076AF">
      <w:pPr>
        <w:pStyle w:val="TOC2"/>
        <w:rPr>
          <w:rFonts w:asciiTheme="minorHAnsi" w:eastAsiaTheme="minorEastAsia" w:hAnsiTheme="minorHAnsi" w:cstheme="minorBidi"/>
          <w:color w:val="002060"/>
        </w:rPr>
      </w:pPr>
      <w:hyperlink w:anchor="_Toc98748216" w:history="1">
        <w:r w:rsidR="00D74B34" w:rsidRPr="00E670A3">
          <w:rPr>
            <w:rStyle w:val="Hyperlink"/>
            <w:color w:val="002060"/>
          </w:rPr>
          <w:t>1.</w:t>
        </w:r>
        <w:r w:rsidR="00D74B34" w:rsidRPr="00E670A3">
          <w:rPr>
            <w:rFonts w:asciiTheme="minorHAnsi" w:eastAsiaTheme="minorEastAsia" w:hAnsiTheme="minorHAnsi" w:cstheme="minorBidi"/>
            <w:color w:val="002060"/>
          </w:rPr>
          <w:tab/>
        </w:r>
        <w:r w:rsidR="00D74B34" w:rsidRPr="00E670A3">
          <w:rPr>
            <w:rStyle w:val="Hyperlink"/>
            <w:color w:val="002060"/>
          </w:rPr>
          <w:t>Échange d</w:t>
        </w:r>
        <w:r w:rsidR="00190C93" w:rsidRPr="00E670A3">
          <w:rPr>
            <w:rStyle w:val="Hyperlink"/>
            <w:color w:val="002060"/>
          </w:rPr>
          <w:t>’</w:t>
        </w:r>
        <w:r w:rsidR="00D74B34" w:rsidRPr="00E670A3">
          <w:rPr>
            <w:rStyle w:val="Hyperlink"/>
            <w:color w:val="002060"/>
          </w:rPr>
          <w:t>informations</w:t>
        </w:r>
        <w:r w:rsidR="00D74B34" w:rsidRPr="00E670A3">
          <w:rPr>
            <w:webHidden/>
            <w:color w:val="002060"/>
          </w:rPr>
          <w:tab/>
        </w:r>
        <w:r w:rsidR="00D74B34" w:rsidRPr="00E670A3">
          <w:rPr>
            <w:webHidden/>
            <w:color w:val="002060"/>
          </w:rPr>
          <w:fldChar w:fldCharType="begin"/>
        </w:r>
        <w:r w:rsidR="00D74B34" w:rsidRPr="00E670A3">
          <w:rPr>
            <w:webHidden/>
            <w:color w:val="002060"/>
          </w:rPr>
          <w:instrText xml:space="preserve"> PAGEREF _Toc98748216 \h </w:instrText>
        </w:r>
        <w:r w:rsidR="00D74B34" w:rsidRPr="00E670A3">
          <w:rPr>
            <w:webHidden/>
            <w:color w:val="002060"/>
          </w:rPr>
        </w:r>
        <w:r w:rsidR="00D74B34" w:rsidRPr="00E670A3">
          <w:rPr>
            <w:webHidden/>
            <w:color w:val="002060"/>
          </w:rPr>
          <w:fldChar w:fldCharType="separate"/>
        </w:r>
        <w:r w:rsidR="00D74B34" w:rsidRPr="00E670A3">
          <w:rPr>
            <w:webHidden/>
            <w:color w:val="002060"/>
          </w:rPr>
          <w:t>2</w:t>
        </w:r>
        <w:r w:rsidR="00D74B34" w:rsidRPr="00E670A3">
          <w:rPr>
            <w:webHidden/>
            <w:color w:val="002060"/>
          </w:rPr>
          <w:fldChar w:fldCharType="end"/>
        </w:r>
      </w:hyperlink>
    </w:p>
    <w:p w14:paraId="666C5EA2" w14:textId="7A44D2CD" w:rsidR="00D74B34" w:rsidRPr="00E670A3" w:rsidRDefault="009076AF">
      <w:pPr>
        <w:pStyle w:val="TOC2"/>
        <w:rPr>
          <w:rFonts w:asciiTheme="minorHAnsi" w:eastAsiaTheme="minorEastAsia" w:hAnsiTheme="minorHAnsi" w:cstheme="minorBidi"/>
          <w:color w:val="002060"/>
        </w:rPr>
      </w:pPr>
      <w:hyperlink w:anchor="_Toc98748217" w:history="1">
        <w:r w:rsidR="00D74B34" w:rsidRPr="00E670A3">
          <w:rPr>
            <w:rStyle w:val="Hyperlink"/>
            <w:color w:val="002060"/>
          </w:rPr>
          <w:t>2.</w:t>
        </w:r>
        <w:r w:rsidR="00D74B34" w:rsidRPr="00E670A3">
          <w:rPr>
            <w:rFonts w:asciiTheme="minorHAnsi" w:eastAsiaTheme="minorEastAsia" w:hAnsiTheme="minorHAnsi" w:cstheme="minorBidi"/>
            <w:color w:val="002060"/>
          </w:rPr>
          <w:tab/>
        </w:r>
        <w:r w:rsidR="00D74B34" w:rsidRPr="00E670A3">
          <w:rPr>
            <w:rStyle w:val="Hyperlink"/>
            <w:color w:val="002060"/>
          </w:rPr>
          <w:t>Réunions, séminaires et autres rassemblements d</w:t>
        </w:r>
        <w:r w:rsidR="00190C93" w:rsidRPr="00E670A3">
          <w:rPr>
            <w:rStyle w:val="Hyperlink"/>
            <w:color w:val="002060"/>
          </w:rPr>
          <w:t>’</w:t>
        </w:r>
        <w:r w:rsidR="00D74B34" w:rsidRPr="00E670A3">
          <w:rPr>
            <w:rStyle w:val="Hyperlink"/>
            <w:color w:val="002060"/>
          </w:rPr>
          <w:t>autorités, d</w:t>
        </w:r>
        <w:r w:rsidR="00190C93" w:rsidRPr="00E670A3">
          <w:rPr>
            <w:rStyle w:val="Hyperlink"/>
            <w:color w:val="002060"/>
          </w:rPr>
          <w:t>’</w:t>
        </w:r>
        <w:r w:rsidR="00D74B34" w:rsidRPr="00E670A3">
          <w:rPr>
            <w:rStyle w:val="Hyperlink"/>
            <w:color w:val="002060"/>
          </w:rPr>
          <w:t>organes et d</w:t>
        </w:r>
        <w:r w:rsidR="00190C93" w:rsidRPr="00E670A3">
          <w:rPr>
            <w:rStyle w:val="Hyperlink"/>
            <w:color w:val="002060"/>
          </w:rPr>
          <w:t>’</w:t>
        </w:r>
        <w:r w:rsidR="00D74B34" w:rsidRPr="00E670A3">
          <w:rPr>
            <w:rStyle w:val="Hyperlink"/>
            <w:color w:val="002060"/>
          </w:rPr>
          <w:t>autres personnes</w:t>
        </w:r>
        <w:r w:rsidR="00D74B34" w:rsidRPr="00E670A3">
          <w:rPr>
            <w:webHidden/>
            <w:color w:val="002060"/>
          </w:rPr>
          <w:tab/>
        </w:r>
        <w:r w:rsidR="00D74B34" w:rsidRPr="00E670A3">
          <w:rPr>
            <w:webHidden/>
            <w:color w:val="002060"/>
          </w:rPr>
          <w:fldChar w:fldCharType="begin"/>
        </w:r>
        <w:r w:rsidR="00D74B34" w:rsidRPr="00E670A3">
          <w:rPr>
            <w:webHidden/>
            <w:color w:val="002060"/>
          </w:rPr>
          <w:instrText xml:space="preserve"> PAGEREF _Toc98748217 \h </w:instrText>
        </w:r>
        <w:r w:rsidR="00D74B34" w:rsidRPr="00E670A3">
          <w:rPr>
            <w:webHidden/>
            <w:color w:val="002060"/>
          </w:rPr>
        </w:r>
        <w:r w:rsidR="00D74B34" w:rsidRPr="00E670A3">
          <w:rPr>
            <w:webHidden/>
            <w:color w:val="002060"/>
          </w:rPr>
          <w:fldChar w:fldCharType="separate"/>
        </w:r>
        <w:r w:rsidR="00D74B34" w:rsidRPr="00E670A3">
          <w:rPr>
            <w:webHidden/>
            <w:color w:val="002060"/>
          </w:rPr>
          <w:t>2</w:t>
        </w:r>
        <w:r w:rsidR="00D74B34" w:rsidRPr="00E670A3">
          <w:rPr>
            <w:webHidden/>
            <w:color w:val="002060"/>
          </w:rPr>
          <w:fldChar w:fldCharType="end"/>
        </w:r>
      </w:hyperlink>
    </w:p>
    <w:p w14:paraId="66776A6E" w14:textId="262FEE41" w:rsidR="00D74B34" w:rsidRPr="00E670A3" w:rsidRDefault="009076AF">
      <w:pPr>
        <w:pStyle w:val="TOC2"/>
        <w:rPr>
          <w:rFonts w:asciiTheme="minorHAnsi" w:eastAsiaTheme="minorEastAsia" w:hAnsiTheme="minorHAnsi" w:cstheme="minorBidi"/>
          <w:color w:val="002060"/>
        </w:rPr>
      </w:pPr>
      <w:hyperlink w:anchor="_Toc98748218" w:history="1">
        <w:r w:rsidR="00D74B34" w:rsidRPr="00E670A3">
          <w:rPr>
            <w:rStyle w:val="Hyperlink"/>
            <w:color w:val="002060"/>
          </w:rPr>
          <w:t>3.</w:t>
        </w:r>
        <w:r w:rsidR="00D74B34" w:rsidRPr="00E670A3">
          <w:rPr>
            <w:rFonts w:asciiTheme="minorHAnsi" w:eastAsiaTheme="minorEastAsia" w:hAnsiTheme="minorHAnsi" w:cstheme="minorBidi"/>
            <w:color w:val="002060"/>
          </w:rPr>
          <w:tab/>
        </w:r>
        <w:r w:rsidR="00D74B34" w:rsidRPr="00E670A3">
          <w:rPr>
            <w:rStyle w:val="Hyperlink"/>
            <w:color w:val="002060"/>
          </w:rPr>
          <w:t>Assistance technique</w:t>
        </w:r>
        <w:r w:rsidR="00D74B34" w:rsidRPr="00E670A3">
          <w:rPr>
            <w:webHidden/>
            <w:color w:val="002060"/>
          </w:rPr>
          <w:tab/>
        </w:r>
        <w:r w:rsidR="00D74B34" w:rsidRPr="00E670A3">
          <w:rPr>
            <w:webHidden/>
            <w:color w:val="002060"/>
          </w:rPr>
          <w:fldChar w:fldCharType="begin"/>
        </w:r>
        <w:r w:rsidR="00D74B34" w:rsidRPr="00E670A3">
          <w:rPr>
            <w:webHidden/>
            <w:color w:val="002060"/>
          </w:rPr>
          <w:instrText xml:space="preserve"> PAGEREF _Toc98748218 \h </w:instrText>
        </w:r>
        <w:r w:rsidR="00D74B34" w:rsidRPr="00E670A3">
          <w:rPr>
            <w:webHidden/>
            <w:color w:val="002060"/>
          </w:rPr>
        </w:r>
        <w:r w:rsidR="00D74B34" w:rsidRPr="00E670A3">
          <w:rPr>
            <w:webHidden/>
            <w:color w:val="002060"/>
          </w:rPr>
          <w:fldChar w:fldCharType="separate"/>
        </w:r>
        <w:r w:rsidR="00D74B34" w:rsidRPr="00E670A3">
          <w:rPr>
            <w:webHidden/>
            <w:color w:val="002060"/>
          </w:rPr>
          <w:t>3</w:t>
        </w:r>
        <w:r w:rsidR="00D74B34" w:rsidRPr="00E670A3">
          <w:rPr>
            <w:webHidden/>
            <w:color w:val="002060"/>
          </w:rPr>
          <w:fldChar w:fldCharType="end"/>
        </w:r>
      </w:hyperlink>
    </w:p>
    <w:p w14:paraId="0E3AE84A" w14:textId="7396C229" w:rsidR="00D74B34" w:rsidRPr="00E670A3" w:rsidRDefault="009076AF">
      <w:pPr>
        <w:pStyle w:val="TOC2"/>
        <w:rPr>
          <w:rFonts w:asciiTheme="minorHAnsi" w:eastAsiaTheme="minorEastAsia" w:hAnsiTheme="minorHAnsi" w:cstheme="minorBidi"/>
          <w:color w:val="002060"/>
        </w:rPr>
      </w:pPr>
      <w:hyperlink w:anchor="_Toc98748219" w:history="1">
        <w:r w:rsidR="00D74B34" w:rsidRPr="00E670A3">
          <w:rPr>
            <w:rStyle w:val="Hyperlink"/>
            <w:color w:val="002060"/>
          </w:rPr>
          <w:t>4.</w:t>
        </w:r>
        <w:r w:rsidR="00D74B34" w:rsidRPr="00E670A3">
          <w:rPr>
            <w:rFonts w:asciiTheme="minorHAnsi" w:eastAsiaTheme="minorEastAsia" w:hAnsiTheme="minorHAnsi" w:cstheme="minorBidi"/>
            <w:color w:val="002060"/>
          </w:rPr>
          <w:tab/>
        </w:r>
        <w:r w:rsidR="00D74B34" w:rsidRPr="00E670A3">
          <w:rPr>
            <w:rStyle w:val="Hyperlink"/>
            <w:color w:val="002060"/>
          </w:rPr>
          <w:t>Coordination d</w:t>
        </w:r>
        <w:r w:rsidR="00190C93" w:rsidRPr="00E670A3">
          <w:rPr>
            <w:rStyle w:val="Hyperlink"/>
            <w:color w:val="002060"/>
          </w:rPr>
          <w:t>’</w:t>
        </w:r>
        <w:r w:rsidR="00D74B34" w:rsidRPr="00E670A3">
          <w:rPr>
            <w:rStyle w:val="Hyperlink"/>
            <w:color w:val="002060"/>
          </w:rPr>
          <w:t>activités entre États, notamment une réponse commune</w:t>
        </w:r>
        <w:r w:rsidR="00D74B34" w:rsidRPr="00E670A3">
          <w:rPr>
            <w:webHidden/>
            <w:color w:val="002060"/>
          </w:rPr>
          <w:tab/>
        </w:r>
        <w:r w:rsidR="00D74B34" w:rsidRPr="00E670A3">
          <w:rPr>
            <w:webHidden/>
            <w:color w:val="002060"/>
          </w:rPr>
          <w:fldChar w:fldCharType="begin"/>
        </w:r>
        <w:r w:rsidR="00D74B34" w:rsidRPr="00E670A3">
          <w:rPr>
            <w:webHidden/>
            <w:color w:val="002060"/>
          </w:rPr>
          <w:instrText xml:space="preserve"> PAGEREF _Toc98748219 \h </w:instrText>
        </w:r>
        <w:r w:rsidR="00D74B34" w:rsidRPr="00E670A3">
          <w:rPr>
            <w:webHidden/>
            <w:color w:val="002060"/>
          </w:rPr>
        </w:r>
        <w:r w:rsidR="00D74B34" w:rsidRPr="00E670A3">
          <w:rPr>
            <w:webHidden/>
            <w:color w:val="002060"/>
          </w:rPr>
          <w:fldChar w:fldCharType="separate"/>
        </w:r>
        <w:r w:rsidR="00D74B34" w:rsidRPr="00E670A3">
          <w:rPr>
            <w:webHidden/>
            <w:color w:val="002060"/>
          </w:rPr>
          <w:t>4</w:t>
        </w:r>
        <w:r w:rsidR="00D74B34" w:rsidRPr="00E670A3">
          <w:rPr>
            <w:webHidden/>
            <w:color w:val="002060"/>
          </w:rPr>
          <w:fldChar w:fldCharType="end"/>
        </w:r>
      </w:hyperlink>
    </w:p>
    <w:p w14:paraId="4D152CFC" w14:textId="77777777" w:rsidR="00E864E3" w:rsidRDefault="00E864E3">
      <w:r w:rsidRPr="00E670A3">
        <w:rPr>
          <w:b/>
          <w:color w:val="002060"/>
        </w:rPr>
        <w:fldChar w:fldCharType="end"/>
      </w:r>
    </w:p>
    <w:p w14:paraId="406BA261" w14:textId="77777777" w:rsidR="001F6763" w:rsidRDefault="001F6763" w:rsidP="00B428B7">
      <w:pPr>
        <w:pStyle w:val="Title"/>
        <w:sectPr w:rsidR="001F6763" w:rsidSect="009801BF">
          <w:headerReference w:type="default" r:id="rId21"/>
          <w:footerReference w:type="default" r:id="rId22"/>
          <w:pgSz w:w="11906" w:h="16838" w:code="9"/>
          <w:pgMar w:top="1134" w:right="1134" w:bottom="1134" w:left="1134" w:header="709" w:footer="709" w:gutter="0"/>
          <w:pgNumType w:start="1"/>
          <w:cols w:space="708"/>
          <w:titlePg/>
          <w:docGrid w:linePitch="360"/>
        </w:sectPr>
      </w:pPr>
    </w:p>
    <w:p w14:paraId="7C412D1D" w14:textId="15CAABDE" w:rsidR="00606189" w:rsidRPr="008A03DC" w:rsidRDefault="00BD6FF8" w:rsidP="00BD6FF8">
      <w:pPr>
        <w:pStyle w:val="Heading1"/>
        <w:numPr>
          <w:ilvl w:val="0"/>
          <w:numId w:val="0"/>
        </w:numPr>
        <w:ind w:left="567"/>
        <w:rPr>
          <w:color w:val="0070C0"/>
        </w:rPr>
      </w:pPr>
      <w:bookmarkStart w:id="3" w:name="_Toc60744134"/>
      <w:bookmarkStart w:id="4" w:name="_Toc60745696"/>
      <w:bookmarkStart w:id="5" w:name="_Toc61255174"/>
      <w:bookmarkStart w:id="6" w:name="_Toc61616496"/>
      <w:bookmarkStart w:id="7" w:name="_Toc62299544"/>
      <w:bookmarkStart w:id="8" w:name="_Toc62299608"/>
      <w:bookmarkStart w:id="9" w:name="_Toc64621549"/>
      <w:bookmarkStart w:id="10" w:name="_Toc98748215"/>
      <w:bookmarkEnd w:id="1"/>
      <w:bookmarkEnd w:id="2"/>
      <w:r w:rsidRPr="008A03DC">
        <w:rPr>
          <w:color w:val="0070C0"/>
        </w:rPr>
        <w:lastRenderedPageBreak/>
        <w:t xml:space="preserve">PARTIE V : </w:t>
      </w:r>
      <w:bookmarkEnd w:id="3"/>
      <w:r w:rsidRPr="008A03DC">
        <w:rPr>
          <w:color w:val="0070C0"/>
        </w:rPr>
        <w:t xml:space="preserve">LIGNES DIRECTRICES </w:t>
      </w:r>
      <w:bookmarkEnd w:id="4"/>
      <w:r w:rsidRPr="008A03DC">
        <w:rPr>
          <w:color w:val="0070C0"/>
        </w:rPr>
        <w:t>RELATIVES À LA COOPÉRATION ET À LA COORDINATION EN MATIÈRE DE PRÉVENTION DES PRATIQUES ILLICITES, Y COMPRIS LES PRATIQUES ILLICITES SYSTÉMIQUES, ET LA MANIÈRE D</w:t>
      </w:r>
      <w:r w:rsidR="00190C93">
        <w:rPr>
          <w:color w:val="0070C0"/>
        </w:rPr>
        <w:t>’</w:t>
      </w:r>
      <w:r w:rsidRPr="008A03DC">
        <w:rPr>
          <w:color w:val="0070C0"/>
        </w:rPr>
        <w:t>Y REMÉDIER</w:t>
      </w:r>
      <w:bookmarkEnd w:id="5"/>
      <w:bookmarkEnd w:id="6"/>
      <w:bookmarkEnd w:id="7"/>
      <w:bookmarkEnd w:id="8"/>
      <w:bookmarkEnd w:id="9"/>
      <w:bookmarkEnd w:id="10"/>
    </w:p>
    <w:p w14:paraId="6B6CB57B" w14:textId="5FA02A32" w:rsidR="005E7194" w:rsidRDefault="00424FA2" w:rsidP="009A3EC3">
      <w:pPr>
        <w:pStyle w:val="PBParagraphNumber"/>
      </w:pPr>
      <w:r>
        <w:t>Les présentes lignes directrices présentent quelques exemples de mesures éventuelles visant à renforcer la coopération et la coordination entre les États. En réalité, la coopération entre États – entre États d</w:t>
      </w:r>
      <w:r w:rsidR="00190C93">
        <w:t>’</w:t>
      </w:r>
      <w:r>
        <w:t>origine et États d</w:t>
      </w:r>
      <w:r w:rsidR="00190C93">
        <w:t>’</w:t>
      </w:r>
      <w:r>
        <w:t>accueil, entre États d</w:t>
      </w:r>
      <w:r w:rsidR="00190C93">
        <w:t>’</w:t>
      </w:r>
      <w:r>
        <w:t>origine ou entre États d</w:t>
      </w:r>
      <w:r w:rsidR="00190C93">
        <w:t>’</w:t>
      </w:r>
      <w:r>
        <w:t>accueil – est un moyen supplémentaire de prévenir les pratiques illicites et d</w:t>
      </w:r>
      <w:r w:rsidR="00190C93">
        <w:t>’</w:t>
      </w:r>
      <w:r>
        <w:t>y remédier.</w:t>
      </w:r>
    </w:p>
    <w:p w14:paraId="447B2AF1" w14:textId="174D6246" w:rsidR="006C447A" w:rsidRDefault="00A07D82" w:rsidP="009A3EC3">
      <w:pPr>
        <w:pStyle w:val="PBParagraphNumber"/>
      </w:pPr>
      <w:r>
        <w:t>Si la coopération et la coordination peuvent apporter un appui dans des cas individuels, elles s</w:t>
      </w:r>
      <w:r w:rsidR="00190C93">
        <w:t>’</w:t>
      </w:r>
      <w:r>
        <w:t xml:space="preserve">avèrent particulièrement pertinentes dans le contexte des pratiques illicites systémiques, étant entendu que tous les États impliqués sont interconnectés. En effet, si une éventuelle pratique illicite systémique est constatée dans un État </w:t>
      </w:r>
      <w:r w:rsidR="009E2C0E">
        <w:t xml:space="preserve">(qu’il s’agisse d’un État d’accueil ou d’un État </w:t>
      </w:r>
      <w:r>
        <w:t>d</w:t>
      </w:r>
      <w:r w:rsidR="00190C93">
        <w:t>’</w:t>
      </w:r>
      <w:r>
        <w:t>origine</w:t>
      </w:r>
      <w:r w:rsidR="009E2C0E">
        <w:t>)</w:t>
      </w:r>
      <w:r>
        <w:t xml:space="preserve">, il peut y avoir des répercussions pour tous les États qui coopèrent avec cet État. </w:t>
      </w:r>
    </w:p>
    <w:p w14:paraId="442B31BF" w14:textId="77777777" w:rsidR="00803DDA" w:rsidRPr="00803DDA" w:rsidRDefault="00803DDA" w:rsidP="00803DDA">
      <w:pPr>
        <w:pStyle w:val="PBParagraphNumber"/>
        <w:numPr>
          <w:ilvl w:val="0"/>
          <w:numId w:val="1"/>
        </w:numPr>
      </w:pPr>
      <w:r>
        <w:t xml:space="preserve">Les présentes lignes directrices viennent compléter les autres parties de la Boîte à outils, notamment les Fiches de synthèse, la liste récapitulative ainsi que la procédure type. Elles doivent donc être lues en conjonction avec ces outils. </w:t>
      </w:r>
    </w:p>
    <w:p w14:paraId="48205031" w14:textId="283034BB" w:rsidR="003D3816" w:rsidRPr="00D957AE" w:rsidRDefault="00D36CDC" w:rsidP="00D957AE">
      <w:pPr>
        <w:pStyle w:val="Heading2"/>
        <w:rPr>
          <w:color w:val="0070C0"/>
        </w:rPr>
      </w:pPr>
      <w:bookmarkStart w:id="11" w:name="_Toc62299545"/>
      <w:bookmarkStart w:id="12" w:name="_Toc62299609"/>
      <w:bookmarkStart w:id="13" w:name="_Toc62299673"/>
      <w:bookmarkStart w:id="14" w:name="_Toc64621550"/>
      <w:bookmarkStart w:id="15" w:name="_Toc98748216"/>
      <w:bookmarkEnd w:id="11"/>
      <w:bookmarkEnd w:id="12"/>
      <w:bookmarkEnd w:id="13"/>
      <w:r>
        <w:t>Échange d</w:t>
      </w:r>
      <w:r w:rsidR="00190C93">
        <w:t>’</w:t>
      </w:r>
      <w:r>
        <w:t>informations</w:t>
      </w:r>
      <w:bookmarkEnd w:id="14"/>
      <w:bookmarkEnd w:id="15"/>
    </w:p>
    <w:p w14:paraId="1AB13F8B" w14:textId="27DD2F1E" w:rsidR="00994D4A" w:rsidRPr="00941287" w:rsidRDefault="00994D4A" w:rsidP="008E6BE2">
      <w:pPr>
        <w:pStyle w:val="PBParagraphNumber"/>
        <w:numPr>
          <w:ilvl w:val="0"/>
          <w:numId w:val="1"/>
        </w:numPr>
      </w:pPr>
      <w:r>
        <w:t>Le recueil et le partage d</w:t>
      </w:r>
      <w:r w:rsidR="00190C93">
        <w:t>’</w:t>
      </w:r>
      <w:r>
        <w:t>informations renforcent la coopération entre États. À titre d</w:t>
      </w:r>
      <w:r w:rsidR="00190C93">
        <w:t>’</w:t>
      </w:r>
      <w:r>
        <w:t xml:space="preserve">exemple : </w:t>
      </w:r>
    </w:p>
    <w:p w14:paraId="1CDF85E0" w14:textId="3345C9F4" w:rsidR="008E6BE2" w:rsidRDefault="008E6BE2" w:rsidP="008E6BE2">
      <w:pPr>
        <w:pStyle w:val="PBParagraphNumber"/>
      </w:pPr>
      <w:r>
        <w:t xml:space="preserve">La </w:t>
      </w:r>
      <w:r>
        <w:rPr>
          <w:b/>
        </w:rPr>
        <w:t>technologie, la tenue de registres, les systèmes et l</w:t>
      </w:r>
      <w:r w:rsidR="00190C93">
        <w:rPr>
          <w:b/>
        </w:rPr>
        <w:t>’</w:t>
      </w:r>
      <w:r>
        <w:rPr>
          <w:b/>
        </w:rPr>
        <w:t>analyse des données</w:t>
      </w:r>
      <w:r>
        <w:t xml:space="preserve"> peuvent s</w:t>
      </w:r>
      <w:r w:rsidR="00190C93">
        <w:t>’</w:t>
      </w:r>
      <w:r>
        <w:t>avérer particulièrement utiles pour prévenir les pratiques illicites et pour les détecter à un stade précoce de la procédure afin d</w:t>
      </w:r>
      <w:r w:rsidR="00190C93">
        <w:t>’</w:t>
      </w:r>
      <w:r>
        <w:t>empêcher leur propagation. Dans la mesure où les règles de confidentialité le permettent, les autorités compétentes d</w:t>
      </w:r>
      <w:r w:rsidR="00190C93">
        <w:t>’</w:t>
      </w:r>
      <w:r>
        <w:t>un État peuvent envisager de coordonner (et, si possible, de combiner) les données qu</w:t>
      </w:r>
      <w:r w:rsidR="00190C93">
        <w:t>’</w:t>
      </w:r>
      <w:r>
        <w:t>elles collectent individuellement et de partager ces données avec d</w:t>
      </w:r>
      <w:r w:rsidR="00190C93">
        <w:t>’</w:t>
      </w:r>
      <w:r>
        <w:t>autres États. Les États peuvent également souhaiter coopérer en ce qui concerne l</w:t>
      </w:r>
      <w:r w:rsidR="00190C93">
        <w:t>’</w:t>
      </w:r>
      <w:r>
        <w:t xml:space="preserve">analyse de ces données. </w:t>
      </w:r>
    </w:p>
    <w:p w14:paraId="461F95B3" w14:textId="6B93D066" w:rsidR="003D3816" w:rsidRPr="00F53F7E" w:rsidRDefault="00BB24E4" w:rsidP="003D3816">
      <w:pPr>
        <w:pStyle w:val="PBParagraphNumber"/>
      </w:pPr>
      <w:r>
        <w:t>L</w:t>
      </w:r>
      <w:r w:rsidR="00190C93">
        <w:t>’</w:t>
      </w:r>
      <w:r>
        <w:rPr>
          <w:b/>
        </w:rPr>
        <w:t>échange d</w:t>
      </w:r>
      <w:r w:rsidR="00190C93">
        <w:rPr>
          <w:b/>
        </w:rPr>
        <w:t>’</w:t>
      </w:r>
      <w:r>
        <w:rPr>
          <w:b/>
        </w:rPr>
        <w:t>informations publiques</w:t>
      </w:r>
      <w:r>
        <w:t xml:space="preserve"> en matière de pratiques et de procédures d</w:t>
      </w:r>
      <w:r w:rsidR="00190C93">
        <w:t>’</w:t>
      </w:r>
      <w:r>
        <w:t>adoption, de rapports de séminaires et d</w:t>
      </w:r>
      <w:r w:rsidR="00190C93">
        <w:t>’</w:t>
      </w:r>
      <w:r>
        <w:t>ateliers, d</w:t>
      </w:r>
      <w:r w:rsidR="00190C93">
        <w:t>’</w:t>
      </w:r>
      <w:r>
        <w:t>activités de mise en œuvre des lois pertinentes, etc. est également un bon exemple de coopération entre États. Ces informations peuvent être diffusées par l</w:t>
      </w:r>
      <w:r w:rsidR="00190C93">
        <w:t>’</w:t>
      </w:r>
      <w:r>
        <w:t>intermédiaire des sites web officiels d</w:t>
      </w:r>
      <w:r w:rsidR="00190C93">
        <w:t>’</w:t>
      </w:r>
      <w:r>
        <w:t>Autorités centrales ou d</w:t>
      </w:r>
      <w:r w:rsidR="00190C93">
        <w:t>’</w:t>
      </w:r>
      <w:r>
        <w:t xml:space="preserve">organisations internationales (par ex. HCCH). </w:t>
      </w:r>
    </w:p>
    <w:p w14:paraId="44BEDE20" w14:textId="69330F06" w:rsidR="004244C9" w:rsidRPr="00F53F7E" w:rsidRDefault="00E55606" w:rsidP="00DC5A57">
      <w:pPr>
        <w:pStyle w:val="PBParagraphNumber"/>
      </w:pPr>
      <w:r>
        <w:t xml:space="preserve">Les Autorités centrales (ou autorités compétentes) peuvent également souhaiter </w:t>
      </w:r>
      <w:r>
        <w:rPr>
          <w:b/>
        </w:rPr>
        <w:t xml:space="preserve">échanger des </w:t>
      </w:r>
      <w:r>
        <w:rPr>
          <w:b/>
          <w:bCs/>
        </w:rPr>
        <w:t>informations sensibles</w:t>
      </w:r>
      <w:r>
        <w:t xml:space="preserve"> qui sont susceptibles de ne pas être publiques (par ex. informations concernant leurs expériences de travail avec des États ou des OAA en particulier ; rapports de mission, y compris des informations relatives aux pratiques illicites ; signalements de pratiques illicites présumées ; rapports sur les causes qui favorisent le développement des pratiques illicites ; résultats d</w:t>
      </w:r>
      <w:r w:rsidR="00190C93">
        <w:t>’</w:t>
      </w:r>
      <w:r>
        <w:t>enquête sur les pratiques illicites ; mesures prises par suite d</w:t>
      </w:r>
      <w:r w:rsidR="00190C93">
        <w:t>’</w:t>
      </w:r>
      <w:r>
        <w:t>enquêtes). Ce partage d</w:t>
      </w:r>
      <w:r w:rsidR="00190C93">
        <w:t>’</w:t>
      </w:r>
      <w:r>
        <w:t>informations doit être effectué de manière sécurisée (par ex. les autorités compétentes sont susceptibles d</w:t>
      </w:r>
      <w:r w:rsidR="00190C93">
        <w:t>’</w:t>
      </w:r>
      <w:r>
        <w:t>utiliser une plateforme sécurisée aux fins d</w:t>
      </w:r>
      <w:r w:rsidR="00190C93">
        <w:t>’</w:t>
      </w:r>
      <w:r>
        <w:t xml:space="preserve">échange de telles informations). </w:t>
      </w:r>
    </w:p>
    <w:p w14:paraId="695C5341" w14:textId="1B69A8C3" w:rsidR="002E07D6" w:rsidRPr="00D957AE" w:rsidRDefault="008E6BE2" w:rsidP="006C02C6">
      <w:pPr>
        <w:pStyle w:val="Heading2"/>
        <w:rPr>
          <w:color w:val="0070C0"/>
        </w:rPr>
      </w:pPr>
      <w:bookmarkStart w:id="16" w:name="_Toc61616499"/>
      <w:bookmarkStart w:id="17" w:name="_Toc62299547"/>
      <w:bookmarkStart w:id="18" w:name="_Toc62299611"/>
      <w:bookmarkStart w:id="19" w:name="_Toc64621551"/>
      <w:bookmarkStart w:id="20" w:name="_Toc98748217"/>
      <w:r>
        <w:rPr>
          <w:color w:val="0070C0"/>
        </w:rPr>
        <w:t>Réunions, séminaires et autres rassemblements d</w:t>
      </w:r>
      <w:r w:rsidR="00190C93">
        <w:rPr>
          <w:color w:val="0070C0"/>
        </w:rPr>
        <w:t>’</w:t>
      </w:r>
      <w:r>
        <w:rPr>
          <w:color w:val="0070C0"/>
        </w:rPr>
        <w:t>autorités, d</w:t>
      </w:r>
      <w:r w:rsidR="00190C93">
        <w:rPr>
          <w:color w:val="0070C0"/>
        </w:rPr>
        <w:t>’</w:t>
      </w:r>
      <w:r>
        <w:rPr>
          <w:color w:val="0070C0"/>
        </w:rPr>
        <w:t>organes et d</w:t>
      </w:r>
      <w:r w:rsidR="00190C93">
        <w:rPr>
          <w:color w:val="0070C0"/>
        </w:rPr>
        <w:t>’</w:t>
      </w:r>
      <w:r>
        <w:rPr>
          <w:color w:val="0070C0"/>
        </w:rPr>
        <w:t>autres personnes</w:t>
      </w:r>
      <w:bookmarkEnd w:id="16"/>
      <w:bookmarkEnd w:id="17"/>
      <w:bookmarkEnd w:id="18"/>
      <w:bookmarkEnd w:id="19"/>
      <w:bookmarkEnd w:id="20"/>
      <w:r>
        <w:rPr>
          <w:color w:val="0070C0"/>
        </w:rPr>
        <w:t xml:space="preserve"> </w:t>
      </w:r>
    </w:p>
    <w:p w14:paraId="15F2D875" w14:textId="2FA2A26E" w:rsidR="009E38A1" w:rsidRPr="00F53F7E" w:rsidRDefault="00A405DC" w:rsidP="008E6BE2">
      <w:pPr>
        <w:pStyle w:val="PBParagraphNumber"/>
      </w:pPr>
      <w:r>
        <w:t>Les réunions et autres rassemblements internationaux d</w:t>
      </w:r>
      <w:r w:rsidR="00190C93">
        <w:t>’</w:t>
      </w:r>
      <w:r>
        <w:t>autorités, d</w:t>
      </w:r>
      <w:r w:rsidR="00190C93">
        <w:t>’</w:t>
      </w:r>
      <w:r>
        <w:t>organes et de personnes peuvent aider à prévenir les facteurs propices et les pratiques illicites et à y remédier. Il s</w:t>
      </w:r>
      <w:r w:rsidR="00190C93">
        <w:t>’</w:t>
      </w:r>
      <w:r>
        <w:t>agit aussi d</w:t>
      </w:r>
      <w:r w:rsidR="00190C93">
        <w:t>’</w:t>
      </w:r>
      <w:r>
        <w:t xml:space="preserve">un excellent moyen de partager des bonnes pratiques. Cela peut inclure, notamment : </w:t>
      </w:r>
    </w:p>
    <w:p w14:paraId="2066ACF0" w14:textId="23C873A6" w:rsidR="009E38A1" w:rsidRPr="00F53F7E" w:rsidRDefault="009E38A1" w:rsidP="009E38A1">
      <w:pPr>
        <w:pStyle w:val="PBBulletList"/>
      </w:pPr>
      <w:r>
        <w:lastRenderedPageBreak/>
        <w:t xml:space="preserve">Des </w:t>
      </w:r>
      <w:r>
        <w:rPr>
          <w:b/>
        </w:rPr>
        <w:t>séminaires, conférences, formations et ateliers</w:t>
      </w:r>
      <w:r>
        <w:t xml:space="preserve"> visant à partager des pratiques et des expériences en matière de prévention des pratiques illicites et de la manière d</w:t>
      </w:r>
      <w:r w:rsidR="00190C93">
        <w:t>’</w:t>
      </w:r>
      <w:r>
        <w:t xml:space="preserve">y remédier, y compris les leçons tirées. </w:t>
      </w:r>
    </w:p>
    <w:p w14:paraId="1E054204" w14:textId="3E929906" w:rsidR="0003596A" w:rsidRDefault="00424FA2" w:rsidP="009E38A1">
      <w:pPr>
        <w:pStyle w:val="PBBulletList"/>
      </w:pPr>
      <w:r>
        <w:t xml:space="preserve">Des </w:t>
      </w:r>
      <w:r>
        <w:rPr>
          <w:b/>
        </w:rPr>
        <w:t>réunions entre États d</w:t>
      </w:r>
      <w:r w:rsidR="00190C93">
        <w:rPr>
          <w:b/>
        </w:rPr>
        <w:t>’</w:t>
      </w:r>
      <w:r>
        <w:rPr>
          <w:b/>
        </w:rPr>
        <w:t>origine et États d</w:t>
      </w:r>
      <w:r w:rsidR="00190C93">
        <w:rPr>
          <w:b/>
        </w:rPr>
        <w:t>’</w:t>
      </w:r>
      <w:r>
        <w:rPr>
          <w:b/>
        </w:rPr>
        <w:t>accueil</w:t>
      </w:r>
      <w:r>
        <w:t xml:space="preserve"> qui coopèrent en vue de mieux comprendre leurs méthodes et procédures de travail respectives, les éventuels facteurs propices auxquels ils font face et de faciliter la communication à l</w:t>
      </w:r>
      <w:r w:rsidR="00190C93">
        <w:t>’</w:t>
      </w:r>
      <w:r>
        <w:t>avenir. Cela peut impliquer de voyager dans l</w:t>
      </w:r>
      <w:r w:rsidR="00190C93">
        <w:t>’</w:t>
      </w:r>
      <w:r>
        <w:t>État d</w:t>
      </w:r>
      <w:r w:rsidR="00190C93">
        <w:t>’</w:t>
      </w:r>
      <w:r>
        <w:t>origine ou dans l</w:t>
      </w:r>
      <w:r w:rsidR="00190C93">
        <w:t>’</w:t>
      </w:r>
      <w:r>
        <w:t>État d</w:t>
      </w:r>
      <w:r w:rsidR="00190C93">
        <w:t>’</w:t>
      </w:r>
      <w:r>
        <w:t>accueil pour s</w:t>
      </w:r>
      <w:r w:rsidR="00190C93">
        <w:t>’</w:t>
      </w:r>
      <w:r>
        <w:t>entretenir avec l</w:t>
      </w:r>
      <w:r w:rsidR="00190C93">
        <w:t>’</w:t>
      </w:r>
      <w:r>
        <w:t>Autorité centrale ou toute autre autorité compétente, des organisations internationales ou des ONG qui travaillent dans le domaine de la protection de l</w:t>
      </w:r>
      <w:r w:rsidR="00190C93">
        <w:t>’</w:t>
      </w:r>
      <w:r>
        <w:t>enfant et de l</w:t>
      </w:r>
      <w:r w:rsidR="00190C93">
        <w:t>’</w:t>
      </w:r>
      <w:r>
        <w:t xml:space="preserve">adoption. </w:t>
      </w:r>
    </w:p>
    <w:p w14:paraId="4AC24A3A" w14:textId="32C6962A" w:rsidR="00450323" w:rsidRPr="00546928" w:rsidRDefault="00450323" w:rsidP="009E38A1">
      <w:pPr>
        <w:pStyle w:val="PBBulletList"/>
        <w:rPr>
          <w:bCs/>
        </w:rPr>
      </w:pPr>
      <w:r>
        <w:t xml:space="preserve">Des </w:t>
      </w:r>
      <w:r>
        <w:rPr>
          <w:b/>
        </w:rPr>
        <w:t>réunions entre États d</w:t>
      </w:r>
      <w:r w:rsidR="00190C93">
        <w:rPr>
          <w:b/>
        </w:rPr>
        <w:t>’</w:t>
      </w:r>
      <w:r>
        <w:rPr>
          <w:b/>
        </w:rPr>
        <w:t>origine ou entre États d</w:t>
      </w:r>
      <w:r w:rsidR="00190C93">
        <w:rPr>
          <w:b/>
        </w:rPr>
        <w:t>’</w:t>
      </w:r>
      <w:r>
        <w:rPr>
          <w:b/>
        </w:rPr>
        <w:t>accueil</w:t>
      </w:r>
      <w:r>
        <w:t xml:space="preserve"> pour discuter de sujets d</w:t>
      </w:r>
      <w:r w:rsidR="00190C93">
        <w:t>’</w:t>
      </w:r>
      <w:r>
        <w:t>intérêt, de méthodes de travail et de procédures. Ces types de réunions horizontales sont également une bonne occasion d</w:t>
      </w:r>
      <w:r w:rsidR="00190C93">
        <w:t>’</w:t>
      </w:r>
      <w:r>
        <w:t>échanger des pratiques et des informations sur les autres États d</w:t>
      </w:r>
      <w:r w:rsidR="00190C93">
        <w:t>’</w:t>
      </w:r>
      <w:r>
        <w:t>origine et les États d</w:t>
      </w:r>
      <w:r w:rsidR="00190C93">
        <w:t>’</w:t>
      </w:r>
      <w:r>
        <w:t xml:space="preserve">accueil avec lesquels ils coopèrent. </w:t>
      </w:r>
    </w:p>
    <w:p w14:paraId="1AA66472" w14:textId="18A7BDD9" w:rsidR="00B5504C" w:rsidRPr="00F53F7E" w:rsidRDefault="00B5504C" w:rsidP="009E38A1">
      <w:pPr>
        <w:pStyle w:val="PBBulletList"/>
      </w:pPr>
      <w:r>
        <w:t xml:space="preserve">Les réunions de la </w:t>
      </w:r>
      <w:r>
        <w:rPr>
          <w:b/>
        </w:rPr>
        <w:t>Commission spéciale</w:t>
      </w:r>
      <w:r>
        <w:t xml:space="preserve"> des États parties visant à examiner le fonctionnement pratique de la Convention Adoption de 1993 : ces réunions sont convoquées périodiquement par le Secrétaire général de la HCCH (CLH, art. 42). La grande majorité des États parties à la Convention ainsi que des États qui souhaitent y adhérer y assistent. Elles représentent un moyen d</w:t>
      </w:r>
      <w:r w:rsidR="00190C93">
        <w:t>’</w:t>
      </w:r>
      <w:r>
        <w:t>aborder des questions et de tenter de résoudre des problèmes, y compris les pratiques illicites. À l</w:t>
      </w:r>
      <w:r w:rsidR="00190C93">
        <w:t>’</w:t>
      </w:r>
      <w:r>
        <w:t>issue de chaque réunion, des Conclusions et Recommandations sont adoptées. Celles-ci visent à donner des conseils sur la meilleure manière de mettre en œuvre la Convention, à relever les normes et à s</w:t>
      </w:r>
      <w:r w:rsidR="00190C93">
        <w:t>’</w:t>
      </w:r>
      <w:r>
        <w:t xml:space="preserve">assurer que tous les États interprètent de la même manière les procédures et garanties de la Convention. </w:t>
      </w:r>
    </w:p>
    <w:p w14:paraId="7C6826ED" w14:textId="77777777" w:rsidR="005A1E4D" w:rsidRPr="00D957AE" w:rsidRDefault="005A1E4D" w:rsidP="005A1E4D">
      <w:pPr>
        <w:pStyle w:val="Heading2"/>
        <w:rPr>
          <w:color w:val="0070C0"/>
        </w:rPr>
      </w:pPr>
      <w:bookmarkStart w:id="21" w:name="_Toc61616497"/>
      <w:bookmarkStart w:id="22" w:name="_Toc62299548"/>
      <w:bookmarkStart w:id="23" w:name="_Toc62299612"/>
      <w:bookmarkStart w:id="24" w:name="_Toc64621552"/>
      <w:bookmarkStart w:id="25" w:name="_Toc98748218"/>
      <w:bookmarkStart w:id="26" w:name="_Toc61255178"/>
      <w:bookmarkStart w:id="27" w:name="_Toc61616500"/>
      <w:r>
        <w:rPr>
          <w:color w:val="0070C0"/>
        </w:rPr>
        <w:t>Assistance technique</w:t>
      </w:r>
      <w:bookmarkEnd w:id="21"/>
      <w:bookmarkEnd w:id="22"/>
      <w:bookmarkEnd w:id="23"/>
      <w:bookmarkEnd w:id="24"/>
      <w:bookmarkEnd w:id="25"/>
    </w:p>
    <w:p w14:paraId="42AA572C" w14:textId="3704F869" w:rsidR="005A1E4D" w:rsidRPr="00F53F7E" w:rsidRDefault="005A1E4D" w:rsidP="005A1E4D">
      <w:pPr>
        <w:pStyle w:val="PBParagraphNumber"/>
        <w:numPr>
          <w:ilvl w:val="0"/>
          <w:numId w:val="1"/>
        </w:numPr>
      </w:pPr>
      <w:r>
        <w:t>L</w:t>
      </w:r>
      <w:r w:rsidR="00190C93">
        <w:t>’</w:t>
      </w:r>
      <w:r>
        <w:t>assistance technique peut aider les États à remédier des raisons qui sous-tendent les facteurs propices et à prévenir les pratiques illicites et les pratiques illicites systémiques ainsi qu</w:t>
      </w:r>
      <w:r w:rsidR="00190C93">
        <w:t>’</w:t>
      </w:r>
      <w:r>
        <w:t>à y remédier. Les États peuvent demander une assistance technique auprès d</w:t>
      </w:r>
      <w:r w:rsidR="00190C93">
        <w:t>’</w:t>
      </w:r>
      <w:r>
        <w:t>autres États et / ou d</w:t>
      </w:r>
      <w:r w:rsidR="00190C93">
        <w:t>’</w:t>
      </w:r>
      <w:r>
        <w:t>organisations internationales en vue d</w:t>
      </w:r>
      <w:r w:rsidR="00190C93">
        <w:t>’</w:t>
      </w:r>
      <w:r>
        <w:t>améliorer leur législation et leurs pratiques</w:t>
      </w:r>
      <w:r>
        <w:rPr>
          <w:i/>
        </w:rPr>
        <w:t xml:space="preserve"> </w:t>
      </w:r>
      <w:r>
        <w:t>(par ex., révision de la législation, formation des autorités et des organes, rédaction de protocoles et de manuels, partage d</w:t>
      </w:r>
      <w:r w:rsidR="00190C93">
        <w:t>’</w:t>
      </w:r>
      <w:r>
        <w:t xml:space="preserve">expériences dans le traitement des cas). </w:t>
      </w:r>
    </w:p>
    <w:p w14:paraId="1BDEFD3E" w14:textId="47A54266" w:rsidR="00E906AC" w:rsidRPr="00F807A4" w:rsidRDefault="005A1E4D" w:rsidP="005A1E4D">
      <w:pPr>
        <w:pStyle w:val="PBParagraphNumber"/>
        <w:numPr>
          <w:ilvl w:val="0"/>
          <w:numId w:val="1"/>
        </w:numPr>
      </w:pPr>
      <w:r>
        <w:t>Pour éviter toute influence ou pression indue sur les États qui sollicitent l</w:t>
      </w:r>
      <w:r w:rsidR="00190C93">
        <w:t>’</w:t>
      </w:r>
      <w:r>
        <w:t>assistance technique, ou toute apparence d</w:t>
      </w:r>
      <w:r w:rsidR="00190C93">
        <w:t>’</w:t>
      </w:r>
      <w:r>
        <w:t>une telle influence ou pression indue, un État d</w:t>
      </w:r>
      <w:r w:rsidR="00190C93">
        <w:t>’</w:t>
      </w:r>
      <w:r>
        <w:t>origine qui a élaboré des bonnes pratiques peut apporter une assistance à un autre État d</w:t>
      </w:r>
      <w:r w:rsidR="00190C93">
        <w:t>’</w:t>
      </w:r>
      <w:r>
        <w:t xml:space="preserve">origine qui rencontre des problèmes et / ou qui souhaite améliorer sa pratique (on parle alors de </w:t>
      </w:r>
      <w:r>
        <w:rPr>
          <w:b/>
        </w:rPr>
        <w:t>coopération horizontale</w:t>
      </w:r>
      <w:r>
        <w:t>). Des professionnels expérimentés de l</w:t>
      </w:r>
      <w:r w:rsidR="00190C93">
        <w:t>’</w:t>
      </w:r>
      <w:r>
        <w:t>État d</w:t>
      </w:r>
      <w:r w:rsidR="00190C93">
        <w:t>’</w:t>
      </w:r>
      <w:r>
        <w:t>origine qui a de bonnes pratiques peuvent se rendre (et / ou fournir un soutien par vidéoconférences ou autres moyens en ligne) dans l</w:t>
      </w:r>
      <w:r w:rsidR="00190C93">
        <w:t>’</w:t>
      </w:r>
      <w:r>
        <w:t>autre État d</w:t>
      </w:r>
      <w:r w:rsidR="00190C93">
        <w:t>’</w:t>
      </w:r>
      <w:r>
        <w:t>origine pour aider leurs homologues dans leur travail, échanger sur leurs expériences et faire des recommandations sur la manière de résoudre les difficultés. Dans certains cas, les professionnels de l</w:t>
      </w:r>
      <w:r w:rsidR="00190C93">
        <w:t>’</w:t>
      </w:r>
      <w:r>
        <w:t>État d</w:t>
      </w:r>
      <w:r w:rsidR="00190C93">
        <w:t>’</w:t>
      </w:r>
      <w:r>
        <w:t>origine qui reçoit l</w:t>
      </w:r>
      <w:r w:rsidR="00190C93">
        <w:t>’</w:t>
      </w:r>
      <w:r>
        <w:t>assistance technique peuvent se rendre dans l</w:t>
      </w:r>
      <w:r w:rsidR="00190C93">
        <w:t>’</w:t>
      </w:r>
      <w:r>
        <w:t>État d</w:t>
      </w:r>
      <w:r w:rsidR="00190C93">
        <w:t>’</w:t>
      </w:r>
      <w:r>
        <w:t>origine qui a de bonnes pratiques</w:t>
      </w:r>
      <w:r w:rsidR="00E906AC" w:rsidRPr="00F53F7E">
        <w:rPr>
          <w:rStyle w:val="FootnoteReference"/>
        </w:rPr>
        <w:footnoteReference w:id="2"/>
      </w:r>
      <w:r>
        <w:t>.</w:t>
      </w:r>
      <w:bookmarkEnd w:id="26"/>
      <w:bookmarkEnd w:id="27"/>
      <w:r>
        <w:t>Cette coopération horizontale peut également survenir entre États d</w:t>
      </w:r>
      <w:r w:rsidR="00190C93">
        <w:t>’</w:t>
      </w:r>
      <w:r>
        <w:t>accueil.</w:t>
      </w:r>
    </w:p>
    <w:p w14:paraId="54A5E739" w14:textId="0EBFDB3E" w:rsidR="00E906AC" w:rsidRPr="009527CD" w:rsidRDefault="00E906AC" w:rsidP="0093627F">
      <w:pPr>
        <w:pStyle w:val="PBParagraphNumber"/>
        <w:numPr>
          <w:ilvl w:val="0"/>
          <w:numId w:val="1"/>
        </w:numPr>
      </w:pPr>
      <w:r>
        <w:t>Les États peuvent également partager des documents</w:t>
      </w:r>
      <w:r w:rsidR="00A26DF7" w:rsidRPr="00A26DF7">
        <w:t xml:space="preserve"> </w:t>
      </w:r>
      <w:r w:rsidR="00A26DF7">
        <w:t>sur les bonnes pratiques</w:t>
      </w:r>
      <w:r>
        <w:t>, des politiques, des protocoles et des modèles, etc. afin de renforcer l</w:t>
      </w:r>
      <w:r w:rsidR="00190C93">
        <w:t>’</w:t>
      </w:r>
      <w:r>
        <w:t>assistance technique fournie par le biais d</w:t>
      </w:r>
      <w:r w:rsidR="00190C93">
        <w:t>’</w:t>
      </w:r>
      <w:r>
        <w:t>une plateforme partagée publique ou sécurisée (voir la section 1 « Échange d</w:t>
      </w:r>
      <w:r w:rsidR="00190C93">
        <w:t>’</w:t>
      </w:r>
      <w:r>
        <w:t>informations » ci-dessus).</w:t>
      </w:r>
    </w:p>
    <w:p w14:paraId="7BA45C48" w14:textId="1D1D51A9" w:rsidR="00E906AC" w:rsidRPr="00D957AE" w:rsidRDefault="00E906AC" w:rsidP="00A46FEC">
      <w:pPr>
        <w:pStyle w:val="Heading2"/>
        <w:rPr>
          <w:color w:val="0070C0"/>
        </w:rPr>
      </w:pPr>
      <w:bookmarkStart w:id="28" w:name="_Toc62299549"/>
      <w:bookmarkStart w:id="29" w:name="_Toc62299613"/>
      <w:bookmarkStart w:id="30" w:name="_Toc64621553"/>
      <w:bookmarkStart w:id="31" w:name="_Toc98748219"/>
      <w:r>
        <w:rPr>
          <w:color w:val="0070C0"/>
        </w:rPr>
        <w:lastRenderedPageBreak/>
        <w:t>Coordination d</w:t>
      </w:r>
      <w:r w:rsidR="00190C93">
        <w:rPr>
          <w:color w:val="0070C0"/>
        </w:rPr>
        <w:t>’</w:t>
      </w:r>
      <w:r>
        <w:rPr>
          <w:color w:val="0070C0"/>
        </w:rPr>
        <w:t>activités entre États, notamment une réponse commune</w:t>
      </w:r>
      <w:bookmarkEnd w:id="28"/>
      <w:bookmarkEnd w:id="29"/>
      <w:bookmarkEnd w:id="30"/>
      <w:bookmarkEnd w:id="31"/>
    </w:p>
    <w:p w14:paraId="6B75298B" w14:textId="714A9BC2" w:rsidR="00E906AC" w:rsidRPr="00F53F7E" w:rsidRDefault="00E906AC" w:rsidP="00424FA2">
      <w:pPr>
        <w:pStyle w:val="PBParagraphNumber"/>
      </w:pPr>
      <w:r>
        <w:t>La coordination peut être un moyen supplémentaire de prévenir les pratiques illicites et d</w:t>
      </w:r>
      <w:r w:rsidR="00190C93">
        <w:t>’</w:t>
      </w:r>
      <w:r>
        <w:t xml:space="preserve">y </w:t>
      </w:r>
      <w:r w:rsidR="009C6A08">
        <w:t>remédier </w:t>
      </w:r>
      <w:r>
        <w:t xml:space="preserve">: </w:t>
      </w:r>
    </w:p>
    <w:p w14:paraId="08C7AF36" w14:textId="67AA2827" w:rsidR="00E906AC" w:rsidRPr="00F53F7E" w:rsidRDefault="00E906AC" w:rsidP="004C1D43">
      <w:pPr>
        <w:pStyle w:val="PBBulletList"/>
      </w:pPr>
      <w:r>
        <w:t>Dans certains cas, l</w:t>
      </w:r>
      <w:r w:rsidR="00190C93">
        <w:t>’</w:t>
      </w:r>
      <w:r>
        <w:t xml:space="preserve">État dans lequel les pratiques illicites surviennent / sont survenues peut </w:t>
      </w:r>
      <w:r>
        <w:rPr>
          <w:b/>
        </w:rPr>
        <w:t>ne pas être au courant de la situation.</w:t>
      </w:r>
      <w:r>
        <w:t xml:space="preserve"> Les autres États concernés doivent donc l</w:t>
      </w:r>
      <w:r w:rsidR="00190C93">
        <w:t>’</w:t>
      </w:r>
      <w:r>
        <w:t xml:space="preserve">en </w:t>
      </w:r>
      <w:r>
        <w:rPr>
          <w:b/>
        </w:rPr>
        <w:t>informer</w:t>
      </w:r>
      <w:r>
        <w:t xml:space="preserve"> et chercher à coordonner une réponse commune, le cas échéant. </w:t>
      </w:r>
    </w:p>
    <w:p w14:paraId="6F996BE1" w14:textId="4ED0B364" w:rsidR="00E906AC" w:rsidRPr="00F53F7E" w:rsidRDefault="00E906AC" w:rsidP="004C1D43">
      <w:pPr>
        <w:pStyle w:val="PBBulletList"/>
      </w:pPr>
      <w:r>
        <w:t>Dans certains cas, l</w:t>
      </w:r>
      <w:r w:rsidR="00190C93">
        <w:t>’</w:t>
      </w:r>
      <w:r>
        <w:t xml:space="preserve">État peut être au courant des pratiques illicites, mais ne pas y remédier ou manquer des </w:t>
      </w:r>
      <w:r>
        <w:rPr>
          <w:b/>
        </w:rPr>
        <w:t>moyens</w:t>
      </w:r>
      <w:r>
        <w:t xml:space="preserve"> nécessaires à cet égard. Dans ces cas-là, les autres États concernés qui coopèrent avec cet État en particulier peuvent lui proposer de prendre des mesures collectives en vue de prévenir les pratiques illicites ou d</w:t>
      </w:r>
      <w:r w:rsidR="00190C93">
        <w:t>’</w:t>
      </w:r>
      <w:r>
        <w:t>y remédier.</w:t>
      </w:r>
    </w:p>
    <w:p w14:paraId="6BCC7898" w14:textId="77777777" w:rsidR="00E906AC" w:rsidRPr="00F53F7E" w:rsidRDefault="00E906AC" w:rsidP="004C1D43">
      <w:pPr>
        <w:pStyle w:val="PBBulletList"/>
      </w:pPr>
      <w:r>
        <w:t>La coordination entre États peut prendre diverses formes :</w:t>
      </w:r>
    </w:p>
    <w:p w14:paraId="1E3B41C0" w14:textId="77777777" w:rsidR="00E906AC" w:rsidRPr="00F53F7E" w:rsidRDefault="00E906AC" w:rsidP="004C1D43">
      <w:pPr>
        <w:pStyle w:val="PBBulletList"/>
        <w:numPr>
          <w:ilvl w:val="1"/>
          <w:numId w:val="2"/>
        </w:numPr>
      </w:pPr>
      <w:r>
        <w:rPr>
          <w:b/>
        </w:rPr>
        <w:t>Réunions entre toutes les Autorités centrales</w:t>
      </w:r>
      <w:r>
        <w:t xml:space="preserve"> concernées par les pratiques illicites ;</w:t>
      </w:r>
    </w:p>
    <w:p w14:paraId="62563731" w14:textId="333AEB1E" w:rsidR="00E906AC" w:rsidRPr="00F53F7E" w:rsidRDefault="00E906AC" w:rsidP="004C1D43">
      <w:pPr>
        <w:pStyle w:val="PBBulletList"/>
        <w:numPr>
          <w:ilvl w:val="1"/>
          <w:numId w:val="2"/>
        </w:numPr>
      </w:pPr>
      <w:r>
        <w:rPr>
          <w:b/>
        </w:rPr>
        <w:t>Réunions des ambassades et des consulats</w:t>
      </w:r>
      <w:r>
        <w:t xml:space="preserve"> dans l</w:t>
      </w:r>
      <w:r w:rsidR="00190C93">
        <w:t>’</w:t>
      </w:r>
      <w:r>
        <w:t>État dans lequel une pratique illicite est constatée : Les Autorités centrales peuvent prier leur ambassade ou consulat respectif, qui ont l</w:t>
      </w:r>
      <w:r w:rsidR="00190C93">
        <w:t>’</w:t>
      </w:r>
      <w:r>
        <w:t xml:space="preserve">avantage de se trouver sur place et peuvent donc assurer une meilleure liaison avec les autorités compétentes de cet État, de les aider à coordonner une réponse entre les différents États. </w:t>
      </w:r>
    </w:p>
    <w:p w14:paraId="209047D7" w14:textId="30B4D91B" w:rsidR="00E906AC" w:rsidRPr="00851123" w:rsidRDefault="00E906AC" w:rsidP="004C1D43">
      <w:pPr>
        <w:pStyle w:val="PBBulletList"/>
      </w:pPr>
      <w:r>
        <w:rPr>
          <w:b/>
        </w:rPr>
        <w:t>Consultations avec d</w:t>
      </w:r>
      <w:r w:rsidR="00190C93">
        <w:rPr>
          <w:b/>
        </w:rPr>
        <w:t>’</w:t>
      </w:r>
      <w:r>
        <w:rPr>
          <w:b/>
        </w:rPr>
        <w:t xml:space="preserve">autres organisations </w:t>
      </w:r>
      <w:r>
        <w:t xml:space="preserve">(par ex. HCCH, Unicef, SSI) et </w:t>
      </w:r>
      <w:r>
        <w:rPr>
          <w:b/>
        </w:rPr>
        <w:t xml:space="preserve">associations </w:t>
      </w:r>
      <w:r>
        <w:t>(par ex. associations d</w:t>
      </w:r>
      <w:r w:rsidR="00190C93">
        <w:t>’</w:t>
      </w:r>
      <w:r>
        <w:t>adoptés, de parents d</w:t>
      </w:r>
      <w:r w:rsidR="00190C93">
        <w:t>’</w:t>
      </w:r>
      <w:r>
        <w:t>origine ou de parents adoptifs) : ces organes peuvent offrir une autre perspective importante de la situation et permettre l</w:t>
      </w:r>
      <w:r w:rsidR="00190C93">
        <w:t>’</w:t>
      </w:r>
      <w:r>
        <w:t xml:space="preserve">inclusion des voix de ceux qui ont </w:t>
      </w:r>
      <w:r>
        <w:rPr>
          <w:b/>
          <w:bCs/>
        </w:rPr>
        <w:t>vécu l</w:t>
      </w:r>
      <w:r w:rsidR="00190C93">
        <w:rPr>
          <w:b/>
          <w:bCs/>
        </w:rPr>
        <w:t>’</w:t>
      </w:r>
      <w:r>
        <w:rPr>
          <w:b/>
          <w:bCs/>
        </w:rPr>
        <w:t>adoption</w:t>
      </w:r>
      <w:r>
        <w:t xml:space="preserve">. </w:t>
      </w:r>
    </w:p>
    <w:p w14:paraId="5A20D24E" w14:textId="124FB27B" w:rsidR="00E906AC" w:rsidRPr="00F53F7E" w:rsidRDefault="00E906AC" w:rsidP="00424FA2">
      <w:pPr>
        <w:pStyle w:val="PBParagraphNumber"/>
      </w:pPr>
      <w:bookmarkStart w:id="32" w:name="_Toc61255181"/>
      <w:r>
        <w:t xml:space="preserve">Les États peuvent aussi souhaiter une réponse coordonnée (et si possible commune) aux pratiques illicites, y compris aux pratiques illicites systémiques. </w:t>
      </w:r>
      <w:bookmarkEnd w:id="32"/>
      <w:r>
        <w:t>Avant d</w:t>
      </w:r>
      <w:r w:rsidR="00190C93">
        <w:t>’</w:t>
      </w:r>
      <w:r>
        <w:t>agir, il peut s</w:t>
      </w:r>
      <w:r w:rsidR="00190C93">
        <w:t>’</w:t>
      </w:r>
      <w:r>
        <w:t xml:space="preserve">avérer pertinent pour les États concernés de </w:t>
      </w:r>
      <w:r>
        <w:rPr>
          <w:b/>
        </w:rPr>
        <w:t>se consulter mutuellement au sujet des mesures spécifiques</w:t>
      </w:r>
      <w:r>
        <w:t xml:space="preserve"> à prendre contre les pratiques illicites. Une telle coordination ne devrait pas se limiter au partage d</w:t>
      </w:r>
      <w:r w:rsidR="00190C93">
        <w:t>’</w:t>
      </w:r>
      <w:r>
        <w:t>informations ou de mesures existantes, mais devrait s</w:t>
      </w:r>
      <w:r w:rsidR="00190C93">
        <w:t>’</w:t>
      </w:r>
      <w:r>
        <w:t>étendre à l</w:t>
      </w:r>
      <w:r w:rsidR="00190C93">
        <w:t>’</w:t>
      </w:r>
      <w:r>
        <w:t xml:space="preserve">harmonisation des mesures de sorte à les rendre plus efficaces. </w:t>
      </w:r>
    </w:p>
    <w:p w14:paraId="3830D3F3" w14:textId="39908D83" w:rsidR="00E906AC" w:rsidRPr="00F53F7E" w:rsidRDefault="00E906AC" w:rsidP="0003596A">
      <w:pPr>
        <w:pStyle w:val="PBParagraphNumber"/>
      </w:pPr>
      <w:r>
        <w:t>S</w:t>
      </w:r>
      <w:r w:rsidR="00190C93">
        <w:t>’</w:t>
      </w:r>
      <w:r>
        <w:t xml:space="preserve">il importe que chaque État apporte une réponse aux pratiques illicites à titre individuel, une </w:t>
      </w:r>
      <w:r>
        <w:rPr>
          <w:b/>
        </w:rPr>
        <w:t>réponse commune est essentielle à une démarche fructueuse</w:t>
      </w:r>
      <w:r>
        <w:t>, dans la mesure où cela empêche que chaque autorité ou État y réponde différemment. En outre, cela permet d</w:t>
      </w:r>
      <w:r w:rsidR="00190C93">
        <w:t>’</w:t>
      </w:r>
      <w:r>
        <w:t>éviter d</w:t>
      </w:r>
      <w:r w:rsidR="00190C93">
        <w:t>’</w:t>
      </w:r>
      <w:r>
        <w:t>envoyer un message négatif concernant l</w:t>
      </w:r>
      <w:r w:rsidR="00190C93">
        <w:t>’</w:t>
      </w:r>
      <w:r>
        <w:t>existence des pratiques illicites et la manière appropriée d</w:t>
      </w:r>
      <w:r w:rsidR="00190C93">
        <w:t>’</w:t>
      </w:r>
      <w:r>
        <w:t>y répondre À titre d</w:t>
      </w:r>
      <w:r w:rsidR="00190C93">
        <w:t>’</w:t>
      </w:r>
      <w:r>
        <w:t>exemple, si certains États d</w:t>
      </w:r>
      <w:r w:rsidR="00190C93">
        <w:t>’</w:t>
      </w:r>
      <w:r>
        <w:t>accueil suspendent leur programme d</w:t>
      </w:r>
      <w:r w:rsidR="00190C93">
        <w:t>’</w:t>
      </w:r>
      <w:r>
        <w:t>adoption internationale avec un État d</w:t>
      </w:r>
      <w:r w:rsidR="00190C93">
        <w:t>’</w:t>
      </w:r>
      <w:r>
        <w:t>origine en particulier en raison d</w:t>
      </w:r>
      <w:r w:rsidR="00190C93">
        <w:t>’</w:t>
      </w:r>
      <w:r>
        <w:t>abus systémiques, alors que d</w:t>
      </w:r>
      <w:r w:rsidR="00190C93">
        <w:t>’</w:t>
      </w:r>
      <w:r>
        <w:t>autres continuent à procéder à des adoptions internationales avec cet État indépendamment de ces abus, l</w:t>
      </w:r>
      <w:r w:rsidR="00190C93">
        <w:t>’</w:t>
      </w:r>
      <w:r>
        <w:t>État d</w:t>
      </w:r>
      <w:r w:rsidR="00190C93">
        <w:t>’</w:t>
      </w:r>
      <w:r>
        <w:t>origine peut ne pas voir d</w:t>
      </w:r>
      <w:r w:rsidR="00190C93">
        <w:t>’</w:t>
      </w:r>
      <w:r>
        <w:t>intérêt à remédier à de telles pratiques illicites. Dans de tels cas, la coopération et la coordination entre tous les États et acteurs sont particulièrement importantes et pertinentes dans la prévention des pratiques illicites systémiques et la manière d</w:t>
      </w:r>
      <w:r w:rsidR="00190C93">
        <w:t>’</w:t>
      </w:r>
      <w:r>
        <w:t>y remédier. Une réponse coordonnée aux pratiques illicites a dès lors plus de chances d</w:t>
      </w:r>
      <w:r w:rsidR="00190C93">
        <w:t>’</w:t>
      </w:r>
      <w:r>
        <w:t>avoir un impact positif.</w:t>
      </w:r>
    </w:p>
    <w:p w14:paraId="443FF468" w14:textId="56465132" w:rsidR="00E906AC" w:rsidRPr="00F53F7E" w:rsidRDefault="00E906AC" w:rsidP="00896217">
      <w:pPr>
        <w:pStyle w:val="PBParagraphNumber"/>
      </w:pPr>
      <w:r>
        <w:t xml:space="preserve">La manière de répondre aux pratiques illicites peut varier </w:t>
      </w:r>
      <w:r>
        <w:rPr>
          <w:b/>
        </w:rPr>
        <w:t>selon qu</w:t>
      </w:r>
      <w:r w:rsidR="00190C93">
        <w:rPr>
          <w:b/>
        </w:rPr>
        <w:t>’</w:t>
      </w:r>
      <w:r>
        <w:rPr>
          <w:b/>
        </w:rPr>
        <w:t>elles sont constatées alors qu</w:t>
      </w:r>
      <w:r w:rsidR="00190C93">
        <w:rPr>
          <w:b/>
        </w:rPr>
        <w:t>’</w:t>
      </w:r>
      <w:r>
        <w:rPr>
          <w:b/>
        </w:rPr>
        <w:t>elles sont toujours en cours ou après leur survenance.</w:t>
      </w:r>
      <w:r>
        <w:t xml:space="preserve"> Toutefois, pour ce qui est de </w:t>
      </w:r>
      <w:r w:rsidR="00145DCD">
        <w:t xml:space="preserve">remédier à </w:t>
      </w:r>
      <w:r>
        <w:t xml:space="preserve">des pratiques illicites qui sont toujours en cours, il convient principalement de veiller à ce que les réponses appropriées soient apportées avant que de nouvelles adoptions (ou des adoptions en cours) puissent être effectuées. </w:t>
      </w:r>
    </w:p>
    <w:p w14:paraId="64901F88" w14:textId="77777777" w:rsidR="00E906AC" w:rsidRPr="00F53F7E" w:rsidRDefault="00E906AC" w:rsidP="00424FA2">
      <w:pPr>
        <w:pStyle w:val="PBParagraphNumber"/>
      </w:pPr>
      <w:r>
        <w:t>La coordination peut aboutir à divers résultats :</w:t>
      </w:r>
    </w:p>
    <w:p w14:paraId="081697E0" w14:textId="7AA47FFB" w:rsidR="00E906AC" w:rsidRPr="00F53F7E" w:rsidRDefault="00E906AC" w:rsidP="00653DF6">
      <w:pPr>
        <w:pStyle w:val="PBBulletList"/>
      </w:pPr>
      <w:r>
        <w:rPr>
          <w:b/>
        </w:rPr>
        <w:t>Harmonisation des procédures</w:t>
      </w:r>
      <w:r>
        <w:t> : si une pratique illicite systémique existe, les États peuvent décider d</w:t>
      </w:r>
      <w:r w:rsidR="00190C93">
        <w:t>’</w:t>
      </w:r>
      <w:r>
        <w:t>appliquer la même procédure, de sorte à empêcher que ladite pratique illicite systémique ait un impact négatif. À titre d</w:t>
      </w:r>
      <w:r w:rsidR="00190C93">
        <w:t>’</w:t>
      </w:r>
      <w:r>
        <w:t xml:space="preserve">exemple, si un État facture des honoraires qui </w:t>
      </w:r>
      <w:r>
        <w:lastRenderedPageBreak/>
        <w:t>varient selon l</w:t>
      </w:r>
      <w:r w:rsidR="00190C93">
        <w:t>’</w:t>
      </w:r>
      <w:r>
        <w:t>État avec lequel il coopère, tous les États peuvent indiquer qu</w:t>
      </w:r>
      <w:r w:rsidR="00190C93">
        <w:t>’</w:t>
      </w:r>
      <w:r>
        <w:t>ils ne coopéreront avec cet État dans le cadre d</w:t>
      </w:r>
      <w:r w:rsidR="00190C93">
        <w:t>’</w:t>
      </w:r>
      <w:r>
        <w:t>adoptions internationales qu</w:t>
      </w:r>
      <w:r w:rsidR="00190C93">
        <w:t>’</w:t>
      </w:r>
      <w:r>
        <w:t>à la condition que les honoraires soient les mêmes pour tous les États et qu</w:t>
      </w:r>
      <w:r w:rsidR="00190C93">
        <w:t>’</w:t>
      </w:r>
      <w:r>
        <w:t>ils soient raisonnables.</w:t>
      </w:r>
    </w:p>
    <w:p w14:paraId="65CD1C54" w14:textId="7CE2B147" w:rsidR="00E906AC" w:rsidRPr="00F53F7E" w:rsidRDefault="00E906AC" w:rsidP="00653DF6">
      <w:pPr>
        <w:pStyle w:val="PBBulletList"/>
      </w:pPr>
      <w:r>
        <w:rPr>
          <w:b/>
        </w:rPr>
        <w:t>Message commun</w:t>
      </w:r>
      <w:r>
        <w:t> : tous les États qui participent à la coordination peuvent souhaiter envoyer un message commun à l</w:t>
      </w:r>
      <w:r w:rsidR="00190C93">
        <w:t>’</w:t>
      </w:r>
      <w:r>
        <w:t>État dans lequel il existe des pratiques illicites, pour inviter cet État à revoir sa législation et / ou ces pratiques en matière de lutte contre de telles pratiques illicites systémiques</w:t>
      </w:r>
      <w:r w:rsidRPr="00F53F7E">
        <w:rPr>
          <w:rStyle w:val="FootnoteReference"/>
        </w:rPr>
        <w:footnoteReference w:id="3"/>
      </w:r>
      <w:r>
        <w:t>.</w:t>
      </w:r>
    </w:p>
    <w:p w14:paraId="08C4A5F3" w14:textId="7DE3865E" w:rsidR="00424FA2" w:rsidRPr="00F53F7E" w:rsidRDefault="00424FA2" w:rsidP="00653DF6">
      <w:pPr>
        <w:pStyle w:val="PBBulletList"/>
      </w:pPr>
      <w:r>
        <w:rPr>
          <w:b/>
        </w:rPr>
        <w:t>Suspension des programmes d</w:t>
      </w:r>
      <w:r w:rsidR="00190C93">
        <w:rPr>
          <w:b/>
        </w:rPr>
        <w:t>’</w:t>
      </w:r>
      <w:r>
        <w:rPr>
          <w:b/>
        </w:rPr>
        <w:t>adoption internationale</w:t>
      </w:r>
      <w:r>
        <w:t> : Les États peuvent également décider de suspendre leurs programmes d</w:t>
      </w:r>
      <w:r w:rsidR="00190C93">
        <w:t>’</w:t>
      </w:r>
      <w:r>
        <w:t>adoption internationale avec cet État, jusqu</w:t>
      </w:r>
      <w:r w:rsidR="00190C93">
        <w:t>’</w:t>
      </w:r>
      <w:r>
        <w:t>à ce qu</w:t>
      </w:r>
      <w:r w:rsidR="00190C93">
        <w:t>’</w:t>
      </w:r>
      <w:r>
        <w:t xml:space="preserve">une réponse soit apportée à la (aux) pratique(s) illicite(s). </w:t>
      </w:r>
    </w:p>
    <w:p w14:paraId="71BC7153" w14:textId="4CC54908" w:rsidR="00EA5574" w:rsidRPr="00F55B24" w:rsidRDefault="00424FA2" w:rsidP="00F55B24">
      <w:pPr>
        <w:pStyle w:val="PBBulletList"/>
      </w:pPr>
      <w:r>
        <w:rPr>
          <w:b/>
        </w:rPr>
        <w:t>Assistance technique</w:t>
      </w:r>
      <w:r>
        <w:t> : Les États dans lesquels une bonne pratique est identifiée peuvent souhaiter offrir une assistance technique. À l</w:t>
      </w:r>
      <w:r w:rsidR="00190C93">
        <w:t>’</w:t>
      </w:r>
      <w:r>
        <w:t>inverse, l</w:t>
      </w:r>
      <w:r w:rsidR="00190C93">
        <w:t>’</w:t>
      </w:r>
      <w:r>
        <w:t>État dans lequel une pratique illicite a été observée peut solliciter une assistance technique (voir Section 3 « Assistance technique » ci-dessus).</w:t>
      </w:r>
    </w:p>
    <w:sectPr w:rsidR="00EA5574" w:rsidRPr="00F55B24" w:rsidSect="002672D3">
      <w:headerReference w:type="default" r:id="rId23"/>
      <w:footerReference w:type="default" r:id="rId24"/>
      <w:headerReference w:type="first" r:id="rId25"/>
      <w:footerReference w:type="first" r:id="rId26"/>
      <w:endnotePr>
        <w:numFmt w:val="decimal"/>
      </w:endnotePr>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97DDF" w14:textId="77777777" w:rsidR="00051A71" w:rsidRPr="00927ABF" w:rsidRDefault="00051A71" w:rsidP="00037583">
      <w:pPr>
        <w:spacing w:after="0" w:line="240" w:lineRule="auto"/>
        <w:rPr>
          <w:sz w:val="10"/>
          <w:szCs w:val="10"/>
        </w:rPr>
      </w:pPr>
    </w:p>
  </w:endnote>
  <w:endnote w:type="continuationSeparator" w:id="0">
    <w:p w14:paraId="050E941E" w14:textId="77777777" w:rsidR="00051A71" w:rsidRPr="00927ABF" w:rsidRDefault="00051A71" w:rsidP="00037583">
      <w:pPr>
        <w:spacing w:after="0" w:line="240" w:lineRule="auto"/>
        <w:rPr>
          <w:sz w:val="10"/>
          <w:szCs w:val="10"/>
        </w:rPr>
      </w:pPr>
    </w:p>
  </w:endnote>
  <w:endnote w:type="continuationNotice" w:id="1">
    <w:p w14:paraId="2534B5C8" w14:textId="77777777" w:rsidR="00051A71" w:rsidRDefault="00051A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6375807E-3DCB-48AE-B8B6-1CBC6067DACB}"/>
    <w:embedBold r:id="rId2" w:fontKey="{D600872E-92A2-4D6F-9AC9-443AA9C94600}"/>
    <w:embedItalic r:id="rId3" w:fontKey="{F24E120A-A295-4E32-AE73-39617951EFB5}"/>
  </w:font>
  <w:font w:name="Calibri">
    <w:panose1 w:val="020F0502020204030204"/>
    <w:charset w:val="00"/>
    <w:family w:val="swiss"/>
    <w:pitch w:val="variable"/>
    <w:sig w:usb0="E4002EFF" w:usb1="C000247B" w:usb2="00000009" w:usb3="00000000" w:csb0="000001FF" w:csb1="00000000"/>
    <w:embedRegular r:id="rId4" w:fontKey="{6BBB072D-386E-4792-AB73-E691D9490A2F}"/>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398F5EC7-34A2-4AC1-85B6-CC5B73503FA1}"/>
    <w:embedBold r:id="rId6" w:fontKey="{911EC7B5-7D75-4EF5-9292-B682EC1D4A6C}"/>
    <w:embedItalic r:id="rId7" w:fontKey="{B03DB2AF-53DE-4560-8377-4B05A39E3B07}"/>
  </w:font>
  <w:font w:name="MS Gothic">
    <w:altName w:val="ＭＳ ゴシック"/>
    <w:panose1 w:val="020B0609070205080204"/>
    <w:charset w:val="80"/>
    <w:family w:val="modern"/>
    <w:pitch w:val="fixed"/>
    <w:sig w:usb0="E00002FF" w:usb1="6AC7FDFB" w:usb2="08000012" w:usb3="00000000" w:csb0="0002009F" w:csb1="00000000"/>
    <w:embedRegular r:id="rId8" w:subsetted="1" w:fontKey="{844BB25D-F69B-452F-B5A1-6219C8BAEB7E}"/>
  </w:font>
  <w:font w:name="Segoe UI">
    <w:panose1 w:val="020B0502040204020203"/>
    <w:charset w:val="00"/>
    <w:family w:val="swiss"/>
    <w:pitch w:val="variable"/>
    <w:sig w:usb0="E4002EFF" w:usb1="C000E47F" w:usb2="00000009" w:usb3="00000000" w:csb0="000001FF" w:csb1="00000000"/>
    <w:embedRegular r:id="rId9" w:fontKey="{6E8713E3-60FC-49C3-96AD-722D2C25A74E}"/>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0" w:fontKey="{7520E513-6D5B-4DC0-AEBE-440566046D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ABD3" w14:textId="77777777" w:rsidR="009076AF" w:rsidRDefault="009076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57" w:type="dxa"/>
        <w:right w:w="57" w:type="dxa"/>
      </w:tblCellMar>
      <w:tblLook w:val="04A0" w:firstRow="1" w:lastRow="0" w:firstColumn="1" w:lastColumn="0" w:noHBand="0" w:noVBand="1"/>
    </w:tblPr>
    <w:tblGrid>
      <w:gridCol w:w="5097"/>
      <w:gridCol w:w="5097"/>
    </w:tblGrid>
    <w:tr w:rsidR="00AC2F06" w:rsidRPr="00402909" w14:paraId="3AE81E92" w14:textId="77777777" w:rsidTr="00402909">
      <w:tc>
        <w:tcPr>
          <w:tcW w:w="5097" w:type="dxa"/>
          <w:shd w:val="clear" w:color="auto" w:fill="auto"/>
          <w:vAlign w:val="center"/>
        </w:tcPr>
        <w:p w14:paraId="55244E18" w14:textId="77777777" w:rsidR="00AC2F06" w:rsidRPr="00402909" w:rsidRDefault="00AC2F06" w:rsidP="00402909">
          <w:pPr>
            <w:pStyle w:val="Footer"/>
            <w:spacing w:after="40"/>
            <w:jc w:val="right"/>
            <w:rPr>
              <w:color w:val="024987"/>
              <w:sz w:val="20"/>
              <w:szCs w:val="20"/>
            </w:rPr>
          </w:pPr>
          <w:r>
            <w:rPr>
              <w:b/>
              <w:color w:val="024987"/>
              <w:sz w:val="24"/>
            </w:rPr>
            <w:t>H</w:t>
          </w:r>
          <w:r>
            <w:rPr>
              <w:color w:val="024987"/>
              <w:sz w:val="20"/>
            </w:rPr>
            <w:t xml:space="preserve">ague </w:t>
          </w:r>
          <w:r>
            <w:rPr>
              <w:b/>
              <w:color w:val="024987"/>
              <w:sz w:val="24"/>
            </w:rPr>
            <w:t>C</w:t>
          </w:r>
          <w:r>
            <w:rPr>
              <w:color w:val="024987"/>
              <w:sz w:val="20"/>
            </w:rPr>
            <w:t xml:space="preserve">onference on Private International Law </w:t>
          </w:r>
        </w:p>
      </w:tc>
      <w:tc>
        <w:tcPr>
          <w:tcW w:w="5097" w:type="dxa"/>
          <w:shd w:val="clear" w:color="auto" w:fill="auto"/>
          <w:vAlign w:val="center"/>
        </w:tcPr>
        <w:p w14:paraId="6CD4CDCD" w14:textId="77777777" w:rsidR="00AC2F06" w:rsidRPr="00402909" w:rsidRDefault="00AC2F06" w:rsidP="00402909">
          <w:pPr>
            <w:pStyle w:val="Footer"/>
            <w:spacing w:after="40"/>
            <w:jc w:val="left"/>
            <w:rPr>
              <w:color w:val="024987"/>
              <w:sz w:val="20"/>
              <w:szCs w:val="20"/>
            </w:rPr>
          </w:pPr>
          <w:r>
            <w:rPr>
              <w:b/>
              <w:color w:val="024987"/>
              <w:sz w:val="24"/>
            </w:rPr>
            <w:t>C</w:t>
          </w:r>
          <w:r>
            <w:rPr>
              <w:color w:val="024987"/>
              <w:sz w:val="20"/>
            </w:rPr>
            <w:t xml:space="preserve">onférence de La </w:t>
          </w:r>
          <w:r>
            <w:rPr>
              <w:b/>
              <w:color w:val="024987"/>
              <w:sz w:val="24"/>
            </w:rPr>
            <w:t>H</w:t>
          </w:r>
          <w:r>
            <w:rPr>
              <w:color w:val="024987"/>
              <w:sz w:val="20"/>
            </w:rPr>
            <w:t>aye de droit international privé</w:t>
          </w:r>
        </w:p>
      </w:tc>
    </w:tr>
    <w:tr w:rsidR="00AC2F06" w:rsidRPr="00402909" w14:paraId="2818786D" w14:textId="77777777" w:rsidTr="00402909">
      <w:tc>
        <w:tcPr>
          <w:tcW w:w="5097" w:type="dxa"/>
          <w:shd w:val="clear" w:color="auto" w:fill="auto"/>
          <w:vAlign w:val="center"/>
        </w:tcPr>
        <w:p w14:paraId="75E98C7F" w14:textId="3741E366" w:rsidR="00AC2F06" w:rsidRPr="00402909" w:rsidRDefault="009076AF" w:rsidP="00402909">
          <w:pPr>
            <w:pStyle w:val="Footer"/>
            <w:spacing w:after="40"/>
            <w:jc w:val="right"/>
            <w:rPr>
              <w:color w:val="024987"/>
              <w:sz w:val="16"/>
              <w:szCs w:val="16"/>
            </w:rPr>
          </w:pPr>
          <w:hyperlink r:id="rId1" w:history="1">
            <w:r w:rsidR="00CA49AF">
              <w:rPr>
                <w:rStyle w:val="Hyperlink"/>
                <w:sz w:val="16"/>
              </w:rPr>
              <w:t>secretariat@hcch.net</w:t>
            </w:r>
          </w:hyperlink>
        </w:p>
      </w:tc>
      <w:tc>
        <w:tcPr>
          <w:tcW w:w="5097" w:type="dxa"/>
          <w:shd w:val="clear" w:color="auto" w:fill="auto"/>
          <w:vAlign w:val="center"/>
        </w:tcPr>
        <w:p w14:paraId="1BBFCC97" w14:textId="75BD8E47" w:rsidR="00AC2F06" w:rsidRPr="00402909" w:rsidRDefault="009076AF" w:rsidP="00402909">
          <w:pPr>
            <w:pStyle w:val="Footer"/>
            <w:spacing w:after="40"/>
            <w:jc w:val="left"/>
            <w:rPr>
              <w:color w:val="024987"/>
              <w:sz w:val="16"/>
              <w:szCs w:val="16"/>
            </w:rPr>
          </w:pPr>
          <w:hyperlink r:id="rId2" w:history="1">
            <w:r w:rsidR="00CA49AF">
              <w:rPr>
                <w:rStyle w:val="Hyperlink"/>
                <w:sz w:val="16"/>
              </w:rPr>
              <w:t>www.hcch.net</w:t>
            </w:r>
          </w:hyperlink>
        </w:p>
      </w:tc>
    </w:tr>
    <w:tr w:rsidR="00AC2F06" w:rsidRPr="00402909" w14:paraId="2CAAAB29" w14:textId="77777777" w:rsidTr="00402909">
      <w:tc>
        <w:tcPr>
          <w:tcW w:w="5097" w:type="dxa"/>
          <w:shd w:val="clear" w:color="auto" w:fill="auto"/>
          <w:vAlign w:val="center"/>
        </w:tcPr>
        <w:p w14:paraId="4DD0B095" w14:textId="77777777" w:rsidR="00AC2F06" w:rsidRPr="0078198D" w:rsidRDefault="00AC2F06" w:rsidP="00402909">
          <w:pPr>
            <w:pStyle w:val="Footer"/>
            <w:spacing w:after="40"/>
            <w:jc w:val="right"/>
            <w:rPr>
              <w:color w:val="024987"/>
              <w:sz w:val="16"/>
              <w:szCs w:val="16"/>
              <w:lang w:val="en-US"/>
            </w:rPr>
          </w:pPr>
          <w:r w:rsidRPr="0078198D">
            <w:rPr>
              <w:color w:val="024987"/>
              <w:sz w:val="16"/>
              <w:lang w:val="en-US"/>
            </w:rPr>
            <w:t>Regional Office for Asia and the Pacific (ROAP)</w:t>
          </w:r>
        </w:p>
      </w:tc>
      <w:tc>
        <w:tcPr>
          <w:tcW w:w="5097" w:type="dxa"/>
          <w:shd w:val="clear" w:color="auto" w:fill="auto"/>
          <w:vAlign w:val="center"/>
        </w:tcPr>
        <w:p w14:paraId="5A132CCD" w14:textId="77777777" w:rsidR="00AC2F06" w:rsidRPr="00402909" w:rsidRDefault="00AC2F06" w:rsidP="00402909">
          <w:pPr>
            <w:pStyle w:val="Footer"/>
            <w:spacing w:after="40"/>
            <w:jc w:val="left"/>
            <w:rPr>
              <w:color w:val="024987"/>
              <w:sz w:val="16"/>
              <w:szCs w:val="16"/>
            </w:rPr>
          </w:pPr>
          <w:r>
            <w:rPr>
              <w:color w:val="024987"/>
              <w:sz w:val="16"/>
            </w:rPr>
            <w:t>Bureau régional pour l’Asie et le Pacifique (BRAP)</w:t>
          </w:r>
        </w:p>
      </w:tc>
    </w:tr>
    <w:tr w:rsidR="00AC2F06" w:rsidRPr="00402909" w14:paraId="7665213A" w14:textId="77777777" w:rsidTr="00402909">
      <w:tc>
        <w:tcPr>
          <w:tcW w:w="5097" w:type="dxa"/>
          <w:shd w:val="clear" w:color="auto" w:fill="auto"/>
          <w:vAlign w:val="center"/>
        </w:tcPr>
        <w:p w14:paraId="2A7512F2" w14:textId="77777777" w:rsidR="00AC2F06" w:rsidRPr="0078198D" w:rsidRDefault="00AC2F06" w:rsidP="00402909">
          <w:pPr>
            <w:pStyle w:val="Footer"/>
            <w:spacing w:after="40"/>
            <w:jc w:val="right"/>
            <w:rPr>
              <w:color w:val="024987"/>
              <w:sz w:val="16"/>
              <w:szCs w:val="16"/>
              <w:lang w:val="en-US"/>
            </w:rPr>
          </w:pPr>
          <w:r w:rsidRPr="0078198D">
            <w:rPr>
              <w:color w:val="024987"/>
              <w:sz w:val="16"/>
              <w:lang w:val="en-US"/>
            </w:rPr>
            <w:t>Regional Office for Latin America and the Caribbean (ROLAC)</w:t>
          </w:r>
        </w:p>
      </w:tc>
      <w:tc>
        <w:tcPr>
          <w:tcW w:w="5097" w:type="dxa"/>
          <w:shd w:val="clear" w:color="auto" w:fill="auto"/>
          <w:vAlign w:val="center"/>
        </w:tcPr>
        <w:p w14:paraId="68649997" w14:textId="77777777" w:rsidR="00AC2F06" w:rsidRPr="00402909" w:rsidRDefault="00AC2F06" w:rsidP="00402909">
          <w:pPr>
            <w:pStyle w:val="Footer"/>
            <w:spacing w:after="40"/>
            <w:jc w:val="left"/>
            <w:rPr>
              <w:color w:val="024987"/>
              <w:sz w:val="16"/>
              <w:szCs w:val="16"/>
            </w:rPr>
          </w:pPr>
          <w:r>
            <w:rPr>
              <w:color w:val="024987"/>
              <w:sz w:val="16"/>
            </w:rPr>
            <w:t>Bureau régional pour l’Amérique latine et les Caraïbes (BRALC)</w:t>
          </w:r>
        </w:p>
      </w:tc>
    </w:tr>
  </w:tbl>
  <w:p w14:paraId="20B89313" w14:textId="77777777" w:rsidR="00AC2F06" w:rsidRPr="0023033E" w:rsidRDefault="00AC2F06" w:rsidP="005C2BE8">
    <w:pPr>
      <w:pStyle w:val="Footer"/>
      <w:spacing w:after="40"/>
      <w:jc w:val="center"/>
      <w:rPr>
        <w:color w:val="04549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E986" w14:textId="77777777" w:rsidR="00AC2F06" w:rsidRPr="00402909" w:rsidRDefault="00AC2F06">
    <w:pPr>
      <w:pStyle w:val="Footer"/>
      <w:jc w:val="right"/>
      <w:rPr>
        <w:color w:val="A2B93B"/>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6807A" w14:textId="77777777" w:rsidR="00AC2F06" w:rsidRPr="00402909" w:rsidRDefault="00AC2F06" w:rsidP="00402909">
    <w:pPr>
      <w:pStyle w:val="Header"/>
      <w:tabs>
        <w:tab w:val="clear" w:pos="4513"/>
        <w:tab w:val="clear" w:pos="9026"/>
      </w:tabs>
      <w:jc w:val="right"/>
      <w:rPr>
        <w:color w:val="A2B93B"/>
        <w:sz w:val="18"/>
        <w:szCs w:val="18"/>
      </w:rPr>
    </w:pPr>
  </w:p>
  <w:p w14:paraId="725BAC46" w14:textId="77777777" w:rsidR="00AC2F06" w:rsidRPr="00B428E3" w:rsidRDefault="00AC2F06" w:rsidP="00B74EFA">
    <w:pPr>
      <w:pStyle w:val="Header"/>
      <w:tabs>
        <w:tab w:val="clear" w:pos="4513"/>
        <w:tab w:val="clear" w:pos="9026"/>
      </w:tabs>
      <w:jc w:val="right"/>
      <w:rPr>
        <w:color w:val="002060"/>
        <w:sz w:val="18"/>
        <w:szCs w:val="18"/>
      </w:rPr>
    </w:pP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Pr="00B428E3">
      <w:rPr>
        <w:color w:val="002060"/>
        <w:sz w:val="18"/>
      </w:rPr>
      <w:t>1</w:t>
    </w:r>
    <w:r w:rsidRPr="00B428E3">
      <w:rPr>
        <w:color w:val="002060"/>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A2DDF" w14:textId="77777777" w:rsidR="00AC2F06" w:rsidRPr="00000ACA" w:rsidRDefault="00AC2F06" w:rsidP="00402909">
    <w:pPr>
      <w:pStyle w:val="Footer"/>
      <w:tabs>
        <w:tab w:val="clear" w:pos="4513"/>
        <w:tab w:val="clear" w:pos="9026"/>
        <w:tab w:val="center" w:pos="4819"/>
        <w:tab w:val="right" w:pos="9638"/>
      </w:tabs>
      <w:jc w:val="right"/>
      <w:rPr>
        <w:color w:val="002060"/>
        <w:sz w:val="18"/>
        <w:szCs w:val="18"/>
      </w:rPr>
    </w:pPr>
    <w:r>
      <w:rPr>
        <w:color w:val="002060"/>
        <w:sz w:val="18"/>
      </w:rPr>
      <w:t>Lignes directrices</w:t>
    </w:r>
    <w:r>
      <w:rPr>
        <w:color w:val="002060"/>
        <w:sz w:val="18"/>
      </w:rPr>
      <w:tab/>
    </w:r>
    <w:r>
      <w:rPr>
        <w:color w:val="002060"/>
        <w:sz w:val="18"/>
      </w:rPr>
      <w:tab/>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Pr="00B428E3">
      <w:rPr>
        <w:color w:val="002060"/>
        <w:sz w:val="18"/>
      </w:rPr>
      <w:t>70</w:t>
    </w:r>
    <w:r w:rsidRPr="00B428E3">
      <w:rPr>
        <w:color w:val="002060"/>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012A" w14:textId="77777777" w:rsidR="00AC2F06" w:rsidRPr="00000ACA" w:rsidRDefault="00AC2F06" w:rsidP="00402909">
    <w:pPr>
      <w:pStyle w:val="Footer"/>
      <w:tabs>
        <w:tab w:val="clear" w:pos="4513"/>
        <w:tab w:val="clear" w:pos="9026"/>
        <w:tab w:val="center" w:pos="4819"/>
        <w:tab w:val="right" w:pos="9638"/>
      </w:tabs>
      <w:jc w:val="right"/>
      <w:rPr>
        <w:color w:val="002060"/>
        <w:sz w:val="18"/>
        <w:szCs w:val="18"/>
      </w:rPr>
    </w:pPr>
    <w:r>
      <w:rPr>
        <w:color w:val="002060"/>
        <w:sz w:val="18"/>
      </w:rPr>
      <w:t>Lignes directrices</w:t>
    </w:r>
    <w:r>
      <w:rPr>
        <w:color w:val="002060"/>
        <w:sz w:val="18"/>
      </w:rPr>
      <w:tab/>
    </w:r>
    <w:r>
      <w:rPr>
        <w:color w:val="002060"/>
        <w:sz w:val="18"/>
      </w:rPr>
      <w:tab/>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Pr="00B428E3">
      <w:rPr>
        <w:color w:val="002060"/>
        <w:sz w:val="18"/>
      </w:rPr>
      <w:t>9</w:t>
    </w:r>
    <w:r w:rsidRPr="00B428E3">
      <w:rP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78983" w14:textId="77777777" w:rsidR="00051A71" w:rsidRPr="00402909" w:rsidRDefault="00051A71" w:rsidP="00B74EFA">
      <w:pPr>
        <w:spacing w:after="120" w:line="240" w:lineRule="auto"/>
        <w:rPr>
          <w:color w:val="A2B93B"/>
        </w:rPr>
      </w:pPr>
      <w:r w:rsidRPr="00402909">
        <w:rPr>
          <w:color w:val="A2B93B"/>
        </w:rPr>
        <w:separator/>
      </w:r>
    </w:p>
  </w:footnote>
  <w:footnote w:type="continuationSeparator" w:id="0">
    <w:p w14:paraId="18D0D726" w14:textId="77777777" w:rsidR="00051A71" w:rsidRDefault="00051A71" w:rsidP="00037583">
      <w:pPr>
        <w:spacing w:after="0" w:line="240" w:lineRule="auto"/>
      </w:pPr>
      <w:r>
        <w:continuationSeparator/>
      </w:r>
    </w:p>
  </w:footnote>
  <w:footnote w:type="continuationNotice" w:id="1">
    <w:p w14:paraId="422CDCA9" w14:textId="77777777" w:rsidR="00051A71" w:rsidRDefault="00051A71">
      <w:pPr>
        <w:spacing w:after="0" w:line="240" w:lineRule="auto"/>
      </w:pPr>
    </w:p>
  </w:footnote>
  <w:footnote w:id="2">
    <w:p w14:paraId="728CF1BC" w14:textId="77777777" w:rsidR="00E906AC" w:rsidRPr="00AE1456" w:rsidRDefault="00E906AC" w:rsidP="005A1E4D">
      <w:pPr>
        <w:pStyle w:val="PBfootnote"/>
        <w:rPr>
          <w:color w:val="002060"/>
          <w:lang w:val="es-ES"/>
        </w:rPr>
      </w:pPr>
      <w:r>
        <w:rPr>
          <w:rStyle w:val="FootnoteReference"/>
          <w:color w:val="002060"/>
        </w:rPr>
        <w:footnoteRef/>
      </w:r>
      <w:r w:rsidRPr="00AE1456">
        <w:rPr>
          <w:color w:val="002060"/>
          <w:lang w:val="es-ES"/>
        </w:rPr>
        <w:tab/>
        <w:t>Voir GGP No 2, para. 596 et 597.</w:t>
      </w:r>
    </w:p>
  </w:footnote>
  <w:footnote w:id="3">
    <w:p w14:paraId="2422B8E7" w14:textId="28795629" w:rsidR="00E906AC" w:rsidRPr="00F53F7E" w:rsidRDefault="00E906AC" w:rsidP="00B455C7">
      <w:pPr>
        <w:pStyle w:val="PBfootnote"/>
        <w:rPr>
          <w:color w:val="002060"/>
        </w:rPr>
      </w:pPr>
      <w:r>
        <w:rPr>
          <w:rStyle w:val="FootnoteReference"/>
          <w:color w:val="002060"/>
        </w:rPr>
        <w:footnoteRef/>
      </w:r>
      <w:r>
        <w:rPr>
          <w:color w:val="002060"/>
        </w:rPr>
        <w:tab/>
        <w:t>Par ex. c</w:t>
      </w:r>
      <w:r w:rsidR="00190C93">
        <w:rPr>
          <w:color w:val="002060"/>
        </w:rPr>
        <w:t>’</w:t>
      </w:r>
      <w:r>
        <w:rPr>
          <w:color w:val="002060"/>
        </w:rPr>
        <w:t>est ce qui a été fait lors de la réunion de la Commission spéciale de 2005 à propos de la situation au Guatemala. Voir CS de 2005, C&amp;R No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2A94" w14:textId="77777777" w:rsidR="009076AF" w:rsidRDefault="009076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097"/>
      <w:gridCol w:w="5097"/>
    </w:tblGrid>
    <w:tr w:rsidR="00AC2F06" w:rsidRPr="0078198D" w14:paraId="39FD6B11" w14:textId="77777777" w:rsidTr="00402909">
      <w:tc>
        <w:tcPr>
          <w:tcW w:w="5097" w:type="dxa"/>
          <w:shd w:val="clear" w:color="auto" w:fill="auto"/>
          <w:vAlign w:val="bottom"/>
        </w:tcPr>
        <w:p w14:paraId="1D4C79BA" w14:textId="77777777" w:rsidR="00AC2F06" w:rsidRPr="0078198D" w:rsidRDefault="00AC2F06" w:rsidP="00402909">
          <w:pPr>
            <w:pStyle w:val="Header"/>
            <w:tabs>
              <w:tab w:val="clear" w:pos="4513"/>
              <w:tab w:val="clear" w:pos="9026"/>
            </w:tabs>
            <w:spacing w:before="160"/>
            <w:rPr>
              <w:rFonts w:cs="Franklin Gothic Book"/>
              <w:b/>
              <w:bCs/>
              <w:caps/>
              <w:color w:val="002060"/>
              <w:sz w:val="20"/>
              <w:szCs w:val="20"/>
              <w:lang w:val="fr-CA"/>
            </w:rPr>
          </w:pPr>
          <w:r w:rsidRPr="0078198D">
            <w:rPr>
              <w:b/>
              <w:caps/>
              <w:color w:val="002060"/>
              <w:lang w:val="fr-CA"/>
            </w:rPr>
            <w:t>CS Adoption 1993</w:t>
          </w:r>
        </w:p>
        <w:p w14:paraId="19E6A977" w14:textId="77777777" w:rsidR="00AC2F06" w:rsidRPr="0078198D" w:rsidRDefault="00E5188C" w:rsidP="00402909">
          <w:pPr>
            <w:pStyle w:val="Header"/>
            <w:tabs>
              <w:tab w:val="clear" w:pos="4513"/>
              <w:tab w:val="clear" w:pos="9026"/>
            </w:tabs>
            <w:spacing w:before="160"/>
            <w:rPr>
              <w:rFonts w:cs="Franklin Gothic Book"/>
              <w:b/>
              <w:bCs/>
              <w:caps/>
              <w:color w:val="002060"/>
              <w:sz w:val="20"/>
              <w:szCs w:val="20"/>
              <w:lang w:val="fr-CA"/>
            </w:rPr>
          </w:pPr>
          <w:r w:rsidRPr="0078198D">
            <w:rPr>
              <w:b/>
              <w:caps/>
              <w:color w:val="002060"/>
              <w:sz w:val="20"/>
              <w:lang w:val="fr-CA"/>
            </w:rPr>
            <w:t>Juillet 2022</w:t>
          </w:r>
        </w:p>
        <w:p w14:paraId="41000C5A" w14:textId="77777777" w:rsidR="00AC2F06" w:rsidRPr="0078198D" w:rsidRDefault="00AC2F06" w:rsidP="00402909">
          <w:pPr>
            <w:pStyle w:val="Header"/>
            <w:tabs>
              <w:tab w:val="clear" w:pos="4513"/>
              <w:tab w:val="clear" w:pos="9026"/>
            </w:tabs>
            <w:spacing w:before="160"/>
            <w:rPr>
              <w:rFonts w:cs="Franklin Gothic Book"/>
              <w:b/>
              <w:bCs/>
              <w:caps/>
              <w:color w:val="002060"/>
              <w:sz w:val="20"/>
              <w:szCs w:val="20"/>
              <w:lang w:val="fr-CA"/>
            </w:rPr>
          </w:pPr>
          <w:r w:rsidRPr="0078198D">
            <w:rPr>
              <w:b/>
              <w:caps/>
              <w:color w:val="002060"/>
              <w:sz w:val="20"/>
              <w:lang w:val="fr-CA"/>
            </w:rPr>
            <w:t>Doc. prél. No 6E REV</w:t>
          </w:r>
        </w:p>
        <w:p w14:paraId="39E6B588" w14:textId="77777777" w:rsidR="00AC2F06" w:rsidRPr="0078198D" w:rsidRDefault="00AC2F06" w:rsidP="00402909">
          <w:pPr>
            <w:pStyle w:val="Header"/>
            <w:tabs>
              <w:tab w:val="clear" w:pos="4513"/>
              <w:tab w:val="clear" w:pos="9026"/>
            </w:tabs>
            <w:spacing w:before="160"/>
            <w:rPr>
              <w:rFonts w:cs="Franklin Gothic Book"/>
              <w:b/>
              <w:bCs/>
              <w:caps/>
              <w:color w:val="002060"/>
              <w:sz w:val="20"/>
              <w:szCs w:val="20"/>
              <w:lang w:val="fr-CA"/>
            </w:rPr>
          </w:pPr>
        </w:p>
      </w:tc>
      <w:tc>
        <w:tcPr>
          <w:tcW w:w="5097" w:type="dxa"/>
          <w:shd w:val="clear" w:color="auto" w:fill="auto"/>
          <w:vAlign w:val="bottom"/>
        </w:tcPr>
        <w:p w14:paraId="62CEFE44" w14:textId="57F8B954" w:rsidR="00AC2F06" w:rsidRPr="0078198D" w:rsidRDefault="00D42E79" w:rsidP="00402909">
          <w:pPr>
            <w:pStyle w:val="Header"/>
            <w:tabs>
              <w:tab w:val="clear" w:pos="4513"/>
              <w:tab w:val="clear" w:pos="9026"/>
            </w:tabs>
            <w:jc w:val="right"/>
            <w:rPr>
              <w:lang w:val="fr-CA"/>
            </w:rPr>
          </w:pPr>
          <w:r w:rsidRPr="0078198D">
            <w:rPr>
              <w:noProof/>
              <w:lang w:val="fr-CA"/>
            </w:rPr>
            <w:drawing>
              <wp:inline distT="0" distB="0" distL="0" distR="0" wp14:anchorId="7E969988" wp14:editId="7ED1F6DF">
                <wp:extent cx="1927860" cy="8991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860" cy="899160"/>
                        </a:xfrm>
                        <a:prstGeom prst="rect">
                          <a:avLst/>
                        </a:prstGeom>
                        <a:noFill/>
                        <a:ln>
                          <a:noFill/>
                        </a:ln>
                      </pic:spPr>
                    </pic:pic>
                  </a:graphicData>
                </a:graphic>
              </wp:inline>
            </w:drawing>
          </w:r>
        </w:p>
      </w:tc>
    </w:tr>
  </w:tbl>
  <w:p w14:paraId="4A014863" w14:textId="77777777" w:rsidR="00AC2F06" w:rsidRPr="0078198D" w:rsidRDefault="00AC2F06" w:rsidP="00430BD2">
    <w:pPr>
      <w:pStyle w:val="Header"/>
      <w:tabs>
        <w:tab w:val="clear" w:pos="4513"/>
        <w:tab w:val="clear" w:pos="9026"/>
      </w:tabs>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375E" w14:textId="77777777" w:rsidR="009076AF" w:rsidRDefault="009076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5CE7" w14:textId="77777777" w:rsidR="00AC2F06" w:rsidRPr="0044642C" w:rsidRDefault="0044642C" w:rsidP="0044642C">
    <w:pPr>
      <w:pStyle w:val="Header"/>
      <w:jc w:val="right"/>
      <w:rPr>
        <w:b/>
        <w:bCs/>
        <w:color w:val="002060"/>
        <w:sz w:val="20"/>
        <w:szCs w:val="20"/>
      </w:rPr>
    </w:pPr>
    <w:r>
      <w:rPr>
        <w:b/>
        <w:color w:val="002060"/>
        <w:sz w:val="20"/>
      </w:rPr>
      <w:t>PROJET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FB61" w14:textId="77777777" w:rsidR="00C56725" w:rsidRPr="0044642C" w:rsidRDefault="00C56725" w:rsidP="0044642C">
    <w:pPr>
      <w:pStyle w:val="Header"/>
      <w:jc w:val="right"/>
      <w:rPr>
        <w:b/>
        <w:bCs/>
        <w:color w:val="002060"/>
        <w:sz w:val="20"/>
        <w:szCs w:val="20"/>
      </w:rPr>
    </w:pPr>
    <w:r>
      <w:rPr>
        <w:b/>
        <w:color w:val="002060"/>
        <w:sz w:val="20"/>
      </w:rPr>
      <w:t>PROJET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3A6B" w14:textId="77777777" w:rsidR="00C56725" w:rsidRPr="0044642C" w:rsidRDefault="00C56725" w:rsidP="0044642C">
    <w:pPr>
      <w:pStyle w:val="Header"/>
      <w:jc w:val="right"/>
      <w:rPr>
        <w:b/>
        <w:bCs/>
        <w:color w:val="002060"/>
        <w:sz w:val="20"/>
        <w:szCs w:val="20"/>
      </w:rPr>
    </w:pPr>
    <w:r>
      <w:rPr>
        <w:b/>
        <w:color w:val="002060"/>
        <w:sz w:val="20"/>
      </w:rPr>
      <w:t>PROJET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Franklin Gothic Book" w:hAnsi="Franklin Gothic Book"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MS Mincho"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Franklin Gothic Book"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Franklin Gothic Book"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668C99D8"/>
    <w:lvl w:ilvl="0">
      <w:start w:val="5"/>
      <w:numFmt w:val="upperRoman"/>
      <w:pStyle w:val="Heading1"/>
      <w:lvlText w:val="%1."/>
      <w:lvlJc w:val="right"/>
      <w:pPr>
        <w:ind w:left="567" w:hanging="567"/>
      </w:pPr>
      <w:rPr>
        <w:rFonts w:hint="default"/>
      </w:rPr>
    </w:lvl>
    <w:lvl w:ilvl="1">
      <w:start w:val="1"/>
      <w:numFmt w:val="decimal"/>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Franklin Gothic Book"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16cid:durableId="585310533">
    <w:abstractNumId w:val="10"/>
  </w:num>
  <w:num w:numId="2" w16cid:durableId="112679958">
    <w:abstractNumId w:val="3"/>
  </w:num>
  <w:num w:numId="3" w16cid:durableId="947657555">
    <w:abstractNumId w:val="8"/>
  </w:num>
  <w:num w:numId="4" w16cid:durableId="125004641">
    <w:abstractNumId w:val="13"/>
  </w:num>
  <w:num w:numId="5" w16cid:durableId="755591815">
    <w:abstractNumId w:val="13"/>
    <w:lvlOverride w:ilvl="0">
      <w:startOverride w:val="1"/>
    </w:lvlOverride>
  </w:num>
  <w:num w:numId="6" w16cid:durableId="1885631228">
    <w:abstractNumId w:val="13"/>
    <w:lvlOverride w:ilvl="0">
      <w:startOverride w:val="1"/>
    </w:lvlOverride>
  </w:num>
  <w:num w:numId="7" w16cid:durableId="352806205">
    <w:abstractNumId w:val="13"/>
    <w:lvlOverride w:ilvl="0">
      <w:startOverride w:val="1"/>
    </w:lvlOverride>
  </w:num>
  <w:num w:numId="8" w16cid:durableId="738553564">
    <w:abstractNumId w:val="2"/>
  </w:num>
  <w:num w:numId="9" w16cid:durableId="283196172">
    <w:abstractNumId w:val="9"/>
  </w:num>
  <w:num w:numId="10" w16cid:durableId="582371783">
    <w:abstractNumId w:val="0"/>
  </w:num>
  <w:num w:numId="11" w16cid:durableId="982735635">
    <w:abstractNumId w:val="13"/>
    <w:lvlOverride w:ilvl="0">
      <w:startOverride w:val="1"/>
    </w:lvlOverride>
  </w:num>
  <w:num w:numId="12" w16cid:durableId="2067990887">
    <w:abstractNumId w:val="4"/>
  </w:num>
  <w:num w:numId="13" w16cid:durableId="230315880">
    <w:abstractNumId w:val="5"/>
  </w:num>
  <w:num w:numId="14" w16cid:durableId="145780058">
    <w:abstractNumId w:val="13"/>
    <w:lvlOverride w:ilvl="0">
      <w:startOverride w:val="1"/>
    </w:lvlOverride>
  </w:num>
  <w:num w:numId="15" w16cid:durableId="1276594950">
    <w:abstractNumId w:val="13"/>
    <w:lvlOverride w:ilvl="0">
      <w:startOverride w:val="1"/>
    </w:lvlOverride>
  </w:num>
  <w:num w:numId="16" w16cid:durableId="1090277543">
    <w:abstractNumId w:val="7"/>
  </w:num>
  <w:num w:numId="17" w16cid:durableId="823396772">
    <w:abstractNumId w:val="13"/>
    <w:lvlOverride w:ilvl="0">
      <w:startOverride w:val="1"/>
    </w:lvlOverride>
  </w:num>
  <w:num w:numId="18" w16cid:durableId="107239220">
    <w:abstractNumId w:val="13"/>
    <w:lvlOverride w:ilvl="0">
      <w:startOverride w:val="1"/>
    </w:lvlOverride>
  </w:num>
  <w:num w:numId="19" w16cid:durableId="1322735441">
    <w:abstractNumId w:val="13"/>
    <w:lvlOverride w:ilvl="0">
      <w:startOverride w:val="1"/>
    </w:lvlOverride>
  </w:num>
  <w:num w:numId="20" w16cid:durableId="1020668065">
    <w:abstractNumId w:val="1"/>
  </w:num>
  <w:num w:numId="21" w16cid:durableId="1087457752">
    <w:abstractNumId w:val="6"/>
  </w:num>
  <w:num w:numId="22" w16cid:durableId="12196350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27888634">
    <w:abstractNumId w:val="13"/>
    <w:lvlOverride w:ilvl="0">
      <w:startOverride w:val="1"/>
    </w:lvlOverride>
  </w:num>
  <w:num w:numId="24" w16cid:durableId="15570845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05949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7173661">
    <w:abstractNumId w:val="10"/>
    <w:lvlOverride w:ilvl="0">
      <w:startOverride w:val="1"/>
    </w:lvlOverride>
  </w:num>
  <w:num w:numId="27" w16cid:durableId="5908142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38917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38597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49968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53046925">
    <w:abstractNumId w:val="12"/>
  </w:num>
  <w:num w:numId="32" w16cid:durableId="11251986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53743690">
    <w:abstractNumId w:val="11"/>
  </w:num>
  <w:num w:numId="34" w16cid:durableId="137498699">
    <w:abstractNumId w:val="10"/>
    <w:lvlOverride w:ilvl="0">
      <w:startOverride w:val="1"/>
    </w:lvlOverride>
  </w:num>
  <w:num w:numId="35" w16cid:durableId="1586763149">
    <w:abstractNumId w:val="10"/>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67"/>
  <w:hyphenationZone w:val="425"/>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zMTQytDCwNDKytDBV0lEKTi0uzszPAykwrAUAVpHfxSwAAAA="/>
  </w:docVars>
  <w:rsids>
    <w:rsidRoot w:val="00252B28"/>
    <w:rsid w:val="000000E3"/>
    <w:rsid w:val="00000ACA"/>
    <w:rsid w:val="00001049"/>
    <w:rsid w:val="00001074"/>
    <w:rsid w:val="000017BB"/>
    <w:rsid w:val="00001982"/>
    <w:rsid w:val="00001AA3"/>
    <w:rsid w:val="00001B49"/>
    <w:rsid w:val="00001CA6"/>
    <w:rsid w:val="00001FDF"/>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F1E"/>
    <w:rsid w:val="00021160"/>
    <w:rsid w:val="000214A0"/>
    <w:rsid w:val="00021652"/>
    <w:rsid w:val="00021769"/>
    <w:rsid w:val="0002183A"/>
    <w:rsid w:val="00021999"/>
    <w:rsid w:val="00021A1D"/>
    <w:rsid w:val="00021AF7"/>
    <w:rsid w:val="00021B23"/>
    <w:rsid w:val="00021CB5"/>
    <w:rsid w:val="00022598"/>
    <w:rsid w:val="00022C16"/>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17"/>
    <w:rsid w:val="00027335"/>
    <w:rsid w:val="00027471"/>
    <w:rsid w:val="000274B7"/>
    <w:rsid w:val="000276A9"/>
    <w:rsid w:val="000277F6"/>
    <w:rsid w:val="000279E8"/>
    <w:rsid w:val="00027C44"/>
    <w:rsid w:val="00027D08"/>
    <w:rsid w:val="00027ECD"/>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D0"/>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C15"/>
    <w:rsid w:val="00037E7D"/>
    <w:rsid w:val="00037FE6"/>
    <w:rsid w:val="00040034"/>
    <w:rsid w:val="0004023B"/>
    <w:rsid w:val="000403D3"/>
    <w:rsid w:val="00040403"/>
    <w:rsid w:val="00040419"/>
    <w:rsid w:val="00040469"/>
    <w:rsid w:val="000408FE"/>
    <w:rsid w:val="00040A15"/>
    <w:rsid w:val="00040E6E"/>
    <w:rsid w:val="000412EB"/>
    <w:rsid w:val="00041468"/>
    <w:rsid w:val="0004153A"/>
    <w:rsid w:val="00041702"/>
    <w:rsid w:val="00041705"/>
    <w:rsid w:val="00041747"/>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8"/>
    <w:rsid w:val="0004785A"/>
    <w:rsid w:val="0004799E"/>
    <w:rsid w:val="000479CD"/>
    <w:rsid w:val="000479F6"/>
    <w:rsid w:val="00047B1C"/>
    <w:rsid w:val="00047B95"/>
    <w:rsid w:val="00047D2C"/>
    <w:rsid w:val="00050699"/>
    <w:rsid w:val="00050920"/>
    <w:rsid w:val="00050A45"/>
    <w:rsid w:val="00050B72"/>
    <w:rsid w:val="00050F50"/>
    <w:rsid w:val="00051280"/>
    <w:rsid w:val="00051439"/>
    <w:rsid w:val="000514D6"/>
    <w:rsid w:val="000514E3"/>
    <w:rsid w:val="00051596"/>
    <w:rsid w:val="0005183C"/>
    <w:rsid w:val="00051A71"/>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413"/>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F54"/>
    <w:rsid w:val="000700A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505D"/>
    <w:rsid w:val="000750CE"/>
    <w:rsid w:val="0007518A"/>
    <w:rsid w:val="00075427"/>
    <w:rsid w:val="000756D9"/>
    <w:rsid w:val="000756E1"/>
    <w:rsid w:val="000759B2"/>
    <w:rsid w:val="00075E9B"/>
    <w:rsid w:val="00076009"/>
    <w:rsid w:val="000765EF"/>
    <w:rsid w:val="000766CD"/>
    <w:rsid w:val="00076A2E"/>
    <w:rsid w:val="00076CB3"/>
    <w:rsid w:val="000771E7"/>
    <w:rsid w:val="000772D7"/>
    <w:rsid w:val="000775E4"/>
    <w:rsid w:val="000778E6"/>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DC7"/>
    <w:rsid w:val="00095EF7"/>
    <w:rsid w:val="00096118"/>
    <w:rsid w:val="00096316"/>
    <w:rsid w:val="0009643D"/>
    <w:rsid w:val="000967D0"/>
    <w:rsid w:val="0009686C"/>
    <w:rsid w:val="000968D8"/>
    <w:rsid w:val="00096E7D"/>
    <w:rsid w:val="00096E8C"/>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357"/>
    <w:rsid w:val="000A7513"/>
    <w:rsid w:val="000A7549"/>
    <w:rsid w:val="000A761B"/>
    <w:rsid w:val="000A7638"/>
    <w:rsid w:val="000A766F"/>
    <w:rsid w:val="000A77C2"/>
    <w:rsid w:val="000A7AE9"/>
    <w:rsid w:val="000A7B3C"/>
    <w:rsid w:val="000A7D01"/>
    <w:rsid w:val="000A7FDF"/>
    <w:rsid w:val="000A7FFD"/>
    <w:rsid w:val="000B00CC"/>
    <w:rsid w:val="000B03B6"/>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6F61"/>
    <w:rsid w:val="000C708C"/>
    <w:rsid w:val="000C7252"/>
    <w:rsid w:val="000C73D4"/>
    <w:rsid w:val="000C7539"/>
    <w:rsid w:val="000C763A"/>
    <w:rsid w:val="000C7785"/>
    <w:rsid w:val="000C7822"/>
    <w:rsid w:val="000C7C38"/>
    <w:rsid w:val="000C7F58"/>
    <w:rsid w:val="000C7F92"/>
    <w:rsid w:val="000D0016"/>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714"/>
    <w:rsid w:val="000D6869"/>
    <w:rsid w:val="000D69BC"/>
    <w:rsid w:val="000D6A47"/>
    <w:rsid w:val="000D6C04"/>
    <w:rsid w:val="000D6DC8"/>
    <w:rsid w:val="000D6EDA"/>
    <w:rsid w:val="000D7021"/>
    <w:rsid w:val="000D71B5"/>
    <w:rsid w:val="000D73CF"/>
    <w:rsid w:val="000D777C"/>
    <w:rsid w:val="000D77AB"/>
    <w:rsid w:val="000D78A1"/>
    <w:rsid w:val="000D7EC4"/>
    <w:rsid w:val="000E004A"/>
    <w:rsid w:val="000E004E"/>
    <w:rsid w:val="000E0538"/>
    <w:rsid w:val="000E05B1"/>
    <w:rsid w:val="000E0733"/>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09"/>
    <w:rsid w:val="000E5A3F"/>
    <w:rsid w:val="000E5ABD"/>
    <w:rsid w:val="000E5B80"/>
    <w:rsid w:val="000E5CB8"/>
    <w:rsid w:val="000E5D74"/>
    <w:rsid w:val="000E602B"/>
    <w:rsid w:val="000E603E"/>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5BC"/>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F7E"/>
    <w:rsid w:val="0011718D"/>
    <w:rsid w:val="00117228"/>
    <w:rsid w:val="001173DD"/>
    <w:rsid w:val="00117FFB"/>
    <w:rsid w:val="00120217"/>
    <w:rsid w:val="001204C9"/>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5A7"/>
    <w:rsid w:val="00145B26"/>
    <w:rsid w:val="00145DCD"/>
    <w:rsid w:val="00145F09"/>
    <w:rsid w:val="00145F91"/>
    <w:rsid w:val="00145FB4"/>
    <w:rsid w:val="00145FF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B2F"/>
    <w:rsid w:val="00151F39"/>
    <w:rsid w:val="001525C5"/>
    <w:rsid w:val="00152705"/>
    <w:rsid w:val="00152754"/>
    <w:rsid w:val="00152A6C"/>
    <w:rsid w:val="00152BB1"/>
    <w:rsid w:val="00152BD7"/>
    <w:rsid w:val="00152BDC"/>
    <w:rsid w:val="00152CE5"/>
    <w:rsid w:val="00152CE9"/>
    <w:rsid w:val="00152DA3"/>
    <w:rsid w:val="001533B5"/>
    <w:rsid w:val="00153635"/>
    <w:rsid w:val="001538E8"/>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C22"/>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A3E"/>
    <w:rsid w:val="00172A63"/>
    <w:rsid w:val="00172C48"/>
    <w:rsid w:val="00172CA7"/>
    <w:rsid w:val="00172E92"/>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12"/>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0C93"/>
    <w:rsid w:val="001912E2"/>
    <w:rsid w:val="001918A9"/>
    <w:rsid w:val="0019193F"/>
    <w:rsid w:val="00191984"/>
    <w:rsid w:val="00191CC4"/>
    <w:rsid w:val="00191EF9"/>
    <w:rsid w:val="0019206A"/>
    <w:rsid w:val="0019230F"/>
    <w:rsid w:val="00192514"/>
    <w:rsid w:val="001927FD"/>
    <w:rsid w:val="00192A76"/>
    <w:rsid w:val="00192BC1"/>
    <w:rsid w:val="00192D0A"/>
    <w:rsid w:val="00192FF2"/>
    <w:rsid w:val="00193184"/>
    <w:rsid w:val="001931D3"/>
    <w:rsid w:val="001941F7"/>
    <w:rsid w:val="001948E6"/>
    <w:rsid w:val="0019492E"/>
    <w:rsid w:val="00194A22"/>
    <w:rsid w:val="00194FB1"/>
    <w:rsid w:val="00195047"/>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CD"/>
    <w:rsid w:val="001A2331"/>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201"/>
    <w:rsid w:val="001A4378"/>
    <w:rsid w:val="001A4589"/>
    <w:rsid w:val="001A489F"/>
    <w:rsid w:val="001A4EE9"/>
    <w:rsid w:val="001A53AE"/>
    <w:rsid w:val="001A556E"/>
    <w:rsid w:val="001A56F4"/>
    <w:rsid w:val="001A5AE1"/>
    <w:rsid w:val="001A5D4A"/>
    <w:rsid w:val="001A5F09"/>
    <w:rsid w:val="001A6250"/>
    <w:rsid w:val="001A62FB"/>
    <w:rsid w:val="001A63F2"/>
    <w:rsid w:val="001A6688"/>
    <w:rsid w:val="001A6801"/>
    <w:rsid w:val="001A6A5E"/>
    <w:rsid w:val="001A6B1A"/>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55A"/>
    <w:rsid w:val="001B65A9"/>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37"/>
    <w:rsid w:val="001C35AB"/>
    <w:rsid w:val="001C36E8"/>
    <w:rsid w:val="001C3814"/>
    <w:rsid w:val="001C38CB"/>
    <w:rsid w:val="001C3C37"/>
    <w:rsid w:val="001C3C7B"/>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46D"/>
    <w:rsid w:val="001C74BE"/>
    <w:rsid w:val="001C7796"/>
    <w:rsid w:val="001C7851"/>
    <w:rsid w:val="001C7EFA"/>
    <w:rsid w:val="001D0163"/>
    <w:rsid w:val="001D0195"/>
    <w:rsid w:val="001D0294"/>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0CC"/>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CA8"/>
    <w:rsid w:val="001D7D53"/>
    <w:rsid w:val="001D7ED9"/>
    <w:rsid w:val="001D7F09"/>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2ED6"/>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92"/>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325"/>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522"/>
    <w:rsid w:val="00217AE0"/>
    <w:rsid w:val="00217F00"/>
    <w:rsid w:val="0022062D"/>
    <w:rsid w:val="0022081C"/>
    <w:rsid w:val="00220860"/>
    <w:rsid w:val="00220DB5"/>
    <w:rsid w:val="00221283"/>
    <w:rsid w:val="002213DB"/>
    <w:rsid w:val="00221A0F"/>
    <w:rsid w:val="00221AB6"/>
    <w:rsid w:val="00221DF0"/>
    <w:rsid w:val="00221F04"/>
    <w:rsid w:val="00222400"/>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160"/>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C0D"/>
    <w:rsid w:val="00245C39"/>
    <w:rsid w:val="00245F8E"/>
    <w:rsid w:val="0024639A"/>
    <w:rsid w:val="00246696"/>
    <w:rsid w:val="0024687E"/>
    <w:rsid w:val="00246935"/>
    <w:rsid w:val="0024693F"/>
    <w:rsid w:val="00246ABB"/>
    <w:rsid w:val="00246D2F"/>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EDD"/>
    <w:rsid w:val="00261F34"/>
    <w:rsid w:val="0026232C"/>
    <w:rsid w:val="0026243F"/>
    <w:rsid w:val="0026261B"/>
    <w:rsid w:val="00262694"/>
    <w:rsid w:val="00262959"/>
    <w:rsid w:val="00262997"/>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888"/>
    <w:rsid w:val="00264F00"/>
    <w:rsid w:val="002651C3"/>
    <w:rsid w:val="002651CB"/>
    <w:rsid w:val="00265699"/>
    <w:rsid w:val="002656B9"/>
    <w:rsid w:val="00265A22"/>
    <w:rsid w:val="00265B2C"/>
    <w:rsid w:val="0026664B"/>
    <w:rsid w:val="002667FE"/>
    <w:rsid w:val="00266978"/>
    <w:rsid w:val="00266BBF"/>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A58"/>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17"/>
    <w:rsid w:val="00274B85"/>
    <w:rsid w:val="00274DFD"/>
    <w:rsid w:val="0027515F"/>
    <w:rsid w:val="00275238"/>
    <w:rsid w:val="00275252"/>
    <w:rsid w:val="0027560E"/>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3A3"/>
    <w:rsid w:val="0028247F"/>
    <w:rsid w:val="002829FE"/>
    <w:rsid w:val="002831A2"/>
    <w:rsid w:val="00283462"/>
    <w:rsid w:val="00283475"/>
    <w:rsid w:val="00283CD5"/>
    <w:rsid w:val="00283F65"/>
    <w:rsid w:val="00284056"/>
    <w:rsid w:val="002842A5"/>
    <w:rsid w:val="0028459A"/>
    <w:rsid w:val="002845BF"/>
    <w:rsid w:val="002846AD"/>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2A"/>
    <w:rsid w:val="00287A3D"/>
    <w:rsid w:val="00287AA0"/>
    <w:rsid w:val="00287B9E"/>
    <w:rsid w:val="002903EB"/>
    <w:rsid w:val="00290452"/>
    <w:rsid w:val="002904AB"/>
    <w:rsid w:val="00290633"/>
    <w:rsid w:val="00290678"/>
    <w:rsid w:val="002909A0"/>
    <w:rsid w:val="00291052"/>
    <w:rsid w:val="002910CE"/>
    <w:rsid w:val="00291147"/>
    <w:rsid w:val="002911E8"/>
    <w:rsid w:val="00291266"/>
    <w:rsid w:val="0029154F"/>
    <w:rsid w:val="0029165B"/>
    <w:rsid w:val="0029176B"/>
    <w:rsid w:val="002917E4"/>
    <w:rsid w:val="002923A2"/>
    <w:rsid w:val="00292781"/>
    <w:rsid w:val="00292896"/>
    <w:rsid w:val="00292949"/>
    <w:rsid w:val="00292961"/>
    <w:rsid w:val="00292C3C"/>
    <w:rsid w:val="00292C97"/>
    <w:rsid w:val="00292D54"/>
    <w:rsid w:val="00292D80"/>
    <w:rsid w:val="00293035"/>
    <w:rsid w:val="0029319C"/>
    <w:rsid w:val="002932EE"/>
    <w:rsid w:val="00293485"/>
    <w:rsid w:val="00293C67"/>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722A"/>
    <w:rsid w:val="00297889"/>
    <w:rsid w:val="00297958"/>
    <w:rsid w:val="00297AE4"/>
    <w:rsid w:val="00297B3B"/>
    <w:rsid w:val="00297CC7"/>
    <w:rsid w:val="00297D60"/>
    <w:rsid w:val="002A00E6"/>
    <w:rsid w:val="002A0804"/>
    <w:rsid w:val="002A08B2"/>
    <w:rsid w:val="002A08B3"/>
    <w:rsid w:val="002A1075"/>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54"/>
    <w:rsid w:val="002A3C5E"/>
    <w:rsid w:val="002A3D3B"/>
    <w:rsid w:val="002A3F9B"/>
    <w:rsid w:val="002A465F"/>
    <w:rsid w:val="002A4C27"/>
    <w:rsid w:val="002A54D0"/>
    <w:rsid w:val="002A5969"/>
    <w:rsid w:val="002A59A5"/>
    <w:rsid w:val="002A5C30"/>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58E"/>
    <w:rsid w:val="002D0643"/>
    <w:rsid w:val="002D084B"/>
    <w:rsid w:val="002D0B27"/>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2DCF"/>
    <w:rsid w:val="002E30DD"/>
    <w:rsid w:val="002E3167"/>
    <w:rsid w:val="002E32C0"/>
    <w:rsid w:val="002E3799"/>
    <w:rsid w:val="002E3B77"/>
    <w:rsid w:val="002E3E91"/>
    <w:rsid w:val="002E4405"/>
    <w:rsid w:val="002E46FC"/>
    <w:rsid w:val="002E4751"/>
    <w:rsid w:val="002E488B"/>
    <w:rsid w:val="002E4A1B"/>
    <w:rsid w:val="002E4AC3"/>
    <w:rsid w:val="002E4E1D"/>
    <w:rsid w:val="002E4E66"/>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7185"/>
    <w:rsid w:val="002F71A1"/>
    <w:rsid w:val="002F79D0"/>
    <w:rsid w:val="002F7CF0"/>
    <w:rsid w:val="002F7D09"/>
    <w:rsid w:val="002F7D18"/>
    <w:rsid w:val="002F7E19"/>
    <w:rsid w:val="003001DF"/>
    <w:rsid w:val="0030081B"/>
    <w:rsid w:val="00300972"/>
    <w:rsid w:val="00300980"/>
    <w:rsid w:val="0030144F"/>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2C6"/>
    <w:rsid w:val="00310376"/>
    <w:rsid w:val="00310716"/>
    <w:rsid w:val="00310904"/>
    <w:rsid w:val="00310A1D"/>
    <w:rsid w:val="00310ED0"/>
    <w:rsid w:val="00311198"/>
    <w:rsid w:val="0031178A"/>
    <w:rsid w:val="00311877"/>
    <w:rsid w:val="00311B52"/>
    <w:rsid w:val="00311FBF"/>
    <w:rsid w:val="00312451"/>
    <w:rsid w:val="00312962"/>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942"/>
    <w:rsid w:val="00317FA4"/>
    <w:rsid w:val="0032066A"/>
    <w:rsid w:val="003209B7"/>
    <w:rsid w:val="00320A8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C43"/>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20D6"/>
    <w:rsid w:val="003321C3"/>
    <w:rsid w:val="00333097"/>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40188"/>
    <w:rsid w:val="003406A0"/>
    <w:rsid w:val="00340FBE"/>
    <w:rsid w:val="00341819"/>
    <w:rsid w:val="00341A5A"/>
    <w:rsid w:val="00341AAE"/>
    <w:rsid w:val="00341C6A"/>
    <w:rsid w:val="00341D6B"/>
    <w:rsid w:val="00341F00"/>
    <w:rsid w:val="0034234C"/>
    <w:rsid w:val="00342525"/>
    <w:rsid w:val="003428B4"/>
    <w:rsid w:val="0034290A"/>
    <w:rsid w:val="00342B23"/>
    <w:rsid w:val="00342C2F"/>
    <w:rsid w:val="003430EC"/>
    <w:rsid w:val="00343738"/>
    <w:rsid w:val="0034387B"/>
    <w:rsid w:val="00343947"/>
    <w:rsid w:val="00343A1E"/>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C05"/>
    <w:rsid w:val="00350C87"/>
    <w:rsid w:val="00350E43"/>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5F5"/>
    <w:rsid w:val="00352946"/>
    <w:rsid w:val="00352995"/>
    <w:rsid w:val="00353313"/>
    <w:rsid w:val="00353521"/>
    <w:rsid w:val="003536F1"/>
    <w:rsid w:val="003537BB"/>
    <w:rsid w:val="003539E0"/>
    <w:rsid w:val="0035407C"/>
    <w:rsid w:val="003542D0"/>
    <w:rsid w:val="003548BC"/>
    <w:rsid w:val="003549E5"/>
    <w:rsid w:val="00355044"/>
    <w:rsid w:val="0035527C"/>
    <w:rsid w:val="0035535F"/>
    <w:rsid w:val="00355691"/>
    <w:rsid w:val="00355EFD"/>
    <w:rsid w:val="00356184"/>
    <w:rsid w:val="00356486"/>
    <w:rsid w:val="0035679B"/>
    <w:rsid w:val="003568C1"/>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ED1"/>
    <w:rsid w:val="003620E5"/>
    <w:rsid w:val="003625AC"/>
    <w:rsid w:val="003627EF"/>
    <w:rsid w:val="00362FE5"/>
    <w:rsid w:val="00363128"/>
    <w:rsid w:val="003631B5"/>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8BC"/>
    <w:rsid w:val="003678CB"/>
    <w:rsid w:val="00367BDF"/>
    <w:rsid w:val="00367F3A"/>
    <w:rsid w:val="00370301"/>
    <w:rsid w:val="003705E4"/>
    <w:rsid w:val="003706D7"/>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1085"/>
    <w:rsid w:val="0038124C"/>
    <w:rsid w:val="003813FA"/>
    <w:rsid w:val="0038179F"/>
    <w:rsid w:val="003818DC"/>
    <w:rsid w:val="003819AA"/>
    <w:rsid w:val="00381A7C"/>
    <w:rsid w:val="00381AAD"/>
    <w:rsid w:val="00381AF0"/>
    <w:rsid w:val="00381E69"/>
    <w:rsid w:val="00381FAC"/>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6F92"/>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1268"/>
    <w:rsid w:val="003A12A9"/>
    <w:rsid w:val="003A12F1"/>
    <w:rsid w:val="003A1498"/>
    <w:rsid w:val="003A14FB"/>
    <w:rsid w:val="003A18D0"/>
    <w:rsid w:val="003A19DB"/>
    <w:rsid w:val="003A1B5B"/>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533"/>
    <w:rsid w:val="003A58D8"/>
    <w:rsid w:val="003A5B88"/>
    <w:rsid w:val="003A5DC4"/>
    <w:rsid w:val="003A5EBF"/>
    <w:rsid w:val="003A6130"/>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CC4"/>
    <w:rsid w:val="003B4CEC"/>
    <w:rsid w:val="003B5464"/>
    <w:rsid w:val="003B5657"/>
    <w:rsid w:val="003B60CB"/>
    <w:rsid w:val="003B64C3"/>
    <w:rsid w:val="003B6688"/>
    <w:rsid w:val="003B66ED"/>
    <w:rsid w:val="003B6DE3"/>
    <w:rsid w:val="003B6FF1"/>
    <w:rsid w:val="003B7368"/>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60E"/>
    <w:rsid w:val="003C4AF1"/>
    <w:rsid w:val="003C53D8"/>
    <w:rsid w:val="003C6389"/>
    <w:rsid w:val="003C6869"/>
    <w:rsid w:val="003C686D"/>
    <w:rsid w:val="003C6BC5"/>
    <w:rsid w:val="003C74F0"/>
    <w:rsid w:val="003C7742"/>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FE1"/>
    <w:rsid w:val="003D6FE5"/>
    <w:rsid w:val="003D7074"/>
    <w:rsid w:val="003D72B7"/>
    <w:rsid w:val="003D72FD"/>
    <w:rsid w:val="003D75AE"/>
    <w:rsid w:val="003D7771"/>
    <w:rsid w:val="003D778C"/>
    <w:rsid w:val="003D7799"/>
    <w:rsid w:val="003D7A4C"/>
    <w:rsid w:val="003D7AA8"/>
    <w:rsid w:val="003E00B0"/>
    <w:rsid w:val="003E0170"/>
    <w:rsid w:val="003E0547"/>
    <w:rsid w:val="003E06FA"/>
    <w:rsid w:val="003E0B1C"/>
    <w:rsid w:val="003E0E94"/>
    <w:rsid w:val="003E0FBD"/>
    <w:rsid w:val="003E1136"/>
    <w:rsid w:val="003E11A0"/>
    <w:rsid w:val="003E1210"/>
    <w:rsid w:val="003E1238"/>
    <w:rsid w:val="003E126F"/>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BD"/>
    <w:rsid w:val="00400B88"/>
    <w:rsid w:val="00400E70"/>
    <w:rsid w:val="00401058"/>
    <w:rsid w:val="00401337"/>
    <w:rsid w:val="00401391"/>
    <w:rsid w:val="00401AF3"/>
    <w:rsid w:val="00401D73"/>
    <w:rsid w:val="00401F32"/>
    <w:rsid w:val="004022CD"/>
    <w:rsid w:val="004024ED"/>
    <w:rsid w:val="00402850"/>
    <w:rsid w:val="00402909"/>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4049"/>
    <w:rsid w:val="004144B5"/>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3DF"/>
    <w:rsid w:val="004177DA"/>
    <w:rsid w:val="00417C22"/>
    <w:rsid w:val="00420057"/>
    <w:rsid w:val="004201B0"/>
    <w:rsid w:val="004201E5"/>
    <w:rsid w:val="00420291"/>
    <w:rsid w:val="004202AA"/>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7C"/>
    <w:rsid w:val="00427D14"/>
    <w:rsid w:val="00427DB6"/>
    <w:rsid w:val="0043001E"/>
    <w:rsid w:val="004300A9"/>
    <w:rsid w:val="00430500"/>
    <w:rsid w:val="00430645"/>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2C"/>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42C"/>
    <w:rsid w:val="00446516"/>
    <w:rsid w:val="00446997"/>
    <w:rsid w:val="00446ADF"/>
    <w:rsid w:val="00446EAF"/>
    <w:rsid w:val="00447425"/>
    <w:rsid w:val="004475FF"/>
    <w:rsid w:val="00447815"/>
    <w:rsid w:val="00447861"/>
    <w:rsid w:val="00447878"/>
    <w:rsid w:val="00447DDE"/>
    <w:rsid w:val="00447E52"/>
    <w:rsid w:val="00450022"/>
    <w:rsid w:val="00450323"/>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012"/>
    <w:rsid w:val="00460269"/>
    <w:rsid w:val="0046037C"/>
    <w:rsid w:val="004603D7"/>
    <w:rsid w:val="00460C45"/>
    <w:rsid w:val="00460D25"/>
    <w:rsid w:val="00460F95"/>
    <w:rsid w:val="004612B3"/>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CE3"/>
    <w:rsid w:val="00476DA7"/>
    <w:rsid w:val="00476DDE"/>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64A"/>
    <w:rsid w:val="0048591F"/>
    <w:rsid w:val="004859BC"/>
    <w:rsid w:val="00485AEA"/>
    <w:rsid w:val="00486288"/>
    <w:rsid w:val="00486554"/>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B7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78C"/>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8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404"/>
    <w:rsid w:val="004D1758"/>
    <w:rsid w:val="004D184B"/>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A87"/>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40C"/>
    <w:rsid w:val="004F543B"/>
    <w:rsid w:val="004F5566"/>
    <w:rsid w:val="004F56CF"/>
    <w:rsid w:val="004F58F8"/>
    <w:rsid w:val="004F5A01"/>
    <w:rsid w:val="004F5D77"/>
    <w:rsid w:val="004F5F2D"/>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1E30"/>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B3A"/>
    <w:rsid w:val="00504B3F"/>
    <w:rsid w:val="00505395"/>
    <w:rsid w:val="00505AA4"/>
    <w:rsid w:val="00505ADE"/>
    <w:rsid w:val="00505AF3"/>
    <w:rsid w:val="00506223"/>
    <w:rsid w:val="00506416"/>
    <w:rsid w:val="005064FC"/>
    <w:rsid w:val="0050691A"/>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16C0"/>
    <w:rsid w:val="00511B9F"/>
    <w:rsid w:val="00511BB1"/>
    <w:rsid w:val="00511C3E"/>
    <w:rsid w:val="00511E82"/>
    <w:rsid w:val="005120A7"/>
    <w:rsid w:val="00512368"/>
    <w:rsid w:val="00512515"/>
    <w:rsid w:val="0051268E"/>
    <w:rsid w:val="0051270F"/>
    <w:rsid w:val="005127CE"/>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981"/>
    <w:rsid w:val="00514AB3"/>
    <w:rsid w:val="005152AE"/>
    <w:rsid w:val="005156A5"/>
    <w:rsid w:val="00515C79"/>
    <w:rsid w:val="0051633C"/>
    <w:rsid w:val="00516401"/>
    <w:rsid w:val="00516474"/>
    <w:rsid w:val="00516614"/>
    <w:rsid w:val="00516627"/>
    <w:rsid w:val="005167F5"/>
    <w:rsid w:val="005168E0"/>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67A"/>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928"/>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44"/>
    <w:rsid w:val="00551469"/>
    <w:rsid w:val="005517B9"/>
    <w:rsid w:val="005517E4"/>
    <w:rsid w:val="005518D3"/>
    <w:rsid w:val="00551D6E"/>
    <w:rsid w:val="00551E1D"/>
    <w:rsid w:val="00552089"/>
    <w:rsid w:val="00552235"/>
    <w:rsid w:val="0055225D"/>
    <w:rsid w:val="005523CC"/>
    <w:rsid w:val="00552808"/>
    <w:rsid w:val="00552A0B"/>
    <w:rsid w:val="00552A6E"/>
    <w:rsid w:val="00552C97"/>
    <w:rsid w:val="00552FAC"/>
    <w:rsid w:val="0055343E"/>
    <w:rsid w:val="00553547"/>
    <w:rsid w:val="005535F5"/>
    <w:rsid w:val="0055372C"/>
    <w:rsid w:val="005537F7"/>
    <w:rsid w:val="005538B5"/>
    <w:rsid w:val="005543C3"/>
    <w:rsid w:val="0055452D"/>
    <w:rsid w:val="00554544"/>
    <w:rsid w:val="0055485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535"/>
    <w:rsid w:val="0055660F"/>
    <w:rsid w:val="005566FD"/>
    <w:rsid w:val="00556E77"/>
    <w:rsid w:val="00556EC4"/>
    <w:rsid w:val="00557265"/>
    <w:rsid w:val="005572A6"/>
    <w:rsid w:val="00557677"/>
    <w:rsid w:val="00557744"/>
    <w:rsid w:val="00557BA5"/>
    <w:rsid w:val="00557CB0"/>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510C"/>
    <w:rsid w:val="0056516D"/>
    <w:rsid w:val="00565196"/>
    <w:rsid w:val="00565208"/>
    <w:rsid w:val="005653F4"/>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183"/>
    <w:rsid w:val="0057042A"/>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3FF"/>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6A6"/>
    <w:rsid w:val="005816B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E8"/>
    <w:rsid w:val="005845F5"/>
    <w:rsid w:val="005848EF"/>
    <w:rsid w:val="0058499B"/>
    <w:rsid w:val="00584C32"/>
    <w:rsid w:val="00585005"/>
    <w:rsid w:val="005854C6"/>
    <w:rsid w:val="00585519"/>
    <w:rsid w:val="0058596E"/>
    <w:rsid w:val="00585CC7"/>
    <w:rsid w:val="005860B0"/>
    <w:rsid w:val="005864AC"/>
    <w:rsid w:val="0058650D"/>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00"/>
    <w:rsid w:val="00591170"/>
    <w:rsid w:val="00591400"/>
    <w:rsid w:val="00591428"/>
    <w:rsid w:val="00591515"/>
    <w:rsid w:val="005919B9"/>
    <w:rsid w:val="00591E08"/>
    <w:rsid w:val="00591F1B"/>
    <w:rsid w:val="00591FF5"/>
    <w:rsid w:val="00592074"/>
    <w:rsid w:val="00592286"/>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D5C"/>
    <w:rsid w:val="00597354"/>
    <w:rsid w:val="00597357"/>
    <w:rsid w:val="0059737F"/>
    <w:rsid w:val="00597513"/>
    <w:rsid w:val="00597542"/>
    <w:rsid w:val="005977B8"/>
    <w:rsid w:val="005978D3"/>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535"/>
    <w:rsid w:val="005A29DE"/>
    <w:rsid w:val="005A2A2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A0"/>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F15"/>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6DA"/>
    <w:rsid w:val="005B7777"/>
    <w:rsid w:val="005C01BC"/>
    <w:rsid w:val="005C0218"/>
    <w:rsid w:val="005C038B"/>
    <w:rsid w:val="005C0522"/>
    <w:rsid w:val="005C06E7"/>
    <w:rsid w:val="005C0C7D"/>
    <w:rsid w:val="005C0DDA"/>
    <w:rsid w:val="005C1147"/>
    <w:rsid w:val="005C14DA"/>
    <w:rsid w:val="005C1D28"/>
    <w:rsid w:val="005C1ECB"/>
    <w:rsid w:val="005C1F0D"/>
    <w:rsid w:val="005C2087"/>
    <w:rsid w:val="005C21AC"/>
    <w:rsid w:val="005C22A4"/>
    <w:rsid w:val="005C22E7"/>
    <w:rsid w:val="005C2831"/>
    <w:rsid w:val="005C2A1C"/>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70DA"/>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DE1"/>
    <w:rsid w:val="005D0EBC"/>
    <w:rsid w:val="005D119D"/>
    <w:rsid w:val="005D1531"/>
    <w:rsid w:val="005D15BD"/>
    <w:rsid w:val="005D1A6D"/>
    <w:rsid w:val="005D1BB9"/>
    <w:rsid w:val="005D1E5E"/>
    <w:rsid w:val="005D1F66"/>
    <w:rsid w:val="005D1F6A"/>
    <w:rsid w:val="005D23D5"/>
    <w:rsid w:val="005D23F2"/>
    <w:rsid w:val="005D297E"/>
    <w:rsid w:val="005D2A00"/>
    <w:rsid w:val="005D2CAE"/>
    <w:rsid w:val="005D2CD4"/>
    <w:rsid w:val="005D3092"/>
    <w:rsid w:val="005D3203"/>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287"/>
    <w:rsid w:val="005D65F4"/>
    <w:rsid w:val="005D67A2"/>
    <w:rsid w:val="005D67D7"/>
    <w:rsid w:val="005D6903"/>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B13"/>
    <w:rsid w:val="005E2CF1"/>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194"/>
    <w:rsid w:val="005E735D"/>
    <w:rsid w:val="005E7421"/>
    <w:rsid w:val="005E747A"/>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0C4"/>
    <w:rsid w:val="005F3494"/>
    <w:rsid w:val="005F37A0"/>
    <w:rsid w:val="005F3990"/>
    <w:rsid w:val="005F3AB3"/>
    <w:rsid w:val="005F3DF8"/>
    <w:rsid w:val="005F3F25"/>
    <w:rsid w:val="005F44E2"/>
    <w:rsid w:val="005F46AF"/>
    <w:rsid w:val="005F484F"/>
    <w:rsid w:val="005F4C23"/>
    <w:rsid w:val="005F4DE2"/>
    <w:rsid w:val="005F4F0C"/>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2C"/>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FB2"/>
    <w:rsid w:val="006202E5"/>
    <w:rsid w:val="006208FE"/>
    <w:rsid w:val="00620CD3"/>
    <w:rsid w:val="00620CEB"/>
    <w:rsid w:val="00620ED0"/>
    <w:rsid w:val="00621119"/>
    <w:rsid w:val="0062127C"/>
    <w:rsid w:val="00621323"/>
    <w:rsid w:val="0062166C"/>
    <w:rsid w:val="006216F7"/>
    <w:rsid w:val="0062170E"/>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1C8"/>
    <w:rsid w:val="0064160A"/>
    <w:rsid w:val="00641A98"/>
    <w:rsid w:val="00641F5C"/>
    <w:rsid w:val="006421AB"/>
    <w:rsid w:val="0064238B"/>
    <w:rsid w:val="00642392"/>
    <w:rsid w:val="0064293D"/>
    <w:rsid w:val="00642A44"/>
    <w:rsid w:val="00642C90"/>
    <w:rsid w:val="00642D5D"/>
    <w:rsid w:val="00642E18"/>
    <w:rsid w:val="00642F24"/>
    <w:rsid w:val="00643080"/>
    <w:rsid w:val="00643087"/>
    <w:rsid w:val="006430A3"/>
    <w:rsid w:val="00643704"/>
    <w:rsid w:val="00643A8F"/>
    <w:rsid w:val="00643C55"/>
    <w:rsid w:val="00643D10"/>
    <w:rsid w:val="00643EB5"/>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82"/>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C36"/>
    <w:rsid w:val="00655E46"/>
    <w:rsid w:val="006561EB"/>
    <w:rsid w:val="006562C1"/>
    <w:rsid w:val="00656600"/>
    <w:rsid w:val="006567A0"/>
    <w:rsid w:val="00656A5E"/>
    <w:rsid w:val="0065737D"/>
    <w:rsid w:val="006573BE"/>
    <w:rsid w:val="006574DC"/>
    <w:rsid w:val="00657551"/>
    <w:rsid w:val="006575BF"/>
    <w:rsid w:val="006578A7"/>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BB"/>
    <w:rsid w:val="00664C83"/>
    <w:rsid w:val="00664EE3"/>
    <w:rsid w:val="00664F22"/>
    <w:rsid w:val="006655E5"/>
    <w:rsid w:val="00665F2F"/>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837"/>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3D"/>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0BF"/>
    <w:rsid w:val="00685339"/>
    <w:rsid w:val="0068551A"/>
    <w:rsid w:val="00685579"/>
    <w:rsid w:val="00685588"/>
    <w:rsid w:val="00685BF4"/>
    <w:rsid w:val="00685CAA"/>
    <w:rsid w:val="006861A9"/>
    <w:rsid w:val="0068682C"/>
    <w:rsid w:val="00686BA1"/>
    <w:rsid w:val="006877C2"/>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37A"/>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ABD"/>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B0A"/>
    <w:rsid w:val="006A7F47"/>
    <w:rsid w:val="006B008B"/>
    <w:rsid w:val="006B0091"/>
    <w:rsid w:val="006B009E"/>
    <w:rsid w:val="006B040F"/>
    <w:rsid w:val="006B0552"/>
    <w:rsid w:val="006B0954"/>
    <w:rsid w:val="006B097A"/>
    <w:rsid w:val="006B0C3F"/>
    <w:rsid w:val="006B11A1"/>
    <w:rsid w:val="006B13C4"/>
    <w:rsid w:val="006B1586"/>
    <w:rsid w:val="006B17F8"/>
    <w:rsid w:val="006B1BBA"/>
    <w:rsid w:val="006B1E93"/>
    <w:rsid w:val="006B218C"/>
    <w:rsid w:val="006B250C"/>
    <w:rsid w:val="006B2521"/>
    <w:rsid w:val="006B2853"/>
    <w:rsid w:val="006B2C45"/>
    <w:rsid w:val="006B2CA8"/>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3D"/>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3B"/>
    <w:rsid w:val="006E2444"/>
    <w:rsid w:val="006E26EC"/>
    <w:rsid w:val="006E2AF8"/>
    <w:rsid w:val="006E2BD4"/>
    <w:rsid w:val="006E3348"/>
    <w:rsid w:val="006E38D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BE"/>
    <w:rsid w:val="006F04A3"/>
    <w:rsid w:val="006F04EB"/>
    <w:rsid w:val="006F0A6E"/>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44C"/>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3DA0"/>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B89"/>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97B"/>
    <w:rsid w:val="00757C5C"/>
    <w:rsid w:val="0076042D"/>
    <w:rsid w:val="007604D1"/>
    <w:rsid w:val="007606B2"/>
    <w:rsid w:val="00760831"/>
    <w:rsid w:val="00760A5A"/>
    <w:rsid w:val="00760B3F"/>
    <w:rsid w:val="00760CA4"/>
    <w:rsid w:val="00760F98"/>
    <w:rsid w:val="00760FAF"/>
    <w:rsid w:val="00761103"/>
    <w:rsid w:val="00761179"/>
    <w:rsid w:val="007612EB"/>
    <w:rsid w:val="007614BB"/>
    <w:rsid w:val="0076187C"/>
    <w:rsid w:val="00761AD6"/>
    <w:rsid w:val="00761AED"/>
    <w:rsid w:val="00761D26"/>
    <w:rsid w:val="00761E91"/>
    <w:rsid w:val="007625CF"/>
    <w:rsid w:val="00762634"/>
    <w:rsid w:val="0076263A"/>
    <w:rsid w:val="007628A0"/>
    <w:rsid w:val="007628EE"/>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930"/>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CA8"/>
    <w:rsid w:val="00772CAA"/>
    <w:rsid w:val="00772D90"/>
    <w:rsid w:val="007730FE"/>
    <w:rsid w:val="007732D4"/>
    <w:rsid w:val="007733F0"/>
    <w:rsid w:val="007738BB"/>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5EF2"/>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98D"/>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9C"/>
    <w:rsid w:val="007939F8"/>
    <w:rsid w:val="00793CC7"/>
    <w:rsid w:val="00793EED"/>
    <w:rsid w:val="00793F0B"/>
    <w:rsid w:val="007940E5"/>
    <w:rsid w:val="00794476"/>
    <w:rsid w:val="007945B4"/>
    <w:rsid w:val="00794679"/>
    <w:rsid w:val="00794933"/>
    <w:rsid w:val="0079494F"/>
    <w:rsid w:val="00794999"/>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0A7"/>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5EA9"/>
    <w:rsid w:val="007B635D"/>
    <w:rsid w:val="007B6411"/>
    <w:rsid w:val="007B67CA"/>
    <w:rsid w:val="007B68A1"/>
    <w:rsid w:val="007B6908"/>
    <w:rsid w:val="007B754E"/>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54"/>
    <w:rsid w:val="007D3BEC"/>
    <w:rsid w:val="007D3D03"/>
    <w:rsid w:val="007D405D"/>
    <w:rsid w:val="007D40DA"/>
    <w:rsid w:val="007D42CA"/>
    <w:rsid w:val="007D433D"/>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477"/>
    <w:rsid w:val="007D770C"/>
    <w:rsid w:val="007D7770"/>
    <w:rsid w:val="007D78E9"/>
    <w:rsid w:val="007D7CF9"/>
    <w:rsid w:val="007D7DBB"/>
    <w:rsid w:val="007E00D1"/>
    <w:rsid w:val="007E00D2"/>
    <w:rsid w:val="007E0536"/>
    <w:rsid w:val="007E0AA3"/>
    <w:rsid w:val="007E0AA8"/>
    <w:rsid w:val="007E0BC6"/>
    <w:rsid w:val="007E0E00"/>
    <w:rsid w:val="007E0FB5"/>
    <w:rsid w:val="007E194F"/>
    <w:rsid w:val="007E1B78"/>
    <w:rsid w:val="007E1C3A"/>
    <w:rsid w:val="007E1F80"/>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928"/>
    <w:rsid w:val="007F3946"/>
    <w:rsid w:val="007F39FE"/>
    <w:rsid w:val="007F3B9C"/>
    <w:rsid w:val="007F3CC2"/>
    <w:rsid w:val="007F3CEE"/>
    <w:rsid w:val="007F40A6"/>
    <w:rsid w:val="007F4252"/>
    <w:rsid w:val="007F47C8"/>
    <w:rsid w:val="007F48C5"/>
    <w:rsid w:val="007F48F1"/>
    <w:rsid w:val="007F4BAA"/>
    <w:rsid w:val="007F4BAB"/>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2FB3"/>
    <w:rsid w:val="00823080"/>
    <w:rsid w:val="0082321D"/>
    <w:rsid w:val="008233F0"/>
    <w:rsid w:val="008233F6"/>
    <w:rsid w:val="00823700"/>
    <w:rsid w:val="0082374A"/>
    <w:rsid w:val="00823EE8"/>
    <w:rsid w:val="00823F03"/>
    <w:rsid w:val="00823F78"/>
    <w:rsid w:val="00824596"/>
    <w:rsid w:val="008248B9"/>
    <w:rsid w:val="008248DA"/>
    <w:rsid w:val="0082494F"/>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B26"/>
    <w:rsid w:val="00830EB4"/>
    <w:rsid w:val="008313D2"/>
    <w:rsid w:val="008313F8"/>
    <w:rsid w:val="00831A84"/>
    <w:rsid w:val="00831B89"/>
    <w:rsid w:val="00831C99"/>
    <w:rsid w:val="00831ECA"/>
    <w:rsid w:val="00831ED2"/>
    <w:rsid w:val="00831ED5"/>
    <w:rsid w:val="008323DF"/>
    <w:rsid w:val="008324BD"/>
    <w:rsid w:val="00832AC5"/>
    <w:rsid w:val="00832B6E"/>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44D"/>
    <w:rsid w:val="00844619"/>
    <w:rsid w:val="00844787"/>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3F6"/>
    <w:rsid w:val="008475F7"/>
    <w:rsid w:val="0084778C"/>
    <w:rsid w:val="0084784A"/>
    <w:rsid w:val="00847EC2"/>
    <w:rsid w:val="008504B7"/>
    <w:rsid w:val="008508B0"/>
    <w:rsid w:val="00851123"/>
    <w:rsid w:val="00851212"/>
    <w:rsid w:val="0085124A"/>
    <w:rsid w:val="00851412"/>
    <w:rsid w:val="008516AE"/>
    <w:rsid w:val="008517AF"/>
    <w:rsid w:val="00851847"/>
    <w:rsid w:val="008519C9"/>
    <w:rsid w:val="00851A5D"/>
    <w:rsid w:val="00851ACB"/>
    <w:rsid w:val="00851BD0"/>
    <w:rsid w:val="008520CB"/>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9B8"/>
    <w:rsid w:val="00855D16"/>
    <w:rsid w:val="00855DC1"/>
    <w:rsid w:val="00855E0A"/>
    <w:rsid w:val="008563C9"/>
    <w:rsid w:val="008563F7"/>
    <w:rsid w:val="008565FB"/>
    <w:rsid w:val="00856651"/>
    <w:rsid w:val="00856797"/>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97A"/>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469"/>
    <w:rsid w:val="00877625"/>
    <w:rsid w:val="008778F6"/>
    <w:rsid w:val="008779DC"/>
    <w:rsid w:val="00877AA2"/>
    <w:rsid w:val="00877C7C"/>
    <w:rsid w:val="00877EB3"/>
    <w:rsid w:val="00880165"/>
    <w:rsid w:val="00880307"/>
    <w:rsid w:val="0088075F"/>
    <w:rsid w:val="008808EE"/>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B23"/>
    <w:rsid w:val="00882D3E"/>
    <w:rsid w:val="00882EE9"/>
    <w:rsid w:val="00883144"/>
    <w:rsid w:val="008834A3"/>
    <w:rsid w:val="00883525"/>
    <w:rsid w:val="00883667"/>
    <w:rsid w:val="008839E4"/>
    <w:rsid w:val="008842D8"/>
    <w:rsid w:val="008844D6"/>
    <w:rsid w:val="008844FF"/>
    <w:rsid w:val="008846C2"/>
    <w:rsid w:val="00884776"/>
    <w:rsid w:val="00884918"/>
    <w:rsid w:val="00884C10"/>
    <w:rsid w:val="0088515C"/>
    <w:rsid w:val="00885281"/>
    <w:rsid w:val="008854C6"/>
    <w:rsid w:val="00885509"/>
    <w:rsid w:val="008857C7"/>
    <w:rsid w:val="008859C6"/>
    <w:rsid w:val="00885C34"/>
    <w:rsid w:val="00885C72"/>
    <w:rsid w:val="00885FB4"/>
    <w:rsid w:val="008860E2"/>
    <w:rsid w:val="00886123"/>
    <w:rsid w:val="00886145"/>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C18"/>
    <w:rsid w:val="008976BA"/>
    <w:rsid w:val="008977B8"/>
    <w:rsid w:val="008978C0"/>
    <w:rsid w:val="00897B2D"/>
    <w:rsid w:val="00897C85"/>
    <w:rsid w:val="00897EC5"/>
    <w:rsid w:val="00897EDD"/>
    <w:rsid w:val="008A0225"/>
    <w:rsid w:val="008A0366"/>
    <w:rsid w:val="008A03DC"/>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B22"/>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5A"/>
    <w:rsid w:val="008C7CA6"/>
    <w:rsid w:val="008C7D19"/>
    <w:rsid w:val="008C7FF1"/>
    <w:rsid w:val="008D049D"/>
    <w:rsid w:val="008D04AF"/>
    <w:rsid w:val="008D0E6D"/>
    <w:rsid w:val="008D0F19"/>
    <w:rsid w:val="008D1038"/>
    <w:rsid w:val="008D11CA"/>
    <w:rsid w:val="008D12F1"/>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B7"/>
    <w:rsid w:val="008E4840"/>
    <w:rsid w:val="008E490B"/>
    <w:rsid w:val="008E4A60"/>
    <w:rsid w:val="008E4CC4"/>
    <w:rsid w:val="008E4E68"/>
    <w:rsid w:val="008E4FA7"/>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8F4"/>
    <w:rsid w:val="008F6946"/>
    <w:rsid w:val="008F6DA1"/>
    <w:rsid w:val="008F7062"/>
    <w:rsid w:val="008F758F"/>
    <w:rsid w:val="008F77DE"/>
    <w:rsid w:val="008F7879"/>
    <w:rsid w:val="008F791D"/>
    <w:rsid w:val="008F7C9B"/>
    <w:rsid w:val="008F7D28"/>
    <w:rsid w:val="00900402"/>
    <w:rsid w:val="00900571"/>
    <w:rsid w:val="00900682"/>
    <w:rsid w:val="00900E1F"/>
    <w:rsid w:val="00900EF8"/>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AD5"/>
    <w:rsid w:val="00902BAA"/>
    <w:rsid w:val="00902D57"/>
    <w:rsid w:val="00902F51"/>
    <w:rsid w:val="009032E0"/>
    <w:rsid w:val="009034F2"/>
    <w:rsid w:val="00903820"/>
    <w:rsid w:val="00903FE5"/>
    <w:rsid w:val="00904317"/>
    <w:rsid w:val="009045A5"/>
    <w:rsid w:val="00904C45"/>
    <w:rsid w:val="00904C9A"/>
    <w:rsid w:val="00904F62"/>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AF"/>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B5D"/>
    <w:rsid w:val="00912F7A"/>
    <w:rsid w:val="0091308B"/>
    <w:rsid w:val="009130F7"/>
    <w:rsid w:val="0091328A"/>
    <w:rsid w:val="009134B0"/>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5A5"/>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29E"/>
    <w:rsid w:val="00926455"/>
    <w:rsid w:val="00926571"/>
    <w:rsid w:val="00926909"/>
    <w:rsid w:val="00926CC1"/>
    <w:rsid w:val="0092708D"/>
    <w:rsid w:val="00927242"/>
    <w:rsid w:val="00927390"/>
    <w:rsid w:val="00927537"/>
    <w:rsid w:val="00927609"/>
    <w:rsid w:val="009277EF"/>
    <w:rsid w:val="00927807"/>
    <w:rsid w:val="00927ABF"/>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27F"/>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89C"/>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7CD"/>
    <w:rsid w:val="00952892"/>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CFE"/>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920"/>
    <w:rsid w:val="00957A8E"/>
    <w:rsid w:val="00957E6C"/>
    <w:rsid w:val="00960192"/>
    <w:rsid w:val="00960359"/>
    <w:rsid w:val="00960CD8"/>
    <w:rsid w:val="00960DAA"/>
    <w:rsid w:val="00960DF4"/>
    <w:rsid w:val="00960E84"/>
    <w:rsid w:val="00960FE2"/>
    <w:rsid w:val="0096195C"/>
    <w:rsid w:val="00961ADD"/>
    <w:rsid w:val="00961B16"/>
    <w:rsid w:val="00961BBC"/>
    <w:rsid w:val="009622A0"/>
    <w:rsid w:val="009622C1"/>
    <w:rsid w:val="0096262F"/>
    <w:rsid w:val="00962A6E"/>
    <w:rsid w:val="00962C18"/>
    <w:rsid w:val="00962D9E"/>
    <w:rsid w:val="00962DF3"/>
    <w:rsid w:val="00962ED2"/>
    <w:rsid w:val="0096351B"/>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4E3"/>
    <w:rsid w:val="009805EA"/>
    <w:rsid w:val="0098060B"/>
    <w:rsid w:val="0098086E"/>
    <w:rsid w:val="009808DC"/>
    <w:rsid w:val="00980F38"/>
    <w:rsid w:val="00980F53"/>
    <w:rsid w:val="00981025"/>
    <w:rsid w:val="009816AE"/>
    <w:rsid w:val="009816C0"/>
    <w:rsid w:val="009818D9"/>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718"/>
    <w:rsid w:val="00997C4E"/>
    <w:rsid w:val="00997D13"/>
    <w:rsid w:val="00997EA7"/>
    <w:rsid w:val="00997EDE"/>
    <w:rsid w:val="00997FA3"/>
    <w:rsid w:val="009A018F"/>
    <w:rsid w:val="009A087B"/>
    <w:rsid w:val="009A08C3"/>
    <w:rsid w:val="009A0BCE"/>
    <w:rsid w:val="009A0D97"/>
    <w:rsid w:val="009A11EA"/>
    <w:rsid w:val="009A1570"/>
    <w:rsid w:val="009A185F"/>
    <w:rsid w:val="009A18B0"/>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8D"/>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200"/>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D1C"/>
    <w:rsid w:val="009C04C9"/>
    <w:rsid w:val="009C0542"/>
    <w:rsid w:val="009C081F"/>
    <w:rsid w:val="009C0BFF"/>
    <w:rsid w:val="009C0CF5"/>
    <w:rsid w:val="009C0E0B"/>
    <w:rsid w:val="009C10B9"/>
    <w:rsid w:val="009C135F"/>
    <w:rsid w:val="009C1749"/>
    <w:rsid w:val="009C21F9"/>
    <w:rsid w:val="009C2491"/>
    <w:rsid w:val="009C24DD"/>
    <w:rsid w:val="009C25E4"/>
    <w:rsid w:val="009C2D76"/>
    <w:rsid w:val="009C3418"/>
    <w:rsid w:val="009C3C0F"/>
    <w:rsid w:val="009C3F12"/>
    <w:rsid w:val="009C402A"/>
    <w:rsid w:val="009C413F"/>
    <w:rsid w:val="009C4B5E"/>
    <w:rsid w:val="009C4EE7"/>
    <w:rsid w:val="009C5040"/>
    <w:rsid w:val="009C5044"/>
    <w:rsid w:val="009C51E3"/>
    <w:rsid w:val="009C54E5"/>
    <w:rsid w:val="009C55D8"/>
    <w:rsid w:val="009C55DE"/>
    <w:rsid w:val="009C61D3"/>
    <w:rsid w:val="009C622D"/>
    <w:rsid w:val="009C667D"/>
    <w:rsid w:val="009C67B7"/>
    <w:rsid w:val="009C6986"/>
    <w:rsid w:val="009C6A08"/>
    <w:rsid w:val="009C6B92"/>
    <w:rsid w:val="009C6F16"/>
    <w:rsid w:val="009C7315"/>
    <w:rsid w:val="009C765D"/>
    <w:rsid w:val="009C770D"/>
    <w:rsid w:val="009C7F0B"/>
    <w:rsid w:val="009D05A3"/>
    <w:rsid w:val="009D096A"/>
    <w:rsid w:val="009D0A96"/>
    <w:rsid w:val="009D0BDB"/>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21A"/>
    <w:rsid w:val="009D34E8"/>
    <w:rsid w:val="009D35AB"/>
    <w:rsid w:val="009D36FB"/>
    <w:rsid w:val="009D3898"/>
    <w:rsid w:val="009D3B56"/>
    <w:rsid w:val="009D3C23"/>
    <w:rsid w:val="009D3E05"/>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557"/>
    <w:rsid w:val="009E1A8C"/>
    <w:rsid w:val="009E1B25"/>
    <w:rsid w:val="009E1C13"/>
    <w:rsid w:val="009E1D5E"/>
    <w:rsid w:val="009E1E11"/>
    <w:rsid w:val="009E25BF"/>
    <w:rsid w:val="009E280E"/>
    <w:rsid w:val="009E2842"/>
    <w:rsid w:val="009E29AE"/>
    <w:rsid w:val="009E29FB"/>
    <w:rsid w:val="009E2C0E"/>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20F8"/>
    <w:rsid w:val="00A021B3"/>
    <w:rsid w:val="00A0258B"/>
    <w:rsid w:val="00A02663"/>
    <w:rsid w:val="00A026BA"/>
    <w:rsid w:val="00A02BB7"/>
    <w:rsid w:val="00A03041"/>
    <w:rsid w:val="00A031C5"/>
    <w:rsid w:val="00A03418"/>
    <w:rsid w:val="00A03AD9"/>
    <w:rsid w:val="00A03BCC"/>
    <w:rsid w:val="00A0401E"/>
    <w:rsid w:val="00A04791"/>
    <w:rsid w:val="00A049B0"/>
    <w:rsid w:val="00A04A8D"/>
    <w:rsid w:val="00A04E0B"/>
    <w:rsid w:val="00A04E13"/>
    <w:rsid w:val="00A050CF"/>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C10"/>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DF7"/>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1D52"/>
    <w:rsid w:val="00A322F4"/>
    <w:rsid w:val="00A329BD"/>
    <w:rsid w:val="00A32C92"/>
    <w:rsid w:val="00A32CF1"/>
    <w:rsid w:val="00A333DD"/>
    <w:rsid w:val="00A33474"/>
    <w:rsid w:val="00A33C51"/>
    <w:rsid w:val="00A33C84"/>
    <w:rsid w:val="00A33C99"/>
    <w:rsid w:val="00A33FE3"/>
    <w:rsid w:val="00A3432A"/>
    <w:rsid w:val="00A3475E"/>
    <w:rsid w:val="00A34A5C"/>
    <w:rsid w:val="00A34B3D"/>
    <w:rsid w:val="00A350D6"/>
    <w:rsid w:val="00A3548B"/>
    <w:rsid w:val="00A3563D"/>
    <w:rsid w:val="00A35779"/>
    <w:rsid w:val="00A35A4C"/>
    <w:rsid w:val="00A35B48"/>
    <w:rsid w:val="00A35C6E"/>
    <w:rsid w:val="00A35CDD"/>
    <w:rsid w:val="00A35F1C"/>
    <w:rsid w:val="00A362A2"/>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9FF"/>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14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C53"/>
    <w:rsid w:val="00A56CAE"/>
    <w:rsid w:val="00A56D13"/>
    <w:rsid w:val="00A56DB6"/>
    <w:rsid w:val="00A56E6A"/>
    <w:rsid w:val="00A5716E"/>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DB"/>
    <w:rsid w:val="00A62856"/>
    <w:rsid w:val="00A62924"/>
    <w:rsid w:val="00A62B8C"/>
    <w:rsid w:val="00A62DFD"/>
    <w:rsid w:val="00A62F85"/>
    <w:rsid w:val="00A630B1"/>
    <w:rsid w:val="00A631CD"/>
    <w:rsid w:val="00A637C4"/>
    <w:rsid w:val="00A638CC"/>
    <w:rsid w:val="00A63ACB"/>
    <w:rsid w:val="00A63F72"/>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6A7B"/>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48C"/>
    <w:rsid w:val="00A94CDC"/>
    <w:rsid w:val="00A94D74"/>
    <w:rsid w:val="00A95011"/>
    <w:rsid w:val="00A9541B"/>
    <w:rsid w:val="00A959D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6EC"/>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166F"/>
    <w:rsid w:val="00AB17E5"/>
    <w:rsid w:val="00AB1936"/>
    <w:rsid w:val="00AB1A01"/>
    <w:rsid w:val="00AB1BAB"/>
    <w:rsid w:val="00AB1C23"/>
    <w:rsid w:val="00AB1D0E"/>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3C"/>
    <w:rsid w:val="00AB798C"/>
    <w:rsid w:val="00AB7A3B"/>
    <w:rsid w:val="00AB7A83"/>
    <w:rsid w:val="00AB7BAF"/>
    <w:rsid w:val="00AB7BD2"/>
    <w:rsid w:val="00AC01D9"/>
    <w:rsid w:val="00AC0219"/>
    <w:rsid w:val="00AC03EA"/>
    <w:rsid w:val="00AC041E"/>
    <w:rsid w:val="00AC04A9"/>
    <w:rsid w:val="00AC0587"/>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2F06"/>
    <w:rsid w:val="00AC319D"/>
    <w:rsid w:val="00AC31D4"/>
    <w:rsid w:val="00AC3320"/>
    <w:rsid w:val="00AC345C"/>
    <w:rsid w:val="00AC357E"/>
    <w:rsid w:val="00AC3B37"/>
    <w:rsid w:val="00AC3C61"/>
    <w:rsid w:val="00AC3DF0"/>
    <w:rsid w:val="00AC3F36"/>
    <w:rsid w:val="00AC416D"/>
    <w:rsid w:val="00AC43D5"/>
    <w:rsid w:val="00AC4587"/>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885"/>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56"/>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29"/>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329"/>
    <w:rsid w:val="00AF239B"/>
    <w:rsid w:val="00AF23A3"/>
    <w:rsid w:val="00AF2490"/>
    <w:rsid w:val="00AF26E7"/>
    <w:rsid w:val="00AF346F"/>
    <w:rsid w:val="00AF3659"/>
    <w:rsid w:val="00AF36B0"/>
    <w:rsid w:val="00AF37D8"/>
    <w:rsid w:val="00AF39CF"/>
    <w:rsid w:val="00AF3AEF"/>
    <w:rsid w:val="00AF3B5A"/>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9B"/>
    <w:rsid w:val="00AF56AB"/>
    <w:rsid w:val="00AF5707"/>
    <w:rsid w:val="00AF5E12"/>
    <w:rsid w:val="00AF5ED1"/>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30D1"/>
    <w:rsid w:val="00B23247"/>
    <w:rsid w:val="00B2372A"/>
    <w:rsid w:val="00B23971"/>
    <w:rsid w:val="00B23D79"/>
    <w:rsid w:val="00B24272"/>
    <w:rsid w:val="00B24275"/>
    <w:rsid w:val="00B243FC"/>
    <w:rsid w:val="00B2444F"/>
    <w:rsid w:val="00B245F3"/>
    <w:rsid w:val="00B247B9"/>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62E"/>
    <w:rsid w:val="00B30725"/>
    <w:rsid w:val="00B30E13"/>
    <w:rsid w:val="00B30E93"/>
    <w:rsid w:val="00B30EE0"/>
    <w:rsid w:val="00B30F98"/>
    <w:rsid w:val="00B31187"/>
    <w:rsid w:val="00B313D8"/>
    <w:rsid w:val="00B31902"/>
    <w:rsid w:val="00B31A56"/>
    <w:rsid w:val="00B31A7D"/>
    <w:rsid w:val="00B31AA2"/>
    <w:rsid w:val="00B31DF6"/>
    <w:rsid w:val="00B31EB9"/>
    <w:rsid w:val="00B32685"/>
    <w:rsid w:val="00B32A01"/>
    <w:rsid w:val="00B32D08"/>
    <w:rsid w:val="00B33613"/>
    <w:rsid w:val="00B3365E"/>
    <w:rsid w:val="00B33759"/>
    <w:rsid w:val="00B33852"/>
    <w:rsid w:val="00B339F7"/>
    <w:rsid w:val="00B33CF3"/>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405"/>
    <w:rsid w:val="00B3683A"/>
    <w:rsid w:val="00B3685C"/>
    <w:rsid w:val="00B3693B"/>
    <w:rsid w:val="00B36A1C"/>
    <w:rsid w:val="00B36CC1"/>
    <w:rsid w:val="00B36D00"/>
    <w:rsid w:val="00B3715C"/>
    <w:rsid w:val="00B37ACC"/>
    <w:rsid w:val="00B37AFD"/>
    <w:rsid w:val="00B37B65"/>
    <w:rsid w:val="00B37C70"/>
    <w:rsid w:val="00B37D5C"/>
    <w:rsid w:val="00B37D74"/>
    <w:rsid w:val="00B403F2"/>
    <w:rsid w:val="00B40455"/>
    <w:rsid w:val="00B405CC"/>
    <w:rsid w:val="00B406D6"/>
    <w:rsid w:val="00B40D00"/>
    <w:rsid w:val="00B41445"/>
    <w:rsid w:val="00B417BE"/>
    <w:rsid w:val="00B41843"/>
    <w:rsid w:val="00B41B8D"/>
    <w:rsid w:val="00B425C4"/>
    <w:rsid w:val="00B426F9"/>
    <w:rsid w:val="00B428B7"/>
    <w:rsid w:val="00B428E3"/>
    <w:rsid w:val="00B42B13"/>
    <w:rsid w:val="00B43B9F"/>
    <w:rsid w:val="00B43BF6"/>
    <w:rsid w:val="00B43C3E"/>
    <w:rsid w:val="00B43CE7"/>
    <w:rsid w:val="00B43E5E"/>
    <w:rsid w:val="00B4425B"/>
    <w:rsid w:val="00B445E3"/>
    <w:rsid w:val="00B44D19"/>
    <w:rsid w:val="00B44D3B"/>
    <w:rsid w:val="00B4514A"/>
    <w:rsid w:val="00B45412"/>
    <w:rsid w:val="00B455C7"/>
    <w:rsid w:val="00B4580E"/>
    <w:rsid w:val="00B4598E"/>
    <w:rsid w:val="00B45A33"/>
    <w:rsid w:val="00B45E73"/>
    <w:rsid w:val="00B4623A"/>
    <w:rsid w:val="00B462EF"/>
    <w:rsid w:val="00B465ED"/>
    <w:rsid w:val="00B4676E"/>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363"/>
    <w:rsid w:val="00B624E0"/>
    <w:rsid w:val="00B6256C"/>
    <w:rsid w:val="00B6297E"/>
    <w:rsid w:val="00B62990"/>
    <w:rsid w:val="00B629F2"/>
    <w:rsid w:val="00B62B14"/>
    <w:rsid w:val="00B62F13"/>
    <w:rsid w:val="00B63319"/>
    <w:rsid w:val="00B6343E"/>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179"/>
    <w:rsid w:val="00B774F5"/>
    <w:rsid w:val="00B776F2"/>
    <w:rsid w:val="00B7777A"/>
    <w:rsid w:val="00B77D9F"/>
    <w:rsid w:val="00B77E55"/>
    <w:rsid w:val="00B77F9A"/>
    <w:rsid w:val="00B802A6"/>
    <w:rsid w:val="00B8037E"/>
    <w:rsid w:val="00B8066A"/>
    <w:rsid w:val="00B808A3"/>
    <w:rsid w:val="00B80DF0"/>
    <w:rsid w:val="00B80E87"/>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74"/>
    <w:rsid w:val="00B8577B"/>
    <w:rsid w:val="00B858C8"/>
    <w:rsid w:val="00B859D4"/>
    <w:rsid w:val="00B85CC6"/>
    <w:rsid w:val="00B85F18"/>
    <w:rsid w:val="00B85F4A"/>
    <w:rsid w:val="00B862C6"/>
    <w:rsid w:val="00B8632C"/>
    <w:rsid w:val="00B86391"/>
    <w:rsid w:val="00B869EA"/>
    <w:rsid w:val="00B86B00"/>
    <w:rsid w:val="00B870F8"/>
    <w:rsid w:val="00B87573"/>
    <w:rsid w:val="00B8772B"/>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4FF"/>
    <w:rsid w:val="00B94544"/>
    <w:rsid w:val="00B947C8"/>
    <w:rsid w:val="00B94A74"/>
    <w:rsid w:val="00B957B5"/>
    <w:rsid w:val="00B958CA"/>
    <w:rsid w:val="00B95A13"/>
    <w:rsid w:val="00B95DC7"/>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E04"/>
    <w:rsid w:val="00BA2EC6"/>
    <w:rsid w:val="00BA31EC"/>
    <w:rsid w:val="00BA3471"/>
    <w:rsid w:val="00BA37E8"/>
    <w:rsid w:val="00BA3B84"/>
    <w:rsid w:val="00BA3E3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FE5"/>
    <w:rsid w:val="00BB317C"/>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330"/>
    <w:rsid w:val="00BD06DC"/>
    <w:rsid w:val="00BD0906"/>
    <w:rsid w:val="00BD0B61"/>
    <w:rsid w:val="00BD0D3D"/>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6FF8"/>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74E"/>
    <w:rsid w:val="00BF57BF"/>
    <w:rsid w:val="00BF5BC6"/>
    <w:rsid w:val="00BF5C46"/>
    <w:rsid w:val="00BF616A"/>
    <w:rsid w:val="00BF61EC"/>
    <w:rsid w:val="00BF6595"/>
    <w:rsid w:val="00BF6D60"/>
    <w:rsid w:val="00BF71B0"/>
    <w:rsid w:val="00BF7811"/>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CA"/>
    <w:rsid w:val="00C0401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CF9"/>
    <w:rsid w:val="00C11D85"/>
    <w:rsid w:val="00C11DB9"/>
    <w:rsid w:val="00C11DED"/>
    <w:rsid w:val="00C11F64"/>
    <w:rsid w:val="00C11FF4"/>
    <w:rsid w:val="00C123DB"/>
    <w:rsid w:val="00C1285D"/>
    <w:rsid w:val="00C12950"/>
    <w:rsid w:val="00C129C9"/>
    <w:rsid w:val="00C12AE7"/>
    <w:rsid w:val="00C12BBF"/>
    <w:rsid w:val="00C12DF9"/>
    <w:rsid w:val="00C13095"/>
    <w:rsid w:val="00C130C6"/>
    <w:rsid w:val="00C1319A"/>
    <w:rsid w:val="00C13353"/>
    <w:rsid w:val="00C13A80"/>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6F9F"/>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A4E"/>
    <w:rsid w:val="00C23C7E"/>
    <w:rsid w:val="00C23DD2"/>
    <w:rsid w:val="00C2415D"/>
    <w:rsid w:val="00C2417E"/>
    <w:rsid w:val="00C24BA0"/>
    <w:rsid w:val="00C24FE7"/>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C0C"/>
    <w:rsid w:val="00C32EE4"/>
    <w:rsid w:val="00C330C1"/>
    <w:rsid w:val="00C331D1"/>
    <w:rsid w:val="00C332F2"/>
    <w:rsid w:val="00C33695"/>
    <w:rsid w:val="00C3369F"/>
    <w:rsid w:val="00C33A8C"/>
    <w:rsid w:val="00C33A9B"/>
    <w:rsid w:val="00C33F6C"/>
    <w:rsid w:val="00C3405D"/>
    <w:rsid w:val="00C34246"/>
    <w:rsid w:val="00C3444E"/>
    <w:rsid w:val="00C347B8"/>
    <w:rsid w:val="00C3483C"/>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3E7A"/>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725"/>
    <w:rsid w:val="00C56BB5"/>
    <w:rsid w:val="00C56BF5"/>
    <w:rsid w:val="00C56C8C"/>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50"/>
    <w:rsid w:val="00C60B78"/>
    <w:rsid w:val="00C60C0B"/>
    <w:rsid w:val="00C60CAE"/>
    <w:rsid w:val="00C60E27"/>
    <w:rsid w:val="00C60F07"/>
    <w:rsid w:val="00C60F2F"/>
    <w:rsid w:val="00C60FAB"/>
    <w:rsid w:val="00C613F3"/>
    <w:rsid w:val="00C6140E"/>
    <w:rsid w:val="00C61635"/>
    <w:rsid w:val="00C61716"/>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C28"/>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3F14"/>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26B"/>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DB9"/>
    <w:rsid w:val="00C85040"/>
    <w:rsid w:val="00C8509B"/>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5CF"/>
    <w:rsid w:val="00C92877"/>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4FF"/>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3A"/>
    <w:rsid w:val="00CA3958"/>
    <w:rsid w:val="00CA39F3"/>
    <w:rsid w:val="00CA3A8A"/>
    <w:rsid w:val="00CA3AC6"/>
    <w:rsid w:val="00CA3D8B"/>
    <w:rsid w:val="00CA3E1E"/>
    <w:rsid w:val="00CA3F33"/>
    <w:rsid w:val="00CA4043"/>
    <w:rsid w:val="00CA40DD"/>
    <w:rsid w:val="00CA42DB"/>
    <w:rsid w:val="00CA495D"/>
    <w:rsid w:val="00CA49AF"/>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46D"/>
    <w:rsid w:val="00CB09DA"/>
    <w:rsid w:val="00CB09DF"/>
    <w:rsid w:val="00CB1664"/>
    <w:rsid w:val="00CB1668"/>
    <w:rsid w:val="00CB1671"/>
    <w:rsid w:val="00CB19A9"/>
    <w:rsid w:val="00CB1A0F"/>
    <w:rsid w:val="00CB1DF6"/>
    <w:rsid w:val="00CB1F02"/>
    <w:rsid w:val="00CB1F64"/>
    <w:rsid w:val="00CB21E5"/>
    <w:rsid w:val="00CB238C"/>
    <w:rsid w:val="00CB24C8"/>
    <w:rsid w:val="00CB24D2"/>
    <w:rsid w:val="00CB2930"/>
    <w:rsid w:val="00CB2A65"/>
    <w:rsid w:val="00CB2C02"/>
    <w:rsid w:val="00CB30F2"/>
    <w:rsid w:val="00CB3234"/>
    <w:rsid w:val="00CB33D1"/>
    <w:rsid w:val="00CB3890"/>
    <w:rsid w:val="00CB3D0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7F9"/>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2081"/>
    <w:rsid w:val="00D0250A"/>
    <w:rsid w:val="00D0262D"/>
    <w:rsid w:val="00D02B14"/>
    <w:rsid w:val="00D02BB2"/>
    <w:rsid w:val="00D02C08"/>
    <w:rsid w:val="00D03123"/>
    <w:rsid w:val="00D035EE"/>
    <w:rsid w:val="00D03681"/>
    <w:rsid w:val="00D036BB"/>
    <w:rsid w:val="00D0370B"/>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27A"/>
    <w:rsid w:val="00D07378"/>
    <w:rsid w:val="00D0750C"/>
    <w:rsid w:val="00D07AE6"/>
    <w:rsid w:val="00D10038"/>
    <w:rsid w:val="00D100A1"/>
    <w:rsid w:val="00D1026F"/>
    <w:rsid w:val="00D105C5"/>
    <w:rsid w:val="00D105EE"/>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180"/>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595"/>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147"/>
    <w:rsid w:val="00D2338E"/>
    <w:rsid w:val="00D236C1"/>
    <w:rsid w:val="00D23837"/>
    <w:rsid w:val="00D238F4"/>
    <w:rsid w:val="00D23A23"/>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223"/>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7D2"/>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98"/>
    <w:rsid w:val="00D4182B"/>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2E79"/>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46E"/>
    <w:rsid w:val="00D47792"/>
    <w:rsid w:val="00D4783F"/>
    <w:rsid w:val="00D4787D"/>
    <w:rsid w:val="00D47CE3"/>
    <w:rsid w:val="00D5079B"/>
    <w:rsid w:val="00D50A5F"/>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BE3"/>
    <w:rsid w:val="00D62F19"/>
    <w:rsid w:val="00D63494"/>
    <w:rsid w:val="00D636A7"/>
    <w:rsid w:val="00D638C7"/>
    <w:rsid w:val="00D63C93"/>
    <w:rsid w:val="00D63ED9"/>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393"/>
    <w:rsid w:val="00D679AF"/>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B34"/>
    <w:rsid w:val="00D74C6A"/>
    <w:rsid w:val="00D74CC3"/>
    <w:rsid w:val="00D74CD5"/>
    <w:rsid w:val="00D74D76"/>
    <w:rsid w:val="00D75265"/>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66F"/>
    <w:rsid w:val="00D838D8"/>
    <w:rsid w:val="00D839C3"/>
    <w:rsid w:val="00D83FB3"/>
    <w:rsid w:val="00D84039"/>
    <w:rsid w:val="00D840B5"/>
    <w:rsid w:val="00D84150"/>
    <w:rsid w:val="00D841A1"/>
    <w:rsid w:val="00D84542"/>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3F38"/>
    <w:rsid w:val="00D941C0"/>
    <w:rsid w:val="00D9421D"/>
    <w:rsid w:val="00D948E5"/>
    <w:rsid w:val="00D94D9C"/>
    <w:rsid w:val="00D950E8"/>
    <w:rsid w:val="00D957AE"/>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88C"/>
    <w:rsid w:val="00D97B24"/>
    <w:rsid w:val="00D97C9C"/>
    <w:rsid w:val="00D97EB3"/>
    <w:rsid w:val="00D97F7C"/>
    <w:rsid w:val="00DA038B"/>
    <w:rsid w:val="00DA0B03"/>
    <w:rsid w:val="00DA0D70"/>
    <w:rsid w:val="00DA1572"/>
    <w:rsid w:val="00DA168E"/>
    <w:rsid w:val="00DA1A30"/>
    <w:rsid w:val="00DA1B44"/>
    <w:rsid w:val="00DA1C88"/>
    <w:rsid w:val="00DA228C"/>
    <w:rsid w:val="00DA23CC"/>
    <w:rsid w:val="00DA26A8"/>
    <w:rsid w:val="00DA2725"/>
    <w:rsid w:val="00DA29F7"/>
    <w:rsid w:val="00DA31C0"/>
    <w:rsid w:val="00DA368A"/>
    <w:rsid w:val="00DA3A84"/>
    <w:rsid w:val="00DA3C89"/>
    <w:rsid w:val="00DA3D78"/>
    <w:rsid w:val="00DA3EC9"/>
    <w:rsid w:val="00DA3F01"/>
    <w:rsid w:val="00DA43D0"/>
    <w:rsid w:val="00DA447F"/>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42C"/>
    <w:rsid w:val="00DD370B"/>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93F"/>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DB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EA9"/>
    <w:rsid w:val="00E16289"/>
    <w:rsid w:val="00E16770"/>
    <w:rsid w:val="00E16CA7"/>
    <w:rsid w:val="00E16DB6"/>
    <w:rsid w:val="00E16E24"/>
    <w:rsid w:val="00E16FDB"/>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02A"/>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56DE"/>
    <w:rsid w:val="00E35A83"/>
    <w:rsid w:val="00E35D2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B7"/>
    <w:rsid w:val="00E42BDA"/>
    <w:rsid w:val="00E431E2"/>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DAD"/>
    <w:rsid w:val="00E47EE2"/>
    <w:rsid w:val="00E500F9"/>
    <w:rsid w:val="00E50310"/>
    <w:rsid w:val="00E507A4"/>
    <w:rsid w:val="00E507C2"/>
    <w:rsid w:val="00E5088B"/>
    <w:rsid w:val="00E50E41"/>
    <w:rsid w:val="00E50F22"/>
    <w:rsid w:val="00E5103A"/>
    <w:rsid w:val="00E51297"/>
    <w:rsid w:val="00E51689"/>
    <w:rsid w:val="00E5188C"/>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12E"/>
    <w:rsid w:val="00E551FF"/>
    <w:rsid w:val="00E55606"/>
    <w:rsid w:val="00E55679"/>
    <w:rsid w:val="00E55C14"/>
    <w:rsid w:val="00E55D0A"/>
    <w:rsid w:val="00E55DF3"/>
    <w:rsid w:val="00E55E55"/>
    <w:rsid w:val="00E560A6"/>
    <w:rsid w:val="00E56103"/>
    <w:rsid w:val="00E5649A"/>
    <w:rsid w:val="00E56B9A"/>
    <w:rsid w:val="00E56F29"/>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45"/>
    <w:rsid w:val="00E65472"/>
    <w:rsid w:val="00E65735"/>
    <w:rsid w:val="00E6581A"/>
    <w:rsid w:val="00E658B3"/>
    <w:rsid w:val="00E65CC0"/>
    <w:rsid w:val="00E661D2"/>
    <w:rsid w:val="00E6633E"/>
    <w:rsid w:val="00E668BD"/>
    <w:rsid w:val="00E66B91"/>
    <w:rsid w:val="00E66E85"/>
    <w:rsid w:val="00E670A3"/>
    <w:rsid w:val="00E672A8"/>
    <w:rsid w:val="00E67515"/>
    <w:rsid w:val="00E67549"/>
    <w:rsid w:val="00E677B2"/>
    <w:rsid w:val="00E677DF"/>
    <w:rsid w:val="00E678BE"/>
    <w:rsid w:val="00E6791A"/>
    <w:rsid w:val="00E67BDB"/>
    <w:rsid w:val="00E70156"/>
    <w:rsid w:val="00E70292"/>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2D50"/>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F2A"/>
    <w:rsid w:val="00E800A3"/>
    <w:rsid w:val="00E80309"/>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72A"/>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6E1B"/>
    <w:rsid w:val="00E872E6"/>
    <w:rsid w:val="00E87BA4"/>
    <w:rsid w:val="00E87C2B"/>
    <w:rsid w:val="00E87C95"/>
    <w:rsid w:val="00E87E9A"/>
    <w:rsid w:val="00E87F9C"/>
    <w:rsid w:val="00E9011F"/>
    <w:rsid w:val="00E90238"/>
    <w:rsid w:val="00E903AD"/>
    <w:rsid w:val="00E905AA"/>
    <w:rsid w:val="00E906AC"/>
    <w:rsid w:val="00E9076D"/>
    <w:rsid w:val="00E910A8"/>
    <w:rsid w:val="00E915BB"/>
    <w:rsid w:val="00E91681"/>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B05"/>
    <w:rsid w:val="00E97B4A"/>
    <w:rsid w:val="00E97E77"/>
    <w:rsid w:val="00E97EA9"/>
    <w:rsid w:val="00EA00AE"/>
    <w:rsid w:val="00EA01B4"/>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574"/>
    <w:rsid w:val="00EA5807"/>
    <w:rsid w:val="00EA5A82"/>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BC4"/>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742"/>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D040E"/>
    <w:rsid w:val="00ED0556"/>
    <w:rsid w:val="00ED0622"/>
    <w:rsid w:val="00ED098B"/>
    <w:rsid w:val="00ED09EF"/>
    <w:rsid w:val="00ED1506"/>
    <w:rsid w:val="00ED1520"/>
    <w:rsid w:val="00ED17B0"/>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91"/>
    <w:rsid w:val="00ED4AF6"/>
    <w:rsid w:val="00ED4EDA"/>
    <w:rsid w:val="00ED5063"/>
    <w:rsid w:val="00ED5A03"/>
    <w:rsid w:val="00ED5B65"/>
    <w:rsid w:val="00ED5E4A"/>
    <w:rsid w:val="00ED6267"/>
    <w:rsid w:val="00ED65D9"/>
    <w:rsid w:val="00ED6998"/>
    <w:rsid w:val="00ED6AE6"/>
    <w:rsid w:val="00ED6FAC"/>
    <w:rsid w:val="00ED70D4"/>
    <w:rsid w:val="00ED7230"/>
    <w:rsid w:val="00ED755C"/>
    <w:rsid w:val="00ED7882"/>
    <w:rsid w:val="00ED79A0"/>
    <w:rsid w:val="00ED7E3C"/>
    <w:rsid w:val="00EE009F"/>
    <w:rsid w:val="00EE07CA"/>
    <w:rsid w:val="00EE0905"/>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5D37"/>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08A5"/>
    <w:rsid w:val="00EF109F"/>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718"/>
    <w:rsid w:val="00EF3899"/>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7"/>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94"/>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329"/>
    <w:rsid w:val="00F357CF"/>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E5"/>
    <w:rsid w:val="00F37F3F"/>
    <w:rsid w:val="00F37F73"/>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B37"/>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4029"/>
    <w:rsid w:val="00F5416C"/>
    <w:rsid w:val="00F54C8B"/>
    <w:rsid w:val="00F54D99"/>
    <w:rsid w:val="00F552DF"/>
    <w:rsid w:val="00F5552E"/>
    <w:rsid w:val="00F5594B"/>
    <w:rsid w:val="00F55B24"/>
    <w:rsid w:val="00F55BB9"/>
    <w:rsid w:val="00F55E42"/>
    <w:rsid w:val="00F55FC6"/>
    <w:rsid w:val="00F5605D"/>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C56"/>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705"/>
    <w:rsid w:val="00F70B31"/>
    <w:rsid w:val="00F70DEE"/>
    <w:rsid w:val="00F71A21"/>
    <w:rsid w:val="00F71A2E"/>
    <w:rsid w:val="00F71BDF"/>
    <w:rsid w:val="00F721BD"/>
    <w:rsid w:val="00F72338"/>
    <w:rsid w:val="00F72642"/>
    <w:rsid w:val="00F726F7"/>
    <w:rsid w:val="00F72962"/>
    <w:rsid w:val="00F72CED"/>
    <w:rsid w:val="00F72D3D"/>
    <w:rsid w:val="00F72D5A"/>
    <w:rsid w:val="00F73069"/>
    <w:rsid w:val="00F73189"/>
    <w:rsid w:val="00F73953"/>
    <w:rsid w:val="00F73E8B"/>
    <w:rsid w:val="00F73EAE"/>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7A4"/>
    <w:rsid w:val="00F808CD"/>
    <w:rsid w:val="00F80983"/>
    <w:rsid w:val="00F80A3D"/>
    <w:rsid w:val="00F80C7B"/>
    <w:rsid w:val="00F80E85"/>
    <w:rsid w:val="00F81ACF"/>
    <w:rsid w:val="00F81C55"/>
    <w:rsid w:val="00F81C58"/>
    <w:rsid w:val="00F81C78"/>
    <w:rsid w:val="00F81CBD"/>
    <w:rsid w:val="00F81D91"/>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584"/>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DE5"/>
    <w:rsid w:val="00F94007"/>
    <w:rsid w:val="00F940E8"/>
    <w:rsid w:val="00F9448D"/>
    <w:rsid w:val="00F944C2"/>
    <w:rsid w:val="00F946D9"/>
    <w:rsid w:val="00F947B9"/>
    <w:rsid w:val="00F94AE7"/>
    <w:rsid w:val="00F94E0F"/>
    <w:rsid w:val="00F95026"/>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0F83"/>
    <w:rsid w:val="00FB1047"/>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9D4"/>
    <w:rsid w:val="00FC5B94"/>
    <w:rsid w:val="00FC5BE5"/>
    <w:rsid w:val="00FC5EE7"/>
    <w:rsid w:val="00FC66A6"/>
    <w:rsid w:val="00FC681B"/>
    <w:rsid w:val="00FC6AA8"/>
    <w:rsid w:val="00FC6C76"/>
    <w:rsid w:val="00FC6E17"/>
    <w:rsid w:val="00FC6FA5"/>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3F"/>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57"/>
    <w:rsid w:val="00FE2F6E"/>
    <w:rsid w:val="00FE322C"/>
    <w:rsid w:val="00FE3287"/>
    <w:rsid w:val="00FE3459"/>
    <w:rsid w:val="00FE3B9A"/>
    <w:rsid w:val="00FE4154"/>
    <w:rsid w:val="00FE43C5"/>
    <w:rsid w:val="00FE4649"/>
    <w:rsid w:val="00FE46F4"/>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51E2"/>
    <w:rsid w:val="00FF537F"/>
    <w:rsid w:val="00FF539C"/>
    <w:rsid w:val="00FF58D7"/>
    <w:rsid w:val="00FF5922"/>
    <w:rsid w:val="00FF5AA1"/>
    <w:rsid w:val="00FF5FED"/>
    <w:rsid w:val="00FF610F"/>
    <w:rsid w:val="00FF626E"/>
    <w:rsid w:val="00FF6369"/>
    <w:rsid w:val="00FF63CF"/>
    <w:rsid w:val="00FF686D"/>
    <w:rsid w:val="00FF68B2"/>
    <w:rsid w:val="00FF6A4E"/>
    <w:rsid w:val="00FF6B4D"/>
    <w:rsid w:val="00FF7213"/>
    <w:rsid w:val="00FF7773"/>
    <w:rsid w:val="00FF78DA"/>
    <w:rsid w:val="00FF7E3F"/>
    <w:rsid w:val="00FF7F28"/>
    <w:rsid w:val="13695FC5"/>
    <w:rsid w:val="4FFA72D7"/>
    <w:rsid w:val="52883FC3"/>
    <w:rsid w:val="6060CC07"/>
    <w:rsid w:val="6A94DD8E"/>
    <w:rsid w:val="725A27A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2AC35E"/>
  <w15:chartTrackingRefBased/>
  <w15:docId w15:val="{58714531-85D4-49CA-A481-37B465D5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Franklin Gothic Book" w:hAnsi="Franklin Gothic Book" w:cs="Times New Roman"/>
        <w:lang w:val="fr-FR"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spacing w:after="160" w:line="276" w:lineRule="auto"/>
      <w:jc w:val="both"/>
    </w:pPr>
    <w:rPr>
      <w:sz w:val="22"/>
      <w:szCs w:val="22"/>
      <w:lang w:eastAsia="en-US"/>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Franklin Gothic Medium" w:eastAsia="MS Gothic" w:hAnsi="Franklin Gothic Medium"/>
      <w:bCs/>
      <w:color w:val="03295A"/>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Franklin Gothic Medium" w:eastAsia="MS Gothic" w:hAnsi="Franklin Gothic Medium"/>
      <w:color w:val="006E9D"/>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Franklin Gothic Medium" w:eastAsia="MS Gothic" w:hAnsi="Franklin Gothic Medium"/>
      <w:color w:val="0049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Franklin Gothic Medium" w:eastAsia="MS Gothic" w:hAnsi="Franklin Gothic Medium"/>
      <w:b/>
      <w:color w:val="03295A"/>
      <w:spacing w:val="10"/>
      <w:kern w:val="28"/>
      <w:sz w:val="32"/>
      <w:szCs w:val="56"/>
    </w:rPr>
  </w:style>
  <w:style w:type="character" w:customStyle="1" w:styleId="TitleChar">
    <w:name w:val="Title Char"/>
    <w:aliases w:val="PB Title Char"/>
    <w:link w:val="Title"/>
    <w:uiPriority w:val="5"/>
    <w:rsid w:val="000724E1"/>
    <w:rPr>
      <w:rFonts w:ascii="Franklin Gothic Medium" w:eastAsia="MS Gothic" w:hAnsi="Franklin Gothic Medium" w:cs="Times New Roman"/>
      <w:b/>
      <w:color w:val="03295A"/>
      <w:spacing w:val="10"/>
      <w:kern w:val="28"/>
      <w:sz w:val="32"/>
      <w:szCs w:val="56"/>
      <w:lang w:val="fr-FR"/>
    </w:rPr>
  </w:style>
  <w:style w:type="character" w:customStyle="1" w:styleId="Heading1Char">
    <w:name w:val="Heading 1 Char"/>
    <w:aliases w:val="PB Heading 1 Char"/>
    <w:link w:val="Heading1"/>
    <w:uiPriority w:val="1"/>
    <w:rsid w:val="0044320F"/>
    <w:rPr>
      <w:rFonts w:ascii="Franklin Gothic Medium" w:eastAsia="MS Gothic" w:hAnsi="Franklin Gothic Medium" w:cs="Times New Roman"/>
      <w:bCs/>
      <w:color w:val="03295A"/>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link w:val="Footer"/>
    <w:uiPriority w:val="99"/>
    <w:rsid w:val="00037583"/>
    <w:rPr>
      <w:lang w:val="fr-FR"/>
    </w:rPr>
  </w:style>
  <w:style w:type="character" w:styleId="Hyperlink">
    <w:name w:val="Hyperlink"/>
    <w:uiPriority w:val="99"/>
    <w:unhideWhenUsed/>
    <w:rsid w:val="00B2174F"/>
    <w:rPr>
      <w:color w:val="024987"/>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link w:val="Heading2"/>
    <w:uiPriority w:val="2"/>
    <w:rsid w:val="0044320F"/>
    <w:rPr>
      <w:rFonts w:ascii="Franklin Gothic Medium" w:eastAsia="MS Gothic" w:hAnsi="Franklin Gothic Medium" w:cs="Times New Roman"/>
      <w:bCs/>
      <w:color w:val="024987"/>
      <w:sz w:val="24"/>
      <w:szCs w:val="24"/>
      <w:lang w:val="fr-FR"/>
    </w:rPr>
  </w:style>
  <w:style w:type="character" w:customStyle="1" w:styleId="ListParagraphChar">
    <w:name w:val="List Paragraph Char"/>
    <w:aliases w:val="PB Numbered List Char"/>
    <w:link w:val="ListParagraph"/>
    <w:uiPriority w:val="34"/>
    <w:rsid w:val="008E6580"/>
    <w:rPr>
      <w:lang w:val="fr-FR"/>
    </w:rPr>
  </w:style>
  <w:style w:type="character" w:customStyle="1" w:styleId="PBParagraphNumberChar">
    <w:name w:val="PB Paragraph Number Char"/>
    <w:link w:val="PBParagraphNumber"/>
    <w:rsid w:val="008E6580"/>
    <w:rPr>
      <w:color w:val="002060"/>
      <w:lang w:val="fr-FR"/>
    </w:rPr>
  </w:style>
  <w:style w:type="character" w:customStyle="1" w:styleId="Heading3Char">
    <w:name w:val="Heading 3 Char"/>
    <w:aliases w:val="PB Heading 3 Char"/>
    <w:link w:val="Heading3"/>
    <w:uiPriority w:val="3"/>
    <w:rsid w:val="0044320F"/>
    <w:rPr>
      <w:rFonts w:ascii="Franklin Gothic Medium" w:eastAsia="MS Gothic" w:hAnsi="Franklin Gothic Medium" w:cs="Times New Roman"/>
      <w:bCs/>
      <w:color w:val="0069B4"/>
      <w:lang w:val="fr-FR"/>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link w:val="Heading4"/>
    <w:uiPriority w:val="4"/>
    <w:rsid w:val="0044320F"/>
    <w:rPr>
      <w:rFonts w:ascii="Franklin Gothic Medium" w:eastAsia="MS Gothic" w:hAnsi="Franklin Gothic Medium" w:cs="Times New Roman"/>
      <w:i/>
      <w:iCs/>
      <w:color w:val="0094D2"/>
      <w:lang w:val="fr-FR"/>
    </w:rPr>
  </w:style>
  <w:style w:type="character" w:customStyle="1" w:styleId="PBBulletListChar">
    <w:name w:val="PB Bullet List Char"/>
    <w:link w:val="PBBulletList"/>
    <w:uiPriority w:val="6"/>
    <w:rsid w:val="008E6580"/>
    <w:rPr>
      <w:color w:val="002060"/>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link w:val="Quote"/>
    <w:uiPriority w:val="6"/>
    <w:rsid w:val="008E6580"/>
    <w:rPr>
      <w:sz w:val="21"/>
      <w:szCs w:val="21"/>
      <w:lang w:val="fr-FR"/>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link w:val="FootnoteText"/>
    <w:uiPriority w:val="99"/>
    <w:rsid w:val="000B17BF"/>
    <w:rPr>
      <w:sz w:val="18"/>
      <w:szCs w:val="20"/>
      <w:lang w:val="fr-FR"/>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Franklin Gothic Medium"/>
    </w:rPr>
  </w:style>
  <w:style w:type="paragraph" w:styleId="TOC1">
    <w:name w:val="toc 1"/>
    <w:basedOn w:val="Normal"/>
    <w:next w:val="Normal"/>
    <w:autoRedefine/>
    <w:uiPriority w:val="39"/>
    <w:unhideWhenUsed/>
    <w:rsid w:val="00F84584"/>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link w:val="PBBoxEmphasis"/>
    <w:uiPriority w:val="29"/>
    <w:rsid w:val="008E6580"/>
    <w:rPr>
      <w:sz w:val="20"/>
      <w:szCs w:val="20"/>
      <w:shd w:val="clear" w:color="auto" w:fill="DAE5D8"/>
      <w:lang w:val="fr-FR"/>
    </w:rPr>
  </w:style>
  <w:style w:type="character" w:customStyle="1" w:styleId="BalloonTextChar">
    <w:name w:val="Balloon Text Char"/>
    <w:link w:val="BalloonText"/>
    <w:uiPriority w:val="99"/>
    <w:semiHidden/>
    <w:rsid w:val="00407F85"/>
    <w:rPr>
      <w:rFonts w:ascii="Segoe UI" w:hAnsi="Segoe UI" w:cs="Segoe UI"/>
      <w:sz w:val="18"/>
      <w:szCs w:val="18"/>
      <w:lang w:val="fr-FR"/>
    </w:rPr>
  </w:style>
  <w:style w:type="character" w:styleId="CommentReference">
    <w:name w:val="annotation reference"/>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link w:val="CommentSubject"/>
    <w:uiPriority w:val="99"/>
    <w:semiHidden/>
    <w:rsid w:val="000B17BF"/>
    <w:rPr>
      <w:b/>
      <w:bCs/>
      <w:sz w:val="20"/>
      <w:szCs w:val="20"/>
      <w:lang w:val="fr-FR"/>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tblPr>
      <w:tblStyleRowBandSize w:val="1"/>
      <w:tblStyleColBandSize w:val="1"/>
      <w:tblBorders>
        <w:top w:val="single" w:sz="4" w:space="0" w:color="2296FB"/>
        <w:left w:val="single" w:sz="4" w:space="0" w:color="2296FB"/>
        <w:bottom w:val="single" w:sz="4" w:space="0" w:color="2296FB"/>
        <w:right w:val="single" w:sz="4" w:space="0" w:color="2296FB"/>
        <w:insideH w:val="single" w:sz="4" w:space="0" w:color="2296FB"/>
        <w:insideV w:val="single" w:sz="4" w:space="0" w:color="2296FB"/>
      </w:tblBorders>
    </w:tblPr>
    <w:tblStylePr w:type="firstRow">
      <w:rPr>
        <w:b/>
        <w:bCs/>
        <w:color w:val="FFFFFF"/>
      </w:rPr>
      <w:tblPr/>
      <w:tcPr>
        <w:tcBorders>
          <w:top w:val="single" w:sz="4" w:space="0" w:color="024987"/>
          <w:left w:val="single" w:sz="4" w:space="0" w:color="024987"/>
          <w:bottom w:val="single" w:sz="4" w:space="0" w:color="024987"/>
          <w:right w:val="single" w:sz="4" w:space="0" w:color="024987"/>
          <w:insideH w:val="nil"/>
          <w:insideV w:val="nil"/>
        </w:tcBorders>
        <w:shd w:val="clear" w:color="auto" w:fill="024987"/>
      </w:tcPr>
    </w:tblStylePr>
    <w:tblStylePr w:type="lastRow">
      <w:rPr>
        <w:b/>
        <w:bCs/>
      </w:rPr>
      <w:tblPr/>
      <w:tcPr>
        <w:tcBorders>
          <w:top w:val="double" w:sz="4" w:space="0" w:color="024987"/>
        </w:tcBorders>
      </w:tcPr>
    </w:tblStylePr>
    <w:tblStylePr w:type="firstCol">
      <w:rPr>
        <w:b/>
        <w:bCs/>
      </w:rPr>
    </w:tblStylePr>
    <w:tblStylePr w:type="lastCol">
      <w:rPr>
        <w:b/>
        <w:bCs/>
      </w:rPr>
    </w:tblStylePr>
    <w:tblStylePr w:type="band1Vert">
      <w:tblPr/>
      <w:tcPr>
        <w:shd w:val="clear" w:color="auto" w:fill="B5DCFE"/>
      </w:tcPr>
    </w:tblStylePr>
    <w:tblStylePr w:type="band1Horz">
      <w:tblPr/>
      <w:tcPr>
        <w:shd w:val="clear" w:color="auto" w:fill="B5DCFE"/>
      </w:tcPr>
    </w:tblStylePr>
  </w:style>
  <w:style w:type="character" w:customStyle="1" w:styleId="PBParagraphChar">
    <w:name w:val="PB Paragraph Char"/>
    <w:link w:val="PBParagraph"/>
    <w:rsid w:val="000C0562"/>
    <w:rPr>
      <w:color w:val="002060"/>
      <w:lang w:val="fr-FR"/>
    </w:rPr>
  </w:style>
  <w:style w:type="table" w:styleId="GridTable4-Accent4">
    <w:name w:val="Grid Table 4 Accent 4"/>
    <w:basedOn w:val="TableNormal"/>
    <w:uiPriority w:val="49"/>
    <w:rsid w:val="003F126E"/>
    <w:rPr>
      <w:color w:val="002060"/>
    </w:rPr>
    <w:tblPr>
      <w:tblStyleRowBandSize w:val="1"/>
      <w:tblStyleColBandSize w:val="1"/>
      <w:tblInd w:w="-31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blStylePr w:type="firstRow">
      <w:pPr>
        <w:jc w:val="center"/>
      </w:pPr>
      <w:rPr>
        <w:b/>
        <w:bCs/>
        <w:color w:val="ED8131"/>
      </w:rPr>
    </w:tblStylePr>
    <w:tblStylePr w:type="lastRow">
      <w:rPr>
        <w:b/>
        <w:bCs/>
      </w:rPr>
      <w:tblPr/>
      <w:tcPr>
        <w:tcBorders>
          <w:top w:val="double" w:sz="4" w:space="0" w:color="03295A"/>
        </w:tcBorders>
      </w:tcPr>
    </w:tblStylePr>
    <w:tblStylePr w:type="firstCol">
      <w:rPr>
        <w:b w:val="0"/>
        <w:bCs/>
      </w:rPr>
    </w:tblStylePr>
    <w:tblStylePr w:type="lastCol">
      <w:rPr>
        <w:b/>
        <w:bCs/>
      </w:rPr>
    </w:tblStylePr>
    <w:tblStylePr w:type="band1Vert">
      <w:tblPr/>
      <w:tcPr>
        <w:shd w:val="clear" w:color="auto" w:fill="AED0FC"/>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tblPr>
      <w:tblStyleRowBandSize w:val="1"/>
      <w:tblStyleColBandSize w:val="1"/>
      <w:tblBorders>
        <w:top w:val="single" w:sz="4" w:space="0" w:color="39ABFF"/>
        <w:left w:val="single" w:sz="4" w:space="0" w:color="39ABFF"/>
        <w:bottom w:val="single" w:sz="4" w:space="0" w:color="39ABFF"/>
        <w:right w:val="single" w:sz="4" w:space="0" w:color="39ABFF"/>
        <w:insideH w:val="single" w:sz="4" w:space="0" w:color="39ABFF"/>
        <w:insideV w:val="single" w:sz="4" w:space="0" w:color="39ABFF"/>
      </w:tblBorders>
    </w:tblPr>
    <w:tblStylePr w:type="firstRow">
      <w:rPr>
        <w:b/>
        <w:bCs/>
        <w:color w:val="FFFFFF"/>
      </w:rPr>
      <w:tblPr/>
      <w:tcPr>
        <w:tcBorders>
          <w:top w:val="single" w:sz="4" w:space="0" w:color="0069B4"/>
          <w:left w:val="single" w:sz="4" w:space="0" w:color="0069B4"/>
          <w:bottom w:val="single" w:sz="4" w:space="0" w:color="0069B4"/>
          <w:right w:val="single" w:sz="4" w:space="0" w:color="0069B4"/>
          <w:insideH w:val="nil"/>
          <w:insideV w:val="nil"/>
        </w:tcBorders>
        <w:shd w:val="clear" w:color="auto" w:fill="0069B4"/>
      </w:tcPr>
    </w:tblStylePr>
    <w:tblStylePr w:type="lastRow">
      <w:rPr>
        <w:b/>
        <w:bCs/>
      </w:rPr>
      <w:tblPr/>
      <w:tcPr>
        <w:tcBorders>
          <w:top w:val="double" w:sz="4" w:space="0" w:color="0069B4"/>
        </w:tcBorders>
      </w:tcPr>
    </w:tblStylePr>
    <w:tblStylePr w:type="firstCol">
      <w:rPr>
        <w:b/>
        <w:bCs/>
      </w:rPr>
    </w:tblStylePr>
    <w:tblStylePr w:type="lastCol">
      <w:rPr>
        <w:b/>
        <w:bCs/>
      </w:rPr>
    </w:tblStylePr>
    <w:tblStylePr w:type="band1Vert">
      <w:tblPr/>
      <w:tcPr>
        <w:shd w:val="clear" w:color="auto" w:fill="BDE3FF"/>
      </w:tcPr>
    </w:tblStylePr>
    <w:tblStylePr w:type="band1Horz">
      <w:tblPr/>
      <w:tcPr>
        <w:shd w:val="clear" w:color="auto" w:fill="BDE3FF"/>
      </w:tcPr>
    </w:tblStylePr>
  </w:style>
  <w:style w:type="table" w:styleId="GridTable4-Accent1">
    <w:name w:val="Grid Table 4 Accent 1"/>
    <w:basedOn w:val="TableNormal"/>
    <w:uiPriority w:val="49"/>
    <w:rsid w:val="008F0B2F"/>
    <w:tblPr>
      <w:tblStyleRowBandSize w:val="1"/>
      <w:tblStyleColBandSize w:val="1"/>
      <w:tblBorders>
        <w:top w:val="single" w:sz="4" w:space="0" w:color="4BC9FF"/>
        <w:left w:val="single" w:sz="4" w:space="0" w:color="4BC9FF"/>
        <w:bottom w:val="single" w:sz="4" w:space="0" w:color="4BC9FF"/>
        <w:right w:val="single" w:sz="4" w:space="0" w:color="4BC9FF"/>
        <w:insideH w:val="single" w:sz="4" w:space="0" w:color="4BC9FF"/>
        <w:insideV w:val="single" w:sz="4" w:space="0" w:color="4BC9FF"/>
      </w:tblBorders>
    </w:tblPr>
    <w:tblStylePr w:type="firstRow">
      <w:rPr>
        <w:b/>
        <w:bCs/>
        <w:color w:val="FFFFFF"/>
      </w:rPr>
      <w:tblPr/>
      <w:tcPr>
        <w:tcBorders>
          <w:top w:val="single" w:sz="4" w:space="0" w:color="0094D2"/>
          <w:left w:val="single" w:sz="4" w:space="0" w:color="0094D2"/>
          <w:bottom w:val="single" w:sz="4" w:space="0" w:color="0094D2"/>
          <w:right w:val="single" w:sz="4" w:space="0" w:color="0094D2"/>
          <w:insideH w:val="nil"/>
          <w:insideV w:val="nil"/>
        </w:tcBorders>
        <w:shd w:val="clear" w:color="auto" w:fill="0094D2"/>
      </w:tcPr>
    </w:tblStylePr>
    <w:tblStylePr w:type="lastRow">
      <w:rPr>
        <w:b/>
        <w:bCs/>
      </w:rPr>
      <w:tblPr/>
      <w:tcPr>
        <w:tcBorders>
          <w:top w:val="double" w:sz="4" w:space="0" w:color="0094D2"/>
        </w:tcBorders>
      </w:tcPr>
    </w:tblStylePr>
    <w:tblStylePr w:type="firstCol">
      <w:rPr>
        <w:b/>
        <w:bCs/>
      </w:rPr>
    </w:tblStylePr>
    <w:tblStylePr w:type="lastCol">
      <w:rPr>
        <w:b/>
        <w:bCs/>
      </w:rPr>
    </w:tblStylePr>
    <w:tblStylePr w:type="band1Vert">
      <w:tblPr/>
      <w:tcPr>
        <w:shd w:val="clear" w:color="auto" w:fill="C3EDFF"/>
      </w:tcPr>
    </w:tblStylePr>
    <w:tblStylePr w:type="band1Horz">
      <w:tblPr/>
      <w:tcPr>
        <w:shd w:val="clear" w:color="auto" w:fill="C3EDFF"/>
      </w:tcPr>
    </w:tblStylePr>
  </w:style>
  <w:style w:type="table" w:styleId="GridTable5Dark-Accent4">
    <w:name w:val="Grid Table 5 Dark Accent 4"/>
    <w:basedOn w:val="TableNormal"/>
    <w:uiPriority w:val="50"/>
    <w:rsid w:val="008F0B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ED0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329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329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329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3295A"/>
      </w:tcPr>
    </w:tblStylePr>
    <w:tblStylePr w:type="band1Vert">
      <w:tblPr/>
      <w:tcPr>
        <w:shd w:val="clear" w:color="auto" w:fill="5DA1F9"/>
      </w:tcPr>
    </w:tblStylePr>
    <w:tblStylePr w:type="band1Horz">
      <w:tblPr/>
      <w:tcPr>
        <w:shd w:val="clear" w:color="auto" w:fill="5DA1F9"/>
      </w:tcPr>
    </w:tblStylePr>
  </w:style>
  <w:style w:type="table" w:styleId="GridTable5Dark-Accent3">
    <w:name w:val="Grid Table 5 Dark Accent 3"/>
    <w:basedOn w:val="TableNormal"/>
    <w:uiPriority w:val="50"/>
    <w:rsid w:val="008F0B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5DCF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2498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2498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2498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24987"/>
      </w:tcPr>
    </w:tblStylePr>
    <w:tblStylePr w:type="band1Vert">
      <w:tblPr/>
      <w:tcPr>
        <w:shd w:val="clear" w:color="auto" w:fill="6BB9FC"/>
      </w:tcPr>
    </w:tblStylePr>
    <w:tblStylePr w:type="band1Horz">
      <w:tblPr/>
      <w:tcPr>
        <w:shd w:val="clear" w:color="auto" w:fill="6BB9FC"/>
      </w:tcPr>
    </w:tblStylePr>
  </w:style>
  <w:style w:type="table" w:styleId="GridTable5Dark-Accent2">
    <w:name w:val="Grid Table 5 Dark Accent 2"/>
    <w:basedOn w:val="TableNormal"/>
    <w:uiPriority w:val="50"/>
    <w:rsid w:val="008F0B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DE3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69B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69B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69B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69B4"/>
      </w:tcPr>
    </w:tblStylePr>
    <w:tblStylePr w:type="band1Vert">
      <w:tblPr/>
      <w:tcPr>
        <w:shd w:val="clear" w:color="auto" w:fill="7BC7FF"/>
      </w:tcPr>
    </w:tblStylePr>
    <w:tblStylePr w:type="band1Horz">
      <w:tblPr/>
      <w:tcPr>
        <w:shd w:val="clear" w:color="auto" w:fill="7BC7FF"/>
      </w:tcPr>
    </w:tblStylePr>
  </w:style>
  <w:style w:type="table" w:styleId="GridTable5Dark-Accent1">
    <w:name w:val="Grid Table 5 Dark Accent 1"/>
    <w:basedOn w:val="TableNormal"/>
    <w:uiPriority w:val="50"/>
    <w:rsid w:val="008F0B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4D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4D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4D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4D2"/>
      </w:tcPr>
    </w:tblStylePr>
    <w:tblStylePr w:type="band1Vert">
      <w:tblPr/>
      <w:tcPr>
        <w:shd w:val="clear" w:color="auto" w:fill="87DBFF"/>
      </w:tcPr>
    </w:tblStylePr>
    <w:tblStylePr w:type="band1Horz">
      <w:tblPr/>
      <w:tcPr>
        <w:shd w:val="clear" w:color="auto" w:fill="87DBFF"/>
      </w:tcPr>
    </w:tblStylePr>
  </w:style>
  <w:style w:type="character" w:styleId="UnresolvedMention">
    <w:name w:val="Unresolved Mention"/>
    <w:uiPriority w:val="99"/>
    <w:semiHidden/>
    <w:unhideWhenUsed/>
    <w:rsid w:val="00214A0D"/>
    <w:rPr>
      <w:color w:val="605E5C"/>
      <w:shd w:val="clear" w:color="auto" w:fill="E1DFDD"/>
    </w:rPr>
  </w:style>
  <w:style w:type="table" w:customStyle="1" w:styleId="Style1">
    <w:name w:val="Style1"/>
    <w:basedOn w:val="TableNormal"/>
    <w:uiPriority w:val="99"/>
    <w:rsid w:val="009378C5"/>
    <w:tblPr>
      <w:tblStyleRowBandSize w:val="1"/>
      <w:tblCellMar>
        <w:top w:w="57" w:type="dxa"/>
        <w:bottom w:w="57" w:type="dxa"/>
      </w:tblCellMar>
    </w:tblPr>
    <w:tcPr>
      <w:vAlign w:val="center"/>
    </w:tcPr>
    <w:tblStylePr w:type="firstRow">
      <w:pPr>
        <w:jc w:val="center"/>
      </w:pPr>
      <w:rPr>
        <w:b/>
        <w:color w:val="FFFFFF"/>
      </w:rPr>
      <w:tblPr/>
      <w:tcPr>
        <w:shd w:val="clear" w:color="auto" w:fill="0069B4"/>
      </w:tcPr>
    </w:tblStylePr>
    <w:tblStylePr w:type="band1Horz">
      <w:rPr>
        <w:color w:val="auto"/>
      </w:rPr>
      <w:tblPr/>
      <w:tcPr>
        <w:shd w:val="clear" w:color="auto" w:fill="BCD9FC"/>
      </w:tcPr>
    </w:tblStylePr>
    <w:tblStylePr w:type="band2Horz">
      <w:rPr>
        <w:color w:val="auto"/>
      </w:rPr>
      <w:tblPr/>
      <w:tcPr>
        <w:shd w:val="clear" w:color="auto" w:fill="D5E7FD"/>
      </w:tcPr>
    </w:tblStylePr>
  </w:style>
  <w:style w:type="table" w:customStyle="1" w:styleId="Style2">
    <w:name w:val="Style2"/>
    <w:basedOn w:val="TableNormal"/>
    <w:uiPriority w:val="99"/>
    <w:rsid w:val="00481201"/>
    <w:tblPr>
      <w:tblStyleRowBandSize w:val="1"/>
    </w:tblPr>
    <w:tblStylePr w:type="firstRow">
      <w:pPr>
        <w:jc w:val="center"/>
      </w:pPr>
      <w:rPr>
        <w:b/>
      </w:rPr>
      <w:tblPr/>
      <w:tcPr>
        <w:shd w:val="clear" w:color="auto" w:fill="024987"/>
        <w:vAlign w:val="center"/>
      </w:tcPr>
    </w:tblStylePr>
    <w:tblStylePr w:type="band1Horz">
      <w:tblPr/>
      <w:tcPr>
        <w:shd w:val="clear" w:color="auto" w:fill="D5E7FD"/>
      </w:tcPr>
    </w:tblStylePr>
    <w:tblStylePr w:type="band2Horz">
      <w:tblPr/>
      <w:tcPr>
        <w:shd w:val="clear" w:color="auto" w:fill="BCD9FC"/>
      </w:tcPr>
    </w:tblStylePr>
  </w:style>
  <w:style w:type="table" w:customStyle="1" w:styleId="Style3">
    <w:name w:val="Style3"/>
    <w:basedOn w:val="TableNormal"/>
    <w:uiPriority w:val="99"/>
    <w:rsid w:val="007763FA"/>
    <w:rPr>
      <w:color w:val="002060"/>
    </w:rPr>
    <w:tblPr>
      <w:tblStyleRow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blStylePr w:type="firstRow">
      <w:pPr>
        <w:jc w:val="center"/>
      </w:pPr>
      <w:rPr>
        <w:b/>
        <w:color w:val="C00000"/>
      </w:rPr>
      <w:tblPr/>
      <w:tcPr>
        <w:shd w:val="clear" w:color="auto" w:fill="D5E7FD"/>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rPr>
      <w:color w:val="002060"/>
    </w:rPr>
    <w:tblPr>
      <w:tblStyleRow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blStylePr w:type="firstRow">
      <w:pPr>
        <w:jc w:val="center"/>
      </w:pPr>
      <w:rPr>
        <w:b/>
        <w:color w:val="FFC000"/>
      </w:rPr>
      <w:tblPr/>
      <w:tcPr>
        <w:shd w:val="clear" w:color="auto" w:fill="D5E7FD"/>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spacing w:after="60"/>
      <w:jc w:val="center"/>
    </w:pPr>
    <w:rPr>
      <w:rFonts w:ascii="Franklin Gothic Medium" w:hAnsi="Franklin Gothic Medium"/>
      <w:bCs/>
      <w:sz w:val="32"/>
      <w:szCs w:val="32"/>
    </w:rPr>
  </w:style>
  <w:style w:type="character" w:customStyle="1" w:styleId="Heading5Char">
    <w:name w:val="Heading 5 Char"/>
    <w:link w:val="Heading5"/>
    <w:uiPriority w:val="9"/>
    <w:rsid w:val="00721CA5"/>
    <w:rPr>
      <w:rFonts w:ascii="Franklin Gothic Medium" w:eastAsia="MS Gothic" w:hAnsi="Franklin Gothic Medium" w:cs="Times New Roman"/>
      <w:color w:val="006E9D"/>
      <w:lang w:val="fr-FR"/>
    </w:rPr>
  </w:style>
  <w:style w:type="character" w:customStyle="1" w:styleId="PBFSHeadingChar">
    <w:name w:val="PB FS Heading Char"/>
    <w:link w:val="PBFSHeading"/>
    <w:rsid w:val="00C33695"/>
    <w:rPr>
      <w:rFonts w:ascii="Franklin Gothic Medium" w:hAnsi="Franklin Gothic Medium"/>
      <w:bCs/>
      <w:color w:val="002060"/>
      <w:sz w:val="32"/>
      <w:szCs w:val="32"/>
      <w:shd w:val="clear" w:color="auto" w:fill="D5E7FD"/>
      <w:lang w:val="fr-FR"/>
    </w:rPr>
  </w:style>
  <w:style w:type="paragraph" w:customStyle="1" w:styleId="PBFSTitle">
    <w:name w:val="PB FS Title"/>
    <w:basedOn w:val="Heading1"/>
    <w:link w:val="PBFSTitleChar"/>
    <w:qFormat/>
    <w:rsid w:val="00C33695"/>
    <w:pPr>
      <w:numPr>
        <w:numId w:val="0"/>
      </w:numPr>
      <w:shd w:val="clear" w:color="auto" w:fill="D5E7FD"/>
      <w:spacing w:before="0" w:after="60"/>
      <w:jc w:val="center"/>
      <w:outlineLvl w:val="2"/>
    </w:pPr>
    <w:rPr>
      <w:color w:val="002060"/>
      <w:sz w:val="32"/>
    </w:rPr>
  </w:style>
  <w:style w:type="table" w:styleId="GridTable4-Accent5">
    <w:name w:val="Grid Table 4 Accent 5"/>
    <w:basedOn w:val="TableNormal"/>
    <w:uiPriority w:val="49"/>
    <w:rsid w:val="00EE27A3"/>
    <w:tblPr>
      <w:tblStyleRowBandSize w:val="1"/>
      <w:tblStyleColBandSize w:val="1"/>
      <w:tblBorders>
        <w:top w:val="single" w:sz="4" w:space="0" w:color="92B28A"/>
        <w:left w:val="single" w:sz="4" w:space="0" w:color="92B28A"/>
        <w:bottom w:val="single" w:sz="4" w:space="0" w:color="92B28A"/>
        <w:right w:val="single" w:sz="4" w:space="0" w:color="92B28A"/>
        <w:insideH w:val="single" w:sz="4" w:space="0" w:color="92B28A"/>
        <w:insideV w:val="single" w:sz="4" w:space="0" w:color="92B28A"/>
      </w:tblBorders>
    </w:tblPr>
    <w:tblStylePr w:type="firstRow">
      <w:rPr>
        <w:b/>
        <w:bCs/>
        <w:color w:val="FFFFFF"/>
      </w:rPr>
      <w:tblPr/>
      <w:tcPr>
        <w:tcBorders>
          <w:top w:val="single" w:sz="4" w:space="0" w:color="53714B"/>
          <w:left w:val="single" w:sz="4" w:space="0" w:color="53714B"/>
          <w:bottom w:val="single" w:sz="4" w:space="0" w:color="53714B"/>
          <w:right w:val="single" w:sz="4" w:space="0" w:color="53714B"/>
          <w:insideH w:val="nil"/>
          <w:insideV w:val="nil"/>
        </w:tcBorders>
        <w:shd w:val="clear" w:color="auto" w:fill="53714B"/>
      </w:tcPr>
    </w:tblStylePr>
    <w:tblStylePr w:type="lastRow">
      <w:rPr>
        <w:b/>
        <w:bCs/>
      </w:rPr>
      <w:tblPr/>
      <w:tcPr>
        <w:tcBorders>
          <w:top w:val="double" w:sz="4" w:space="0" w:color="53714B"/>
        </w:tcBorders>
      </w:tcPr>
    </w:tblStylePr>
    <w:tblStylePr w:type="firstCol">
      <w:rPr>
        <w:b/>
        <w:bCs/>
      </w:rPr>
    </w:tblStylePr>
    <w:tblStylePr w:type="lastCol">
      <w:rPr>
        <w:b/>
        <w:bCs/>
      </w:rPr>
    </w:tblStylePr>
    <w:tblStylePr w:type="band1Vert">
      <w:tblPr/>
      <w:tcPr>
        <w:shd w:val="clear" w:color="auto" w:fill="DAE5D8"/>
      </w:tcPr>
    </w:tblStylePr>
    <w:tblStylePr w:type="band1Horz">
      <w:tblPr/>
      <w:tcPr>
        <w:shd w:val="clear" w:color="auto" w:fill="DAE5D8"/>
      </w:tcPr>
    </w:tblStylePr>
  </w:style>
  <w:style w:type="character" w:customStyle="1" w:styleId="PBFSTitleChar">
    <w:name w:val="PB FS Title Char"/>
    <w:link w:val="PBFSTitle"/>
    <w:rsid w:val="00C33695"/>
    <w:rPr>
      <w:rFonts w:ascii="Franklin Gothic Medium" w:eastAsia="MS Gothic" w:hAnsi="Franklin Gothic Medium" w:cs="Times New Roman"/>
      <w:bCs/>
      <w:color w:val="002060"/>
      <w:sz w:val="32"/>
      <w:szCs w:val="28"/>
      <w:shd w:val="clear" w:color="auto" w:fill="D5E7FD"/>
      <w:lang w:val="fr-FR"/>
    </w:rPr>
  </w:style>
  <w:style w:type="table" w:styleId="GridTable4-Accent6">
    <w:name w:val="Grid Table 4 Accent 6"/>
    <w:basedOn w:val="TableNormal"/>
    <w:uiPriority w:val="49"/>
    <w:rsid w:val="003F126E"/>
    <w:rPr>
      <w:color w:val="002060"/>
    </w:rPr>
    <w:tblPr>
      <w:tblStyleRowBandSize w:val="1"/>
      <w:tblStyleColBandSize w:val="1"/>
      <w:tblInd w:w="-31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blStylePr w:type="firstRow">
      <w:pPr>
        <w:jc w:val="center"/>
      </w:pPr>
      <w:rPr>
        <w:b/>
        <w:bCs/>
        <w:color w:val="C00000"/>
      </w:rPr>
    </w:tblStylePr>
    <w:tblStylePr w:type="lastRow">
      <w:rPr>
        <w:b/>
        <w:bCs/>
      </w:rPr>
      <w:tblPr/>
      <w:tcPr>
        <w:tcBorders>
          <w:top w:val="double" w:sz="4" w:space="0" w:color="A2B93B"/>
        </w:tcBorders>
      </w:tcPr>
    </w:tblStylePr>
    <w:tblStylePr w:type="firstCol">
      <w:rPr>
        <w:b w:val="0"/>
        <w:bCs/>
      </w:rPr>
    </w:tblStylePr>
    <w:tblStylePr w:type="lastCol">
      <w:rPr>
        <w:b/>
        <w:bCs/>
      </w:rPr>
    </w:tblStylePr>
    <w:tblStylePr w:type="band1Vert">
      <w:tblPr/>
      <w:tcPr>
        <w:shd w:val="clear" w:color="auto" w:fill="EDF2D6"/>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link w:val="PBFSline"/>
    <w:rsid w:val="00FE7CC1"/>
    <w:rPr>
      <w:color w:val="002060"/>
      <w:sz w:val="20"/>
      <w:lang w:val="fr-FR"/>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link w:val="PBFSNumber"/>
    <w:rsid w:val="00FE7CC1"/>
    <w:rPr>
      <w:bCs/>
      <w:color w:val="002060"/>
      <w:sz w:val="20"/>
      <w:lang w:val="fr-FR"/>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link w:val="PBFSseealso"/>
    <w:rsid w:val="00F24137"/>
    <w:rPr>
      <w:color w:val="002060"/>
      <w:sz w:val="20"/>
      <w:lang w:val="fr-FR"/>
    </w:rPr>
  </w:style>
  <w:style w:type="character" w:customStyle="1" w:styleId="EndnoteTextChar">
    <w:name w:val="Endnote Text Char"/>
    <w:link w:val="EndnoteText"/>
    <w:uiPriority w:val="99"/>
    <w:rsid w:val="000D78A1"/>
    <w:rPr>
      <w:sz w:val="20"/>
      <w:szCs w:val="20"/>
      <w:lang w:val="fr-FR"/>
    </w:rPr>
  </w:style>
  <w:style w:type="character" w:styleId="EndnoteReference">
    <w:name w:val="endnote reference"/>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link w:val="PBFSAddinfo"/>
    <w:rsid w:val="002A66ED"/>
    <w:rPr>
      <w:rFonts w:ascii="Franklin Gothic Medium" w:hAnsi="Franklin Gothic Medium"/>
      <w:b w:val="0"/>
      <w:bCs/>
      <w:color w:val="0070C0"/>
      <w:sz w:val="32"/>
      <w:szCs w:val="32"/>
      <w:shd w:val="clear" w:color="auto" w:fill="D5E7FD"/>
      <w:lang w:val="fr-FR"/>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link w:val="PBFSindentline"/>
    <w:rsid w:val="00C23C7E"/>
    <w:rPr>
      <w:color w:val="002060"/>
      <w:sz w:val="20"/>
      <w:lang w:val="fr-FR"/>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link w:val="PBendnote"/>
    <w:rsid w:val="00FD2DD6"/>
    <w:rPr>
      <w:color w:val="002060"/>
      <w:sz w:val="20"/>
      <w:szCs w:val="20"/>
      <w:lang w:val="fr-FR"/>
    </w:rPr>
  </w:style>
  <w:style w:type="paragraph" w:customStyle="1" w:styleId="FStable0">
    <w:name w:val="FS table"/>
    <w:basedOn w:val="Normal"/>
    <w:link w:val="FStableChar"/>
    <w:qFormat/>
    <w:rsid w:val="00DA7853"/>
    <w:pPr>
      <w:spacing w:after="0" w:line="240" w:lineRule="auto"/>
    </w:pPr>
    <w:rPr>
      <w:rFonts w:eastAsia="Batang" w:cs="Franklin Gothic Book"/>
      <w:color w:val="002060"/>
      <w:sz w:val="20"/>
      <w:szCs w:val="19"/>
    </w:rPr>
  </w:style>
  <w:style w:type="character" w:customStyle="1" w:styleId="FStableChar">
    <w:name w:val="FS table Char"/>
    <w:link w:val="FStable0"/>
    <w:rsid w:val="00DA7853"/>
    <w:rPr>
      <w:rFonts w:eastAsia="Batang" w:cs="Franklin Gothic Book"/>
      <w:color w:val="002060"/>
      <w:sz w:val="20"/>
      <w:szCs w:val="19"/>
      <w:lang w:val="fr-FR"/>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link w:val="FStable-"/>
    <w:rsid w:val="00575CF0"/>
    <w:rPr>
      <w:rFonts w:ascii="Calibri" w:eastAsia="Batang" w:hAnsi="Calibri" w:cs="Franklin Gothic Book"/>
      <w:color w:val="002060"/>
      <w:sz w:val="20"/>
      <w:szCs w:val="19"/>
      <w:lang w:val="fr-FR"/>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uiPriority w:val="99"/>
    <w:semiHidden/>
    <w:unhideWhenUsed/>
    <w:rsid w:val="00575CF0"/>
    <w:rPr>
      <w:color w:val="605E5C"/>
      <w:shd w:val="clear" w:color="auto" w:fill="E1DFDD"/>
    </w:rPr>
  </w:style>
  <w:style w:type="paragraph" w:styleId="Revision">
    <w:name w:val="Revision"/>
    <w:hidden/>
    <w:uiPriority w:val="99"/>
    <w:semiHidden/>
    <w:rsid w:val="001E0521"/>
    <w:rPr>
      <w:sz w:val="22"/>
      <w:szCs w:val="22"/>
      <w:lang w:eastAsia="en-US"/>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rsid w:val="00F5552E"/>
    <w:rPr>
      <w:color w:val="53714B"/>
    </w:rPr>
  </w:style>
  <w:style w:type="character" w:customStyle="1" w:styleId="PBfootnoteChar">
    <w:name w:val="PB footnote Char"/>
    <w:link w:val="PBfootnote"/>
    <w:rsid w:val="003E3C9E"/>
    <w:rPr>
      <w:color w:val="002060"/>
      <w:sz w:val="18"/>
      <w:szCs w:val="18"/>
      <w:lang w:val="fr-FR"/>
    </w:rPr>
  </w:style>
  <w:style w:type="paragraph" w:customStyle="1" w:styleId="Style5">
    <w:name w:val="Style5"/>
    <w:basedOn w:val="Title"/>
    <w:link w:val="Style5Char"/>
    <w:qFormat/>
    <w:rsid w:val="001563A9"/>
  </w:style>
  <w:style w:type="character" w:customStyle="1" w:styleId="Style5Char">
    <w:name w:val="Style5 Char"/>
    <w:link w:val="Style5"/>
    <w:rsid w:val="007536C0"/>
    <w:rPr>
      <w:rFonts w:ascii="Franklin Gothic Medium" w:eastAsia="MS Gothic" w:hAnsi="Franklin Gothic Medium" w:cs="Times New Roman"/>
      <w:b/>
      <w:color w:val="03295A"/>
      <w:spacing w:val="10"/>
      <w:kern w:val="28"/>
      <w:sz w:val="32"/>
      <w:szCs w:val="56"/>
      <w:lang w:val="fr-FR"/>
    </w:rPr>
  </w:style>
  <w:style w:type="character" w:customStyle="1" w:styleId="Heading6Char">
    <w:name w:val="Heading 6 Char"/>
    <w:link w:val="Heading6"/>
    <w:uiPriority w:val="9"/>
    <w:rsid w:val="0044320F"/>
    <w:rPr>
      <w:rFonts w:ascii="Franklin Gothic Medium" w:eastAsia="MS Gothic" w:hAnsi="Franklin Gothic Medium" w:cs="Times New Roman"/>
      <w:color w:val="004968"/>
      <w:lang w:val="fr-FR"/>
    </w:rPr>
  </w:style>
  <w:style w:type="character" w:styleId="FollowedHyperlink">
    <w:name w:val="FollowedHyperlink"/>
    <w:uiPriority w:val="99"/>
    <w:semiHidden/>
    <w:unhideWhenUsed/>
    <w:rsid w:val="00D62BE3"/>
    <w:rPr>
      <w:color w:val="53714B"/>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link w:val="PBheadingi"/>
    <w:rsid w:val="00100892"/>
    <w:rPr>
      <w:i/>
      <w:iCs/>
      <w:color w:val="37C6FF"/>
      <w:lang w:val="fr-FR"/>
    </w:rPr>
  </w:style>
  <w:style w:type="paragraph" w:customStyle="1" w:styleId="PBFootnote0">
    <w:name w:val="PBFootnote"/>
    <w:basedOn w:val="FootnoteText"/>
    <w:link w:val="PBFootnoteChar0"/>
    <w:qFormat/>
    <w:rsid w:val="003667D6"/>
    <w:rPr>
      <w:rFonts w:ascii="Calibri" w:eastAsia="SimSun" w:hAnsi="Calibri"/>
      <w:color w:val="002060"/>
      <w:szCs w:val="15"/>
    </w:rPr>
  </w:style>
  <w:style w:type="character" w:customStyle="1" w:styleId="PBFootnoteChar0">
    <w:name w:val="PBFootnote Char"/>
    <w:link w:val="PBFootnote0"/>
    <w:rsid w:val="00F41046"/>
    <w:rPr>
      <w:rFonts w:ascii="Calibri" w:eastAsia="SimSun" w:hAnsi="Calibri" w:cs="Times New Roman"/>
      <w:color w:val="002060"/>
      <w:sz w:val="18"/>
      <w:szCs w:val="15"/>
      <w:lang w:val="fr-FR"/>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link w:val="PBPara2"/>
    <w:rsid w:val="00A71D17"/>
    <w:rPr>
      <w:color w:val="002060"/>
      <w:lang w:val="fr-FR"/>
    </w:rPr>
  </w:style>
  <w:style w:type="character" w:customStyle="1" w:styleId="PBPara3Char">
    <w:name w:val="PB Para3 Char"/>
    <w:link w:val="PBPara3"/>
    <w:rsid w:val="00711921"/>
    <w:rPr>
      <w:color w:val="00206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84b07556-a777-4393-b4b3-0a034c098f91.pdf"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3525ac16-22ec-4588-a38f-2252283d8c0a.pdf"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efc2597e-3bf5-4645-bc33-66189992901a.pdf"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799914e0-b2c2-49c6-a7a3-711f39c3461a.pdf" TargetMode="Externa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Capucine Page</DisplayName>
        <AccountId>52</AccountId>
        <AccountType/>
      </UserInfo>
      <UserInfo>
        <DisplayName>Laura Martinez-Mora</DisplayName>
        <AccountId>53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C51C6362-8C9E-4F19-900C-507C9A3FB52A}">
  <ds:schemaRefs>
    <ds:schemaRef ds:uri="http://schemas.openxmlformats.org/package/2006/metadata/core-properties"/>
    <ds:schemaRef ds:uri="http://schemas.microsoft.com/office/2006/documentManagement/types"/>
    <ds:schemaRef ds:uri="http://schemas.microsoft.com/office/infopath/2007/PartnerControls"/>
    <ds:schemaRef ds:uri="bd0217c9-950a-4e41-bf50-cb4941fbe92a"/>
    <ds:schemaRef ds:uri="http://purl.org/dc/elements/1.1/"/>
    <ds:schemaRef ds:uri="http://schemas.microsoft.com/office/2006/metadata/properties"/>
    <ds:schemaRef ds:uri="6652c5c8-06da-49d8-9279-6cb6c545cc53"/>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4.xml><?xml version="1.0" encoding="utf-8"?>
<ds:datastoreItem xmlns:ds="http://schemas.openxmlformats.org/officeDocument/2006/customXml" ds:itemID="{EEF2FB63-F014-4C94-8575-212C92C6B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2223</Words>
  <Characters>12386</Characters>
  <Application>Microsoft Office Word</Application>
  <DocSecurity>0</DocSecurity>
  <Lines>213</Lines>
  <Paragraphs>85</Paragraphs>
  <ScaleCrop>false</ScaleCrop>
  <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V – GUIDELINES ON ENHANCING COOPERATION AND COORDINATION</dc:title>
  <dc:subject/>
  <dc:creator>Nicole Sims</dc:creator>
  <cp:keywords/>
  <dc:description/>
  <cp:lastModifiedBy>Stuart Hawkins</cp:lastModifiedBy>
  <cp:revision>2</cp:revision>
  <cp:lastPrinted>2022-01-24T16:31:00Z</cp:lastPrinted>
  <dcterms:created xsi:type="dcterms:W3CDTF">2022-06-14T08:26:00Z</dcterms:created>
  <dcterms:modified xsi:type="dcterms:W3CDTF">2022-06-14T08:26:00Z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