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25F5" w14:textId="647F0802" w:rsidR="004B40EF" w:rsidRDefault="004B40EF"/>
    <w:tbl>
      <w:tblPr>
        <w:tblStyle w:val="TableGrid"/>
        <w:tblW w:w="5000" w:type="pct"/>
        <w:tblBorders>
          <w:top w:val="single" w:sz="4" w:space="0" w:color="A2B93B" w:themeColor="accent6"/>
          <w:left w:val="single" w:sz="4" w:space="0" w:color="A2B93B" w:themeColor="accent6"/>
          <w:bottom w:val="single" w:sz="4" w:space="0" w:color="A2B93B" w:themeColor="accent6"/>
          <w:right w:val="single" w:sz="4" w:space="0" w:color="A2B93B" w:themeColor="accent6"/>
          <w:insideH w:val="single" w:sz="4" w:space="0" w:color="A2B93B" w:themeColor="accent6"/>
          <w:insideV w:val="single" w:sz="4" w:space="0" w:color="A2B93B" w:themeColor="accent6"/>
        </w:tblBorders>
        <w:tblCellMar>
          <w:top w:w="142" w:type="dxa"/>
          <w:left w:w="142" w:type="dxa"/>
          <w:bottom w:w="142" w:type="dxa"/>
          <w:right w:w="142" w:type="dxa"/>
        </w:tblCellMar>
        <w:tblLook w:val="0480" w:firstRow="0" w:lastRow="0" w:firstColumn="1" w:lastColumn="0" w:noHBand="0" w:noVBand="1"/>
      </w:tblPr>
      <w:tblGrid>
        <w:gridCol w:w="2122"/>
        <w:gridCol w:w="6894"/>
      </w:tblGrid>
      <w:tr w:rsidR="003254EC" w:rsidRPr="002E65D8" w14:paraId="6D7D68AB" w14:textId="77777777" w:rsidTr="00BB556B">
        <w:trPr>
          <w:trHeight w:val="265"/>
        </w:trPr>
        <w:tc>
          <w:tcPr>
            <w:tcW w:w="1177" w:type="pct"/>
            <w:vAlign w:val="center"/>
          </w:tcPr>
          <w:p w14:paraId="141A3F99" w14:textId="63E1CB2B" w:rsidR="003254EC" w:rsidRPr="002E65D8" w:rsidRDefault="003254EC" w:rsidP="009C5F7B">
            <w:pPr>
              <w:ind w:left="1440" w:hanging="1440"/>
              <w:jc w:val="center"/>
              <w:rPr>
                <w:rFonts w:ascii="Raleway" w:hAnsi="Raleway" w:cstheme="majorBidi"/>
                <w:color w:val="024987" w:themeColor="accent3"/>
                <w:sz w:val="20"/>
                <w:szCs w:val="20"/>
              </w:rPr>
            </w:pPr>
            <w:r>
              <w:rPr>
                <w:rFonts w:ascii="Raleway" w:hAnsi="Raleway"/>
                <w:color w:val="024987" w:themeColor="accent3"/>
                <w:sz w:val="20"/>
              </w:rPr>
              <w:t>T</w:t>
            </w:r>
            <w:bookmarkStart w:id="0" w:name="_Ref210733495"/>
            <w:bookmarkEnd w:id="0"/>
            <w:r>
              <w:rPr>
                <w:rFonts w:ascii="Raleway" w:hAnsi="Raleway"/>
                <w:color w:val="024987" w:themeColor="accent3"/>
                <w:sz w:val="20"/>
              </w:rPr>
              <w:t>itre</w:t>
            </w:r>
          </w:p>
        </w:tc>
        <w:tc>
          <w:tcPr>
            <w:tcW w:w="3823" w:type="pct"/>
            <w:vAlign w:val="center"/>
          </w:tcPr>
          <w:p w14:paraId="4E06948B" w14:textId="4B56ED62" w:rsidR="003254EC" w:rsidRPr="002E65D8" w:rsidRDefault="00BD49F1" w:rsidP="0C5E7B4A">
            <w:pPr>
              <w:jc w:val="both"/>
              <w:rPr>
                <w:rFonts w:ascii="Raleway" w:hAnsi="Raleway"/>
                <w:b/>
                <w:bCs/>
                <w:sz w:val="20"/>
                <w:szCs w:val="20"/>
              </w:rPr>
            </w:pPr>
            <w:r w:rsidRPr="006174E0">
              <w:rPr>
                <w:rFonts w:ascii="Raleway" w:hAnsi="Raleway"/>
                <w:b/>
                <w:sz w:val="20"/>
              </w:rPr>
              <w:t>Note sur les aspects financiers de l</w:t>
            </w:r>
            <w:r w:rsidR="00715ACD" w:rsidRPr="006174E0">
              <w:rPr>
                <w:rFonts w:ascii="Raleway" w:hAnsi="Raleway"/>
                <w:b/>
                <w:sz w:val="20"/>
              </w:rPr>
              <w:t>’</w:t>
            </w:r>
            <w:r w:rsidRPr="006174E0">
              <w:rPr>
                <w:rFonts w:ascii="Raleway" w:hAnsi="Raleway"/>
                <w:b/>
                <w:sz w:val="20"/>
              </w:rPr>
              <w:t>adoption internationale</w:t>
            </w:r>
            <w:r>
              <w:rPr>
                <w:rFonts w:ascii="Raleway" w:hAnsi="Raleway"/>
                <w:b/>
                <w:sz w:val="20"/>
              </w:rPr>
              <w:t xml:space="preserve"> </w:t>
            </w:r>
          </w:p>
        </w:tc>
      </w:tr>
      <w:tr w:rsidR="003254EC" w:rsidRPr="002E65D8" w14:paraId="16641D12" w14:textId="77777777" w:rsidTr="00BB556B">
        <w:trPr>
          <w:trHeight w:val="272"/>
        </w:trPr>
        <w:tc>
          <w:tcPr>
            <w:tcW w:w="1177" w:type="pct"/>
            <w:vAlign w:val="center"/>
          </w:tcPr>
          <w:p w14:paraId="7F254F98"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Document</w:t>
            </w:r>
          </w:p>
        </w:tc>
        <w:tc>
          <w:tcPr>
            <w:tcW w:w="3823" w:type="pct"/>
            <w:vAlign w:val="center"/>
          </w:tcPr>
          <w:p w14:paraId="556B7493" w14:textId="590B25B0" w:rsidR="003254EC" w:rsidRPr="009240F4" w:rsidRDefault="00693752" w:rsidP="00273F23">
            <w:pPr>
              <w:rPr>
                <w:rFonts w:ascii="Raleway" w:hAnsi="Raleway"/>
                <w:bCs/>
                <w:sz w:val="20"/>
                <w:szCs w:val="20"/>
              </w:rPr>
            </w:pPr>
            <w:r>
              <w:rPr>
                <w:rFonts w:ascii="Raleway" w:hAnsi="Raleway"/>
                <w:bCs/>
                <w:sz w:val="20"/>
              </w:rPr>
              <w:t>S</w:t>
            </w:r>
            <w:r w:rsidR="003254EC" w:rsidRPr="00693752">
              <w:rPr>
                <w:rFonts w:ascii="Raleway" w:hAnsi="Raleway"/>
                <w:bCs/>
                <w:sz w:val="20"/>
              </w:rPr>
              <w:t>ans objet</w:t>
            </w:r>
          </w:p>
        </w:tc>
      </w:tr>
      <w:tr w:rsidR="003254EC" w:rsidRPr="002E65D8" w14:paraId="3D1F664B" w14:textId="77777777" w:rsidTr="00BB556B">
        <w:trPr>
          <w:trHeight w:val="266"/>
        </w:trPr>
        <w:tc>
          <w:tcPr>
            <w:tcW w:w="1177" w:type="pct"/>
            <w:vAlign w:val="center"/>
          </w:tcPr>
          <w:p w14:paraId="19BC0413"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Auteur</w:t>
            </w:r>
          </w:p>
        </w:tc>
        <w:tc>
          <w:tcPr>
            <w:tcW w:w="3823" w:type="pct"/>
            <w:vAlign w:val="center"/>
          </w:tcPr>
          <w:p w14:paraId="5CF4F9C8" w14:textId="327C916A" w:rsidR="003254EC" w:rsidRPr="002E65D8" w:rsidRDefault="003254EC" w:rsidP="0049484B">
            <w:pPr>
              <w:jc w:val="both"/>
              <w:rPr>
                <w:rFonts w:ascii="Raleway" w:hAnsi="Raleway"/>
                <w:color w:val="808080" w:themeColor="background1" w:themeShade="80"/>
                <w:sz w:val="20"/>
                <w:szCs w:val="20"/>
              </w:rPr>
            </w:pPr>
            <w:r>
              <w:rPr>
                <w:rFonts w:ascii="Raleway" w:hAnsi="Raleway"/>
                <w:sz w:val="20"/>
              </w:rPr>
              <w:t>Groupe de travail sur les aspects financiers de l</w:t>
            </w:r>
            <w:r w:rsidR="00715ACD">
              <w:rPr>
                <w:rFonts w:ascii="Raleway" w:hAnsi="Raleway"/>
                <w:sz w:val="20"/>
              </w:rPr>
              <w:t>’</w:t>
            </w:r>
            <w:r>
              <w:rPr>
                <w:rFonts w:ascii="Raleway" w:hAnsi="Raleway"/>
                <w:sz w:val="20"/>
              </w:rPr>
              <w:t>adoption internationale et Bureau Permanent</w:t>
            </w:r>
          </w:p>
        </w:tc>
      </w:tr>
      <w:tr w:rsidR="003254EC" w:rsidRPr="002E65D8" w14:paraId="24D69C6B" w14:textId="77777777" w:rsidTr="00BB556B">
        <w:trPr>
          <w:trHeight w:val="79"/>
        </w:trPr>
        <w:tc>
          <w:tcPr>
            <w:tcW w:w="1177" w:type="pct"/>
            <w:vAlign w:val="center"/>
          </w:tcPr>
          <w:p w14:paraId="78A40FA7" w14:textId="7E033E6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Point de l</w:t>
            </w:r>
            <w:r w:rsidR="00715ACD">
              <w:rPr>
                <w:rFonts w:ascii="Raleway" w:hAnsi="Raleway"/>
                <w:color w:val="024987" w:themeColor="accent3"/>
                <w:sz w:val="20"/>
              </w:rPr>
              <w:t>’</w:t>
            </w:r>
            <w:r>
              <w:rPr>
                <w:rFonts w:ascii="Raleway" w:hAnsi="Raleway"/>
                <w:color w:val="024987" w:themeColor="accent3"/>
                <w:sz w:val="20"/>
              </w:rPr>
              <w:t>ordre du jour</w:t>
            </w:r>
          </w:p>
        </w:tc>
        <w:tc>
          <w:tcPr>
            <w:tcW w:w="3823" w:type="pct"/>
            <w:vAlign w:val="center"/>
          </w:tcPr>
          <w:p w14:paraId="48F973A7" w14:textId="621E3690" w:rsidR="003254EC" w:rsidRPr="002E65D8" w:rsidRDefault="00693752" w:rsidP="00273F23">
            <w:pPr>
              <w:rPr>
                <w:rFonts w:ascii="Raleway" w:hAnsi="Raleway"/>
                <w:sz w:val="20"/>
                <w:szCs w:val="20"/>
              </w:rPr>
            </w:pPr>
            <w:r>
              <w:rPr>
                <w:rFonts w:ascii="Raleway" w:hAnsi="Raleway"/>
                <w:sz w:val="20"/>
              </w:rPr>
              <w:t>S</w:t>
            </w:r>
            <w:r w:rsidR="003254EC">
              <w:rPr>
                <w:rFonts w:ascii="Raleway" w:hAnsi="Raleway"/>
                <w:sz w:val="20"/>
              </w:rPr>
              <w:t>ans objet</w:t>
            </w:r>
          </w:p>
        </w:tc>
      </w:tr>
      <w:tr w:rsidR="003254EC" w:rsidRPr="002E65D8" w14:paraId="0143B322" w14:textId="77777777" w:rsidTr="00BB556B">
        <w:trPr>
          <w:trHeight w:val="235"/>
        </w:trPr>
        <w:tc>
          <w:tcPr>
            <w:tcW w:w="1177" w:type="pct"/>
            <w:vAlign w:val="center"/>
          </w:tcPr>
          <w:p w14:paraId="583B8B0A"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Mandat</w:t>
            </w:r>
          </w:p>
        </w:tc>
        <w:sdt>
          <w:sdtPr>
            <w:rPr>
              <w:rFonts w:ascii="Raleway" w:hAnsi="Raleway"/>
              <w:sz w:val="20"/>
              <w:szCs w:val="20"/>
            </w:rPr>
            <w:alias w:val="Mandat"/>
            <w:tag w:val="Mandate"/>
            <w:id w:val="-530192955"/>
            <w:placeholder>
              <w:docPart w:val="66D3F1AEBCF945C7BB440E10792FD251"/>
            </w:placeholder>
          </w:sdtPr>
          <w:sdtContent>
            <w:tc>
              <w:tcPr>
                <w:tcW w:w="3823" w:type="pct"/>
                <w:vAlign w:val="center"/>
              </w:tcPr>
              <w:p w14:paraId="7F51D41F" w14:textId="77A1FC14" w:rsidR="003254EC" w:rsidRPr="002E65D8" w:rsidRDefault="003254EC" w:rsidP="00E26507">
                <w:pPr>
                  <w:rPr>
                    <w:rFonts w:ascii="Raleway" w:hAnsi="Raleway"/>
                    <w:i/>
                    <w:color w:val="808080"/>
                    <w:sz w:val="20"/>
                    <w:szCs w:val="20"/>
                  </w:rPr>
                </w:pPr>
                <w:r>
                  <w:rPr>
                    <w:rFonts w:ascii="Raleway" w:hAnsi="Raleway"/>
                    <w:sz w:val="20"/>
                  </w:rPr>
                  <w:t>C&amp;</w:t>
                </w:r>
                <w:r w:rsidR="00E26507">
                  <w:rPr>
                    <w:rFonts w:ascii="Raleway" w:hAnsi="Raleway"/>
                    <w:sz w:val="20"/>
                  </w:rPr>
                  <w:t>D</w:t>
                </w:r>
                <w:r>
                  <w:rPr>
                    <w:rFonts w:ascii="Raleway" w:hAnsi="Raleway"/>
                    <w:sz w:val="20"/>
                  </w:rPr>
                  <w:t xml:space="preserve"> No 33 du CAGP de 2026</w:t>
                </w:r>
              </w:p>
            </w:tc>
          </w:sdtContent>
        </w:sdt>
      </w:tr>
      <w:tr w:rsidR="003254EC" w:rsidRPr="002E65D8" w14:paraId="236DF896" w14:textId="77777777" w:rsidTr="00BB556B">
        <w:trPr>
          <w:trHeight w:val="5680"/>
        </w:trPr>
        <w:tc>
          <w:tcPr>
            <w:tcW w:w="1177" w:type="pct"/>
            <w:vAlign w:val="center"/>
          </w:tcPr>
          <w:p w14:paraId="1D3BDB39"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Objectif</w:t>
            </w:r>
          </w:p>
        </w:tc>
        <w:sdt>
          <w:sdtPr>
            <w:rPr>
              <w:szCs w:val="20"/>
            </w:rPr>
            <w:alias w:val="Objectif"/>
            <w:tag w:val="Objective"/>
            <w:id w:val="-1061101336"/>
            <w:placeholder>
              <w:docPart w:val="769239FEEFAA4B178E225B13633C3396"/>
            </w:placeholder>
          </w:sdtPr>
          <w:sdtEndPr>
            <w:rPr>
              <w:szCs w:val="22"/>
            </w:rPr>
          </w:sdtEndPr>
          <w:sdtContent>
            <w:tc>
              <w:tcPr>
                <w:tcW w:w="3823" w:type="pct"/>
                <w:vAlign w:val="center"/>
              </w:tcPr>
              <w:sdt>
                <w:sdtPr>
                  <w:rPr>
                    <w:szCs w:val="20"/>
                  </w:rPr>
                  <w:alias w:val="Mandat"/>
                  <w:tag w:val="Mandate"/>
                  <w:id w:val="925462872"/>
                  <w:placeholder>
                    <w:docPart w:val="CFDDDB246B8B4E9EBE18F08609AD1EE0"/>
                  </w:placeholder>
                </w:sdtPr>
                <w:sdtEndPr>
                  <w:rPr>
                    <w:szCs w:val="22"/>
                  </w:rPr>
                </w:sdtEndPr>
                <w:sdtContent>
                  <w:p w14:paraId="6C418944" w14:textId="26951918" w:rsidR="00AB4562" w:rsidRDefault="00FE7272" w:rsidP="00AF39EC">
                    <w:pPr>
                      <w:pStyle w:val="ListParagraph"/>
                      <w:numPr>
                        <w:ilvl w:val="0"/>
                        <w:numId w:val="28"/>
                      </w:numPr>
                      <w:rPr>
                        <w:rFonts w:ascii="Raleway" w:hAnsi="Raleway"/>
                        <w:sz w:val="20"/>
                      </w:rPr>
                    </w:pPr>
                    <w:r w:rsidRPr="00AF39EC">
                      <w:rPr>
                        <w:rFonts w:ascii="Raleway" w:hAnsi="Raleway"/>
                        <w:sz w:val="20"/>
                      </w:rPr>
                      <w:t xml:space="preserve">Recueillir les commentaires des Membres et des Parties contractantes </w:t>
                    </w:r>
                    <w:r w:rsidR="00111E13">
                      <w:rPr>
                        <w:rFonts w:ascii="Raleway" w:hAnsi="Raleway"/>
                        <w:sz w:val="20"/>
                      </w:rPr>
                      <w:t xml:space="preserve">(Autorités centrales) </w:t>
                    </w:r>
                    <w:r w:rsidRPr="00AF39EC">
                      <w:rPr>
                        <w:rFonts w:ascii="Raleway" w:hAnsi="Raleway"/>
                        <w:sz w:val="20"/>
                      </w:rPr>
                      <w:t xml:space="preserve">sur </w:t>
                    </w:r>
                    <w:r w:rsidR="00111E13">
                      <w:rPr>
                        <w:rFonts w:ascii="Raleway" w:hAnsi="Raleway"/>
                        <w:sz w:val="20"/>
                      </w:rPr>
                      <w:t>c</w:t>
                    </w:r>
                    <w:r w:rsidRPr="00AF39EC">
                      <w:rPr>
                        <w:rFonts w:ascii="Raleway" w:hAnsi="Raleway"/>
                        <w:sz w:val="20"/>
                      </w:rPr>
                      <w:t xml:space="preserve">e projet de </w:t>
                    </w:r>
                    <w:r w:rsidR="00111E13">
                      <w:rPr>
                        <w:rFonts w:ascii="Raleway" w:hAnsi="Raleway"/>
                        <w:sz w:val="20"/>
                      </w:rPr>
                      <w:t xml:space="preserve">document. </w:t>
                    </w:r>
                  </w:p>
                  <w:p w14:paraId="3C4FE80A" w14:textId="14258102" w:rsidR="003F33AA" w:rsidRDefault="00D97A41" w:rsidP="00D97A41">
                    <w:pPr>
                      <w:pStyle w:val="ListParagraph"/>
                      <w:numPr>
                        <w:ilvl w:val="0"/>
                        <w:numId w:val="28"/>
                      </w:numPr>
                      <w:rPr>
                        <w:rFonts w:ascii="Raleway" w:hAnsi="Raleway"/>
                        <w:sz w:val="20"/>
                      </w:rPr>
                    </w:pPr>
                    <w:r w:rsidRPr="00D97A41">
                      <w:rPr>
                        <w:rFonts w:ascii="Raleway" w:hAnsi="Raleway"/>
                        <w:sz w:val="20"/>
                      </w:rPr>
                      <w:t xml:space="preserve">Les commentaires </w:t>
                    </w:r>
                    <w:r w:rsidR="0060056D">
                      <w:rPr>
                        <w:rFonts w:ascii="Raleway" w:hAnsi="Raleway"/>
                        <w:sz w:val="20"/>
                      </w:rPr>
                      <w:t xml:space="preserve">doivent être envoyés </w:t>
                    </w:r>
                    <w:r w:rsidRPr="00D97A41">
                      <w:rPr>
                        <w:rFonts w:ascii="Raleway" w:hAnsi="Raleway"/>
                        <w:sz w:val="20"/>
                      </w:rPr>
                      <w:t xml:space="preserve">par écrit à l’adresse </w:t>
                    </w:r>
                    <w:hyperlink r:id="rId11" w:history="1">
                      <w:r w:rsidR="00325D89" w:rsidRPr="00A9406A">
                        <w:rPr>
                          <w:rStyle w:val="Hyperlink"/>
                          <w:rFonts w:ascii="Raleway" w:hAnsi="Raleway"/>
                          <w:sz w:val="20"/>
                        </w:rPr>
                        <w:t>secretariat@hcch.net</w:t>
                      </w:r>
                    </w:hyperlink>
                    <w:r w:rsidR="00325D89">
                      <w:rPr>
                        <w:rFonts w:ascii="Raleway" w:hAnsi="Raleway"/>
                        <w:sz w:val="20"/>
                      </w:rPr>
                      <w:t xml:space="preserve"> </w:t>
                    </w:r>
                    <w:r w:rsidRPr="00D97A41">
                      <w:rPr>
                        <w:rFonts w:ascii="Raleway" w:hAnsi="Raleway"/>
                        <w:sz w:val="20"/>
                      </w:rPr>
                      <w:t xml:space="preserve">avant le </w:t>
                    </w:r>
                    <w:r w:rsidRPr="00A63087">
                      <w:rPr>
                        <w:rFonts w:ascii="Raleway" w:hAnsi="Raleway"/>
                        <w:b/>
                        <w:bCs/>
                        <w:sz w:val="20"/>
                      </w:rPr>
                      <w:t>jeudi 5 novembre 2026</w:t>
                    </w:r>
                    <w:r w:rsidRPr="00D97A41">
                      <w:rPr>
                        <w:rFonts w:ascii="Raleway" w:hAnsi="Raleway"/>
                        <w:sz w:val="20"/>
                      </w:rPr>
                      <w:t xml:space="preserve">. </w:t>
                    </w:r>
                    <w:r w:rsidR="000E5602" w:rsidRPr="000E5602">
                      <w:rPr>
                        <w:rFonts w:ascii="Raleway" w:hAnsi="Raleway"/>
                        <w:sz w:val="20"/>
                      </w:rPr>
                      <w:t>Le courrier électronique devra comporter l’objet suivant : « Convention Adoption 1993 – Documents aspects financiers [nom de l’État] ».</w:t>
                    </w:r>
                  </w:p>
                  <w:p w14:paraId="4067D221" w14:textId="4347CE16" w:rsidR="00763DB0" w:rsidRDefault="00D97A41" w:rsidP="00763DB0">
                    <w:pPr>
                      <w:pStyle w:val="ListParagraph"/>
                      <w:numPr>
                        <w:ilvl w:val="0"/>
                        <w:numId w:val="28"/>
                      </w:numPr>
                      <w:rPr>
                        <w:rFonts w:ascii="Raleway" w:hAnsi="Raleway"/>
                        <w:sz w:val="20"/>
                      </w:rPr>
                    </w:pPr>
                    <w:r w:rsidRPr="000E5602">
                      <w:rPr>
                        <w:rFonts w:ascii="Raleway" w:hAnsi="Raleway"/>
                        <w:sz w:val="20"/>
                      </w:rPr>
                      <w:t xml:space="preserve">Dans la mesure du possible, les commentaires doivent être soumis au format Word à l’aide de la fonction « Suivi des modifications » et, le cas échéant, être accompagnés, dans un commentaire, d’une explication des motifs des modifications proposées. </w:t>
                    </w:r>
                  </w:p>
                  <w:p w14:paraId="4C796819" w14:textId="77777777" w:rsidR="00184D63" w:rsidRPr="00184D63" w:rsidRDefault="00AB4562" w:rsidP="00184D63">
                    <w:pPr>
                      <w:pStyle w:val="ListParagraph"/>
                      <w:numPr>
                        <w:ilvl w:val="0"/>
                        <w:numId w:val="28"/>
                      </w:numPr>
                      <w:rPr>
                        <w:rFonts w:ascii="Raleway" w:hAnsi="Raleway"/>
                        <w:sz w:val="20"/>
                      </w:rPr>
                    </w:pPr>
                    <w:r w:rsidRPr="00763DB0">
                      <w:rPr>
                        <w:rFonts w:ascii="Raleway" w:hAnsi="Raleway"/>
                        <w:sz w:val="20"/>
                        <w:szCs w:val="20"/>
                        <w:highlight w:val="yellow"/>
                      </w:rPr>
                      <w:t xml:space="preserve">Plus précisément, les </w:t>
                    </w:r>
                    <w:r w:rsidR="00674FA8" w:rsidRPr="00763DB0">
                      <w:rPr>
                        <w:rFonts w:ascii="Raleway" w:hAnsi="Raleway"/>
                        <w:sz w:val="20"/>
                        <w:szCs w:val="20"/>
                        <w:highlight w:val="yellow"/>
                      </w:rPr>
                      <w:t>M</w:t>
                    </w:r>
                    <w:r w:rsidRPr="00763DB0">
                      <w:rPr>
                        <w:rFonts w:ascii="Raleway" w:hAnsi="Raleway"/>
                        <w:sz w:val="20"/>
                        <w:szCs w:val="20"/>
                        <w:highlight w:val="yellow"/>
                      </w:rPr>
                      <w:t xml:space="preserve">embres et les Parties contractantes sont invités à examiner toutes les </w:t>
                    </w:r>
                    <w:r w:rsidR="075EC25F" w:rsidRPr="6CDFBB5D">
                      <w:rPr>
                        <w:rFonts w:ascii="Raleway" w:hAnsi="Raleway"/>
                        <w:sz w:val="20"/>
                        <w:szCs w:val="20"/>
                        <w:highlight w:val="yellow"/>
                      </w:rPr>
                      <w:t xml:space="preserve">boîtes </w:t>
                    </w:r>
                    <w:r w:rsidRPr="6CDFBB5D">
                      <w:rPr>
                        <w:rFonts w:ascii="Raleway" w:hAnsi="Raleway"/>
                        <w:sz w:val="20"/>
                        <w:szCs w:val="20"/>
                        <w:highlight w:val="yellow"/>
                      </w:rPr>
                      <w:t>bleu</w:t>
                    </w:r>
                    <w:r w:rsidR="274FDD8A" w:rsidRPr="6CDFBB5D">
                      <w:rPr>
                        <w:rFonts w:ascii="Raleway" w:hAnsi="Raleway"/>
                        <w:sz w:val="20"/>
                        <w:szCs w:val="20"/>
                        <w:highlight w:val="yellow"/>
                      </w:rPr>
                      <w:t>e</w:t>
                    </w:r>
                    <w:r w:rsidR="00843A69" w:rsidRPr="6CDFBB5D">
                      <w:rPr>
                        <w:rFonts w:ascii="Raleway" w:hAnsi="Raleway"/>
                        <w:sz w:val="20"/>
                        <w:szCs w:val="20"/>
                        <w:highlight w:val="yellow"/>
                      </w:rPr>
                      <w:t>s</w:t>
                    </w:r>
                    <w:r w:rsidRPr="00763DB0">
                      <w:rPr>
                        <w:rFonts w:ascii="Raleway" w:hAnsi="Raleway"/>
                        <w:sz w:val="20"/>
                        <w:szCs w:val="20"/>
                        <w:highlight w:val="yellow"/>
                      </w:rPr>
                      <w:t xml:space="preserve"> faisant référence à leur État afin d’en </w:t>
                    </w:r>
                    <w:r w:rsidR="00117A90" w:rsidRPr="00763DB0">
                      <w:rPr>
                        <w:rFonts w:ascii="Raleway" w:hAnsi="Raleway"/>
                        <w:sz w:val="20"/>
                        <w:szCs w:val="20"/>
                        <w:highlight w:val="yellow"/>
                      </w:rPr>
                      <w:t>vérifier l’</w:t>
                    </w:r>
                    <w:r w:rsidRPr="00763DB0">
                      <w:rPr>
                        <w:rFonts w:ascii="Raleway" w:hAnsi="Raleway"/>
                        <w:sz w:val="20"/>
                        <w:szCs w:val="20"/>
                        <w:highlight w:val="yellow"/>
                      </w:rPr>
                      <w:t>exactitude et</w:t>
                    </w:r>
                    <w:r w:rsidR="003523EE" w:rsidRPr="00763DB0">
                      <w:rPr>
                        <w:rFonts w:ascii="Raleway" w:hAnsi="Raleway"/>
                        <w:sz w:val="20"/>
                        <w:szCs w:val="20"/>
                        <w:highlight w:val="yellow"/>
                      </w:rPr>
                      <w:t>, le cas échéant,</w:t>
                    </w:r>
                    <w:r w:rsidRPr="00763DB0">
                      <w:rPr>
                        <w:rFonts w:ascii="Raleway" w:hAnsi="Raleway"/>
                        <w:sz w:val="20"/>
                        <w:szCs w:val="20"/>
                        <w:highlight w:val="yellow"/>
                      </w:rPr>
                      <w:t xml:space="preserve"> de </w:t>
                    </w:r>
                    <w:r w:rsidR="00117A90" w:rsidRPr="00763DB0">
                      <w:rPr>
                        <w:rFonts w:ascii="Raleway" w:hAnsi="Raleway"/>
                        <w:sz w:val="20"/>
                        <w:szCs w:val="20"/>
                        <w:highlight w:val="yellow"/>
                      </w:rPr>
                      <w:t>communiquer</w:t>
                    </w:r>
                    <w:r w:rsidRPr="00763DB0">
                      <w:rPr>
                        <w:rFonts w:ascii="Raleway" w:hAnsi="Raleway"/>
                        <w:sz w:val="20"/>
                        <w:szCs w:val="20"/>
                        <w:highlight w:val="yellow"/>
                      </w:rPr>
                      <w:t xml:space="preserve"> toute mise à jour.</w:t>
                    </w:r>
                  </w:p>
                  <w:p w14:paraId="1C55D235" w14:textId="68EFA427" w:rsidR="003254EC" w:rsidRPr="00184D63" w:rsidRDefault="00AB4562" w:rsidP="00184D63">
                    <w:pPr>
                      <w:pStyle w:val="ListParagraph"/>
                      <w:numPr>
                        <w:ilvl w:val="0"/>
                        <w:numId w:val="28"/>
                      </w:numPr>
                      <w:rPr>
                        <w:rFonts w:ascii="Raleway" w:hAnsi="Raleway"/>
                        <w:sz w:val="20"/>
                      </w:rPr>
                    </w:pPr>
                    <w:r w:rsidRPr="00184D63">
                      <w:rPr>
                        <w:rFonts w:ascii="Raleway" w:hAnsi="Raleway"/>
                        <w:sz w:val="20"/>
                        <w:szCs w:val="20"/>
                        <w:highlight w:val="yellow"/>
                      </w:rPr>
                      <w:t xml:space="preserve">Les États qui ne </w:t>
                    </w:r>
                    <w:r w:rsidR="00117A90" w:rsidRPr="00184D63">
                      <w:rPr>
                        <w:rFonts w:ascii="Raleway" w:hAnsi="Raleway"/>
                        <w:sz w:val="20"/>
                        <w:szCs w:val="20"/>
                        <w:highlight w:val="yellow"/>
                      </w:rPr>
                      <w:t xml:space="preserve">sont </w:t>
                    </w:r>
                    <w:r w:rsidRPr="00184D63">
                      <w:rPr>
                        <w:rFonts w:ascii="Raleway" w:hAnsi="Raleway"/>
                        <w:sz w:val="20"/>
                        <w:szCs w:val="20"/>
                        <w:highlight w:val="yellow"/>
                      </w:rPr>
                      <w:t xml:space="preserve">actuellement pas </w:t>
                    </w:r>
                    <w:r w:rsidR="00117A90" w:rsidRPr="00184D63">
                      <w:rPr>
                        <w:rFonts w:ascii="Raleway" w:hAnsi="Raleway"/>
                        <w:sz w:val="20"/>
                        <w:szCs w:val="20"/>
                        <w:highlight w:val="yellow"/>
                      </w:rPr>
                      <w:t xml:space="preserve">mentionnés </w:t>
                    </w:r>
                    <w:r w:rsidRPr="00184D63">
                      <w:rPr>
                        <w:rFonts w:ascii="Raleway" w:hAnsi="Raleway"/>
                        <w:sz w:val="20"/>
                        <w:szCs w:val="20"/>
                        <w:highlight w:val="yellow"/>
                      </w:rPr>
                      <w:t xml:space="preserve">dans </w:t>
                    </w:r>
                    <w:r w:rsidR="00937EB1" w:rsidRPr="00184D63">
                      <w:rPr>
                        <w:rFonts w:ascii="Raleway" w:hAnsi="Raleway"/>
                        <w:sz w:val="20"/>
                        <w:szCs w:val="20"/>
                        <w:highlight w:val="yellow"/>
                      </w:rPr>
                      <w:t xml:space="preserve">ces </w:t>
                    </w:r>
                    <w:r w:rsidR="567504B0" w:rsidRPr="00184D63">
                      <w:rPr>
                        <w:rFonts w:ascii="Raleway" w:hAnsi="Raleway"/>
                        <w:sz w:val="20"/>
                        <w:szCs w:val="20"/>
                        <w:highlight w:val="yellow"/>
                      </w:rPr>
                      <w:t>boîtes</w:t>
                    </w:r>
                    <w:r w:rsidR="00937EB1" w:rsidRPr="00184D63">
                      <w:rPr>
                        <w:rFonts w:ascii="Raleway" w:hAnsi="Raleway"/>
                        <w:sz w:val="20"/>
                        <w:szCs w:val="20"/>
                        <w:highlight w:val="yellow"/>
                      </w:rPr>
                      <w:t xml:space="preserve"> </w:t>
                    </w:r>
                    <w:r w:rsidRPr="00184D63">
                      <w:rPr>
                        <w:rFonts w:ascii="Raleway" w:hAnsi="Raleway"/>
                        <w:sz w:val="20"/>
                        <w:szCs w:val="20"/>
                        <w:highlight w:val="yellow"/>
                      </w:rPr>
                      <w:t>sont encouragés à soumettre de brefs exemples de leurs pratiques (</w:t>
                    </w:r>
                    <w:r w:rsidR="00117A90" w:rsidRPr="00184D63">
                      <w:rPr>
                        <w:rFonts w:ascii="Raleway" w:hAnsi="Raleway"/>
                        <w:sz w:val="20"/>
                        <w:szCs w:val="20"/>
                        <w:highlight w:val="yellow"/>
                      </w:rPr>
                      <w:t>deux</w:t>
                    </w:r>
                    <w:r w:rsidRPr="00184D63">
                      <w:rPr>
                        <w:rFonts w:ascii="Raleway" w:hAnsi="Raleway"/>
                        <w:sz w:val="20"/>
                        <w:szCs w:val="20"/>
                        <w:highlight w:val="yellow"/>
                      </w:rPr>
                      <w:t xml:space="preserve"> à </w:t>
                    </w:r>
                    <w:r w:rsidR="00117A90" w:rsidRPr="00184D63">
                      <w:rPr>
                        <w:rFonts w:ascii="Raleway" w:hAnsi="Raleway"/>
                        <w:sz w:val="20"/>
                        <w:szCs w:val="20"/>
                        <w:highlight w:val="yellow"/>
                      </w:rPr>
                      <w:t>trois</w:t>
                    </w:r>
                    <w:r w:rsidRPr="00184D63">
                      <w:rPr>
                        <w:rFonts w:ascii="Raleway" w:hAnsi="Raleway"/>
                        <w:sz w:val="20"/>
                        <w:szCs w:val="20"/>
                        <w:highlight w:val="yellow"/>
                      </w:rPr>
                      <w:t xml:space="preserve"> lignes maximum). Veuillez noter que </w:t>
                    </w:r>
                    <w:r w:rsidR="00117A90" w:rsidRPr="00184D63">
                      <w:rPr>
                        <w:rFonts w:ascii="Raleway" w:hAnsi="Raleway"/>
                        <w:sz w:val="20"/>
                        <w:szCs w:val="20"/>
                        <w:highlight w:val="yellow"/>
                      </w:rPr>
                      <w:t>chaque</w:t>
                    </w:r>
                    <w:r w:rsidRPr="00184D63">
                      <w:rPr>
                        <w:rFonts w:ascii="Raleway" w:hAnsi="Raleway"/>
                        <w:sz w:val="20"/>
                        <w:szCs w:val="20"/>
                        <w:highlight w:val="yellow"/>
                      </w:rPr>
                      <w:t xml:space="preserve"> exemple</w:t>
                    </w:r>
                    <w:r w:rsidR="00117A90" w:rsidRPr="00184D63">
                      <w:rPr>
                        <w:rFonts w:ascii="Raleway" w:hAnsi="Raleway"/>
                        <w:sz w:val="20"/>
                        <w:szCs w:val="20"/>
                        <w:highlight w:val="yellow"/>
                      </w:rPr>
                      <w:t xml:space="preserve"> </w:t>
                    </w:r>
                    <w:r w:rsidRPr="00184D63">
                      <w:rPr>
                        <w:rFonts w:ascii="Raleway" w:hAnsi="Raleway"/>
                        <w:sz w:val="20"/>
                        <w:szCs w:val="20"/>
                        <w:highlight w:val="yellow"/>
                      </w:rPr>
                      <w:t xml:space="preserve">doit </w:t>
                    </w:r>
                    <w:r w:rsidR="00EB3D91" w:rsidRPr="00184D63">
                      <w:rPr>
                        <w:rFonts w:ascii="Raleway" w:hAnsi="Raleway"/>
                        <w:sz w:val="20"/>
                        <w:szCs w:val="20"/>
                        <w:highlight w:val="yellow"/>
                      </w:rPr>
                      <w:t>être accompagné soit d’un lien vers</w:t>
                    </w:r>
                    <w:r w:rsidRPr="00184D63">
                      <w:rPr>
                        <w:rFonts w:ascii="Raleway" w:hAnsi="Raleway"/>
                        <w:sz w:val="20"/>
                        <w:szCs w:val="20"/>
                        <w:highlight w:val="yellow"/>
                      </w:rPr>
                      <w:t xml:space="preserve"> une source en ligne accessible au public</w:t>
                    </w:r>
                    <w:r w:rsidR="00EB3D91" w:rsidRPr="00184D63">
                      <w:rPr>
                        <w:rFonts w:ascii="Raleway" w:hAnsi="Raleway"/>
                        <w:sz w:val="20"/>
                        <w:szCs w:val="20"/>
                        <w:highlight w:val="yellow"/>
                      </w:rPr>
                      <w:t>, soit d’</w:t>
                    </w:r>
                    <w:r w:rsidRPr="00184D63">
                      <w:rPr>
                        <w:rFonts w:ascii="Raleway" w:hAnsi="Raleway"/>
                        <w:sz w:val="20"/>
                        <w:szCs w:val="20"/>
                        <w:highlight w:val="yellow"/>
                      </w:rPr>
                      <w:t xml:space="preserve">une référence </w:t>
                    </w:r>
                    <w:r w:rsidR="00EB3D91" w:rsidRPr="00184D63">
                      <w:rPr>
                        <w:rFonts w:ascii="Raleway" w:hAnsi="Raleway"/>
                        <w:sz w:val="20"/>
                        <w:szCs w:val="20"/>
                        <w:highlight w:val="yellow"/>
                      </w:rPr>
                      <w:t>au Profil</w:t>
                    </w:r>
                    <w:r w:rsidRPr="00184D63">
                      <w:rPr>
                        <w:rFonts w:ascii="Raleway" w:hAnsi="Raleway"/>
                        <w:sz w:val="20"/>
                        <w:szCs w:val="20"/>
                        <w:highlight w:val="yellow"/>
                      </w:rPr>
                      <w:t xml:space="preserve"> </w:t>
                    </w:r>
                    <w:r w:rsidR="0049115C" w:rsidRPr="00184D63">
                      <w:rPr>
                        <w:rFonts w:ascii="Raleway" w:hAnsi="Raleway"/>
                        <w:sz w:val="20"/>
                        <w:szCs w:val="20"/>
                        <w:highlight w:val="yellow"/>
                      </w:rPr>
                      <w:t>d’</w:t>
                    </w:r>
                    <w:r w:rsidRPr="00184D63">
                      <w:rPr>
                        <w:rFonts w:ascii="Raleway" w:hAnsi="Raleway"/>
                        <w:sz w:val="20"/>
                        <w:szCs w:val="20"/>
                        <w:highlight w:val="yellow"/>
                      </w:rPr>
                      <w:t>État publié par la HCCH</w:t>
                    </w:r>
                    <w:r w:rsidR="00EB6331" w:rsidRPr="00184D63">
                      <w:rPr>
                        <w:rFonts w:ascii="Raleway" w:hAnsi="Raleway"/>
                        <w:sz w:val="20"/>
                        <w:szCs w:val="20"/>
                        <w:highlight w:val="yellow"/>
                      </w:rPr>
                      <w:t xml:space="preserve"> (les exemples </w:t>
                    </w:r>
                    <w:r w:rsidR="00EB3D91" w:rsidRPr="00184D63">
                      <w:rPr>
                        <w:rFonts w:ascii="Raleway" w:hAnsi="Raleway"/>
                        <w:sz w:val="20"/>
                        <w:szCs w:val="20"/>
                        <w:highlight w:val="yellow"/>
                      </w:rPr>
                      <w:t xml:space="preserve">ne reposant sur aucune source </w:t>
                    </w:r>
                    <w:r w:rsidRPr="00184D63">
                      <w:rPr>
                        <w:rFonts w:ascii="Raleway" w:hAnsi="Raleway"/>
                        <w:sz w:val="20"/>
                        <w:szCs w:val="20"/>
                        <w:highlight w:val="yellow"/>
                      </w:rPr>
                      <w:t xml:space="preserve">vérifiable ne </w:t>
                    </w:r>
                    <w:r w:rsidR="00EB3D91" w:rsidRPr="00184D63">
                      <w:rPr>
                        <w:rFonts w:ascii="Raleway" w:hAnsi="Raleway"/>
                        <w:sz w:val="20"/>
                        <w:szCs w:val="20"/>
                        <w:highlight w:val="yellow"/>
                      </w:rPr>
                      <w:t>pourron</w:t>
                    </w:r>
                    <w:r w:rsidRPr="00184D63">
                      <w:rPr>
                        <w:rFonts w:ascii="Raleway" w:hAnsi="Raleway"/>
                        <w:sz w:val="20"/>
                        <w:szCs w:val="20"/>
                        <w:highlight w:val="yellow"/>
                      </w:rPr>
                      <w:t xml:space="preserve">t pas </w:t>
                    </w:r>
                    <w:r w:rsidR="00EB3D91" w:rsidRPr="00184D63">
                      <w:rPr>
                        <w:rFonts w:ascii="Raleway" w:hAnsi="Raleway"/>
                        <w:sz w:val="20"/>
                        <w:szCs w:val="20"/>
                        <w:highlight w:val="yellow"/>
                      </w:rPr>
                      <w:t xml:space="preserve">être </w:t>
                    </w:r>
                    <w:r w:rsidRPr="00184D63">
                      <w:rPr>
                        <w:rFonts w:ascii="Raleway" w:hAnsi="Raleway"/>
                        <w:sz w:val="20"/>
                        <w:szCs w:val="20"/>
                        <w:highlight w:val="yellow"/>
                      </w:rPr>
                      <w:t>inclu</w:t>
                    </w:r>
                    <w:r w:rsidR="00EB6331" w:rsidRPr="00184D63">
                      <w:rPr>
                        <w:rFonts w:ascii="Raleway" w:hAnsi="Raleway"/>
                        <w:sz w:val="20"/>
                        <w:szCs w:val="20"/>
                        <w:highlight w:val="yellow"/>
                      </w:rPr>
                      <w:t>s)</w:t>
                    </w:r>
                    <w:r w:rsidR="00A63087" w:rsidRPr="00184D63">
                      <w:rPr>
                        <w:rFonts w:ascii="Raleway" w:hAnsi="Raleway"/>
                        <w:sz w:val="20"/>
                        <w:szCs w:val="20"/>
                      </w:rPr>
                      <w:t>.</w:t>
                    </w:r>
                  </w:p>
                </w:sdtContent>
              </w:sdt>
            </w:tc>
          </w:sdtContent>
        </w:sdt>
      </w:tr>
      <w:tr w:rsidR="003254EC" w:rsidRPr="002E65D8" w14:paraId="797D24EB" w14:textId="77777777" w:rsidTr="00BB556B">
        <w:trPr>
          <w:trHeight w:val="716"/>
        </w:trPr>
        <w:tc>
          <w:tcPr>
            <w:tcW w:w="1177" w:type="pct"/>
            <w:vAlign w:val="center"/>
          </w:tcPr>
          <w:p w14:paraId="4CE64C99"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Mesure à prendre</w:t>
            </w:r>
          </w:p>
        </w:tc>
        <w:tc>
          <w:tcPr>
            <w:tcW w:w="3823" w:type="pct"/>
            <w:vAlign w:val="center"/>
          </w:tcPr>
          <w:p w14:paraId="3A157152" w14:textId="310DDD3A" w:rsidR="003254EC" w:rsidRPr="00347606" w:rsidRDefault="003254EC" w:rsidP="00273F23">
            <w:pPr>
              <w:rPr>
                <w:rFonts w:ascii="Raleway" w:hAnsi="Raleway"/>
                <w:sz w:val="20"/>
              </w:rPr>
            </w:pPr>
            <w:r>
              <w:rPr>
                <w:rFonts w:ascii="Raleway" w:hAnsi="Raleway"/>
                <w:sz w:val="20"/>
              </w:rPr>
              <w:t xml:space="preserve">Pour </w:t>
            </w:r>
            <w:r w:rsidR="00434EDB">
              <w:rPr>
                <w:rFonts w:ascii="Raleway" w:hAnsi="Raleway"/>
                <w:sz w:val="20"/>
              </w:rPr>
              <w:t>décision</w:t>
            </w:r>
            <w:r w:rsidR="00440499">
              <w:rPr>
                <w:rFonts w:ascii="Raleway" w:hAnsi="Raleway"/>
                <w:sz w:val="20"/>
              </w:rPr>
              <w:t xml:space="preserve">    </w:t>
            </w:r>
            <w:r>
              <w:rPr>
                <w:rFonts w:ascii="Raleway" w:hAnsi="Raleway"/>
                <w:sz w:val="20"/>
              </w:rPr>
              <w:tab/>
            </w:r>
            <w:r>
              <w:rPr>
                <w:rFonts w:ascii="Raleway" w:hAnsi="Raleway"/>
                <w:sz w:val="20"/>
              </w:rPr>
              <w:tab/>
            </w:r>
            <w:r>
              <w:rPr>
                <w:rFonts w:ascii="Raleway" w:hAnsi="Raleway"/>
                <w:sz w:val="20"/>
              </w:rPr>
              <w:tab/>
            </w:r>
            <w:sdt>
              <w:sdtPr>
                <w:rPr>
                  <w:rFonts w:ascii="Raleway" w:hAnsi="Raleway"/>
                  <w:sz w:val="20"/>
                </w:rPr>
                <w:alias w:val="Pour action"/>
                <w:tag w:val="For Action"/>
                <w:id w:val="-961644015"/>
                <w15:appearance w15:val="hidden"/>
                <w14:checkbox>
                  <w14:checked w14:val="0"/>
                  <w14:checkedState w14:val="2612" w14:font="MS Gothic"/>
                  <w14:uncheckedState w14:val="2610" w14:font="MS Gothic"/>
                </w14:checkbox>
              </w:sdtPr>
              <w:sdtContent>
                <w:r w:rsidR="00440499" w:rsidRPr="00347606">
                  <w:rPr>
                    <w:rFonts w:ascii="Segoe UI Symbol" w:hAnsi="Segoe UI Symbol" w:cs="Segoe UI Symbol"/>
                    <w:sz w:val="20"/>
                  </w:rPr>
                  <w:t>☐</w:t>
                </w:r>
              </w:sdtContent>
            </w:sdt>
          </w:p>
          <w:p w14:paraId="63A92FF4" w14:textId="4E82BA4D" w:rsidR="003254EC" w:rsidRPr="002E65D8" w:rsidRDefault="003254EC" w:rsidP="00273F23">
            <w:pPr>
              <w:rPr>
                <w:rFonts w:ascii="Raleway" w:hAnsi="Raleway"/>
                <w:sz w:val="20"/>
                <w:szCs w:val="20"/>
              </w:rPr>
            </w:pPr>
            <w:r>
              <w:rPr>
                <w:rFonts w:ascii="Raleway" w:hAnsi="Raleway"/>
                <w:sz w:val="20"/>
              </w:rPr>
              <w:t>Pour approbation</w:t>
            </w:r>
            <w:r>
              <w:rPr>
                <w:rFonts w:ascii="Raleway" w:hAnsi="Raleway"/>
                <w:sz w:val="20"/>
              </w:rPr>
              <w:tab/>
            </w:r>
            <w:r w:rsidR="00646BFB">
              <w:rPr>
                <w:rFonts w:ascii="Raleway" w:hAnsi="Raleway"/>
                <w:sz w:val="20"/>
              </w:rPr>
              <w:tab/>
            </w:r>
            <w:r>
              <w:rPr>
                <w:rFonts w:ascii="Raleway" w:hAnsi="Raleway"/>
                <w:sz w:val="20"/>
              </w:rPr>
              <w:tab/>
            </w:r>
            <w:sdt>
              <w:sdtPr>
                <w:rPr>
                  <w:rFonts w:ascii="Raleway" w:hAnsi="Raleway"/>
                  <w:sz w:val="20"/>
                  <w:szCs w:val="20"/>
                </w:rPr>
                <w:alias w:val="Pour approbation"/>
                <w:tag w:val="For Approval"/>
                <w:id w:val="-1796903674"/>
                <w15:appearance w15:val="hidden"/>
                <w14:checkbox>
                  <w14:checked w14:val="0"/>
                  <w14:checkedState w14:val="2612" w14:font="MS Gothic"/>
                  <w14:uncheckedState w14:val="2610" w14:font="MS Gothic"/>
                </w14:checkbox>
              </w:sdtPr>
              <w:sdtContent>
                <w:r w:rsidRPr="009D113B">
                  <w:rPr>
                    <w:rFonts w:ascii="Segoe UI Symbol" w:eastAsia="MS Gothic" w:hAnsi="Segoe UI Symbol" w:cs="Segoe UI Symbol"/>
                    <w:sz w:val="20"/>
                    <w:szCs w:val="20"/>
                  </w:rPr>
                  <w:t>☐</w:t>
                </w:r>
              </w:sdtContent>
            </w:sdt>
          </w:p>
          <w:p w14:paraId="6CA18352" w14:textId="6B792874" w:rsidR="003254EC" w:rsidRPr="002E65D8" w:rsidRDefault="003254EC" w:rsidP="00273F23">
            <w:pPr>
              <w:rPr>
                <w:rFonts w:ascii="Raleway" w:hAnsi="Raleway"/>
                <w:sz w:val="20"/>
                <w:szCs w:val="20"/>
              </w:rPr>
            </w:pPr>
            <w:r>
              <w:rPr>
                <w:rFonts w:ascii="Raleway" w:hAnsi="Raleway"/>
                <w:sz w:val="20"/>
              </w:rPr>
              <w:t xml:space="preserve">Pour </w:t>
            </w:r>
            <w:r w:rsidR="00434EDB">
              <w:rPr>
                <w:rFonts w:ascii="Raleway" w:hAnsi="Raleway"/>
                <w:sz w:val="20"/>
              </w:rPr>
              <w:t>discussion</w:t>
            </w:r>
            <w:r w:rsidR="00646BFB">
              <w:rPr>
                <w:rFonts w:ascii="Raleway" w:hAnsi="Raleway"/>
                <w:sz w:val="20"/>
              </w:rPr>
              <w:tab/>
            </w:r>
            <w:r w:rsidR="00646BFB">
              <w:rPr>
                <w:rFonts w:ascii="Raleway" w:hAnsi="Raleway"/>
                <w:sz w:val="20"/>
              </w:rPr>
              <w:tab/>
            </w:r>
            <w:r>
              <w:rPr>
                <w:rFonts w:ascii="Raleway" w:hAnsi="Raleway"/>
                <w:sz w:val="20"/>
              </w:rPr>
              <w:tab/>
            </w:r>
            <w:sdt>
              <w:sdtPr>
                <w:rPr>
                  <w:rFonts w:ascii="Raleway" w:hAnsi="Raleway"/>
                  <w:sz w:val="20"/>
                  <w:szCs w:val="20"/>
                </w:rPr>
                <w:alias w:val="Pour discussion"/>
                <w:tag w:val="For Decision"/>
                <w:id w:val="-278571938"/>
                <w15:appearance w15:val="hidden"/>
                <w14:checkbox>
                  <w14:checked w14:val="0"/>
                  <w14:checkedState w14:val="2612" w14:font="MS Gothic"/>
                  <w14:uncheckedState w14:val="2610" w14:font="MS Gothic"/>
                </w14:checkbox>
              </w:sdtPr>
              <w:sdtContent>
                <w:r w:rsidRPr="009D113B">
                  <w:rPr>
                    <w:rFonts w:ascii="Segoe UI Symbol" w:eastAsia="MS Gothic" w:hAnsi="Segoe UI Symbol" w:cs="Segoe UI Symbol"/>
                    <w:sz w:val="20"/>
                    <w:szCs w:val="20"/>
                  </w:rPr>
                  <w:t>☐</w:t>
                </w:r>
              </w:sdtContent>
            </w:sdt>
          </w:p>
          <w:p w14:paraId="2B40CD95" w14:textId="13517E70" w:rsidR="00434EDB" w:rsidRDefault="00434EDB" w:rsidP="00273F23">
            <w:pPr>
              <w:rPr>
                <w:rFonts w:ascii="Raleway" w:hAnsi="Raleway"/>
                <w:sz w:val="20"/>
              </w:rPr>
            </w:pPr>
            <w:r>
              <w:rPr>
                <w:rFonts w:ascii="Raleway" w:hAnsi="Raleway"/>
                <w:sz w:val="20"/>
              </w:rPr>
              <w:t>Pour action / achèvement</w:t>
            </w:r>
            <w:r>
              <w:rPr>
                <w:rFonts w:ascii="Raleway" w:hAnsi="Raleway"/>
                <w:sz w:val="20"/>
              </w:rPr>
              <w:tab/>
            </w:r>
            <w:r>
              <w:rPr>
                <w:rFonts w:ascii="Raleway" w:hAnsi="Raleway"/>
                <w:sz w:val="20"/>
              </w:rPr>
              <w:tab/>
            </w:r>
            <w:sdt>
              <w:sdtPr>
                <w:rPr>
                  <w:rFonts w:ascii="Raleway" w:hAnsi="Raleway"/>
                  <w:sz w:val="20"/>
                  <w:szCs w:val="20"/>
                </w:rPr>
                <w:alias w:val="Pour discussion"/>
                <w:tag w:val="For Decision"/>
                <w:id w:val="-878232322"/>
                <w15:appearance w15:val="hidden"/>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p>
          <w:p w14:paraId="0B37DF46" w14:textId="60941043" w:rsidR="003254EC" w:rsidRPr="002E65D8" w:rsidRDefault="003254EC" w:rsidP="00273F23">
            <w:pPr>
              <w:rPr>
                <w:rFonts w:ascii="Raleway" w:hAnsi="Raleway"/>
                <w:sz w:val="20"/>
                <w:szCs w:val="20"/>
              </w:rPr>
            </w:pPr>
            <w:r>
              <w:rPr>
                <w:rFonts w:ascii="Raleway" w:hAnsi="Raleway"/>
                <w:sz w:val="20"/>
              </w:rPr>
              <w:t>Pour information</w:t>
            </w:r>
            <w:r>
              <w:rPr>
                <w:rFonts w:ascii="Raleway" w:hAnsi="Raleway"/>
                <w:sz w:val="20"/>
              </w:rPr>
              <w:tab/>
            </w:r>
            <w:r w:rsidR="00646BFB">
              <w:rPr>
                <w:rFonts w:ascii="Raleway" w:hAnsi="Raleway"/>
                <w:sz w:val="20"/>
              </w:rPr>
              <w:tab/>
            </w:r>
            <w:r>
              <w:rPr>
                <w:rFonts w:ascii="Raleway" w:hAnsi="Raleway"/>
                <w:sz w:val="20"/>
              </w:rPr>
              <w:tab/>
            </w:r>
            <w:sdt>
              <w:sdtPr>
                <w:rPr>
                  <w:rFonts w:ascii="Raleway" w:hAnsi="Raleway"/>
                  <w:sz w:val="20"/>
                  <w:szCs w:val="20"/>
                </w:rPr>
                <w:alias w:val="Pour information"/>
                <w:tag w:val="For Info"/>
                <w:id w:val="-516312994"/>
                <w15:appearance w15:val="hidden"/>
                <w14:checkbox>
                  <w14:checked w14:val="0"/>
                  <w14:checkedState w14:val="2612" w14:font="MS Gothic"/>
                  <w14:uncheckedState w14:val="2610" w14:font="MS Gothic"/>
                </w14:checkbox>
              </w:sdtPr>
              <w:sdtContent>
                <w:r w:rsidRPr="00434EDB">
                  <w:rPr>
                    <w:rFonts w:ascii="Segoe UI Symbol" w:eastAsia="MS Gothic" w:hAnsi="Segoe UI Symbol" w:cs="Segoe UI Symbol"/>
                    <w:sz w:val="20"/>
                    <w:szCs w:val="20"/>
                  </w:rPr>
                  <w:t>☐</w:t>
                </w:r>
              </w:sdtContent>
            </w:sdt>
          </w:p>
        </w:tc>
      </w:tr>
      <w:tr w:rsidR="003254EC" w:rsidRPr="002E65D8" w14:paraId="1ACB9652" w14:textId="77777777" w:rsidTr="00BB556B">
        <w:trPr>
          <w:trHeight w:val="219"/>
        </w:trPr>
        <w:tc>
          <w:tcPr>
            <w:tcW w:w="1177" w:type="pct"/>
            <w:vAlign w:val="center"/>
          </w:tcPr>
          <w:p w14:paraId="50FE36D1"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Annexe(s)</w:t>
            </w:r>
          </w:p>
        </w:tc>
        <w:tc>
          <w:tcPr>
            <w:tcW w:w="3823" w:type="pct"/>
            <w:vAlign w:val="center"/>
          </w:tcPr>
          <w:p w14:paraId="4389DC0C" w14:textId="202E3359" w:rsidR="003254EC" w:rsidRPr="002E65D8" w:rsidRDefault="00440499" w:rsidP="00273F23">
            <w:pPr>
              <w:rPr>
                <w:rFonts w:ascii="Raleway" w:hAnsi="Raleway"/>
                <w:sz w:val="20"/>
                <w:szCs w:val="20"/>
              </w:rPr>
            </w:pPr>
            <w:r>
              <w:rPr>
                <w:rFonts w:ascii="Raleway" w:hAnsi="Raleway"/>
                <w:sz w:val="20"/>
              </w:rPr>
              <w:t>S</w:t>
            </w:r>
            <w:r w:rsidR="003254EC">
              <w:rPr>
                <w:rFonts w:ascii="Raleway" w:hAnsi="Raleway"/>
                <w:sz w:val="20"/>
              </w:rPr>
              <w:t>ans objet</w:t>
            </w:r>
          </w:p>
        </w:tc>
      </w:tr>
      <w:tr w:rsidR="003254EC" w:rsidRPr="002E65D8" w14:paraId="7FCD29BF" w14:textId="77777777" w:rsidTr="00BB556B">
        <w:trPr>
          <w:trHeight w:val="538"/>
        </w:trPr>
        <w:tc>
          <w:tcPr>
            <w:tcW w:w="1177" w:type="pct"/>
            <w:vAlign w:val="center"/>
          </w:tcPr>
          <w:p w14:paraId="0F529917" w14:textId="77777777" w:rsidR="003254EC" w:rsidRPr="002E65D8" w:rsidRDefault="003254EC" w:rsidP="00273F23">
            <w:pPr>
              <w:jc w:val="center"/>
              <w:rPr>
                <w:rFonts w:ascii="Raleway" w:hAnsi="Raleway" w:cstheme="majorBidi"/>
                <w:color w:val="024987" w:themeColor="accent3"/>
                <w:sz w:val="20"/>
                <w:szCs w:val="20"/>
              </w:rPr>
            </w:pPr>
            <w:r>
              <w:rPr>
                <w:rFonts w:ascii="Raleway" w:hAnsi="Raleway"/>
                <w:color w:val="024987" w:themeColor="accent3"/>
                <w:sz w:val="20"/>
              </w:rPr>
              <w:t>Document(s) connexe(s)</w:t>
            </w:r>
          </w:p>
        </w:tc>
        <w:tc>
          <w:tcPr>
            <w:tcW w:w="3823" w:type="pct"/>
            <w:vAlign w:val="center"/>
          </w:tcPr>
          <w:p w14:paraId="6EC7BDE7" w14:textId="0D6E6C08" w:rsidR="003254EC" w:rsidRPr="002E65D8" w:rsidRDefault="00250381" w:rsidP="0092198E">
            <w:pPr>
              <w:jc w:val="both"/>
              <w:rPr>
                <w:rFonts w:ascii="Raleway" w:hAnsi="Raleway"/>
                <w:sz w:val="20"/>
                <w:szCs w:val="20"/>
              </w:rPr>
            </w:pPr>
            <w:hyperlink r:id="rId12" w:history="1">
              <w:r>
                <w:rPr>
                  <w:rStyle w:val="Hyperlink"/>
                  <w:rFonts w:ascii="Raleway" w:hAnsi="Raleway"/>
                  <w:sz w:val="20"/>
                </w:rPr>
                <w:t xml:space="preserve">Boîte </w:t>
              </w:r>
              <w:r w:rsidR="0049484B">
                <w:rPr>
                  <w:rStyle w:val="Hyperlink"/>
                  <w:rFonts w:ascii="Raleway" w:hAnsi="Raleway"/>
                  <w:sz w:val="20"/>
                </w:rPr>
                <w:t>à outils visant à prévenir les pratiques illicites en matière d</w:t>
              </w:r>
              <w:r w:rsidR="00715ACD">
                <w:rPr>
                  <w:rStyle w:val="Hyperlink"/>
                  <w:rFonts w:ascii="Raleway" w:hAnsi="Raleway"/>
                  <w:sz w:val="20"/>
                </w:rPr>
                <w:t>’</w:t>
              </w:r>
              <w:r w:rsidR="0049484B">
                <w:rPr>
                  <w:rStyle w:val="Hyperlink"/>
                  <w:rFonts w:ascii="Raleway" w:hAnsi="Raleway"/>
                  <w:sz w:val="20"/>
                </w:rPr>
                <w:t>adoption internationale et à y remédier</w:t>
              </w:r>
            </w:hyperlink>
          </w:p>
        </w:tc>
      </w:tr>
    </w:tbl>
    <w:p w14:paraId="1D31A1D6" w14:textId="77777777" w:rsidR="003254EC" w:rsidRPr="002E65D8" w:rsidRDefault="003254EC">
      <w:pPr>
        <w:spacing w:after="160" w:line="276" w:lineRule="auto"/>
        <w:rPr>
          <w:rFonts w:ascii="Raleway" w:eastAsiaTheme="majorEastAsia" w:hAnsi="Raleway" w:cstheme="majorBidi"/>
          <w:b/>
          <w:color w:val="03295A" w:themeColor="accent4"/>
          <w:spacing w:val="10"/>
          <w:kern w:val="28"/>
          <w:sz w:val="19"/>
          <w:szCs w:val="19"/>
        </w:rPr>
      </w:pPr>
      <w:r>
        <w:br w:type="page"/>
      </w:r>
    </w:p>
    <w:sdt>
      <w:sdtPr>
        <w:rPr>
          <w:rFonts w:asciiTheme="minorHAnsi" w:eastAsia="PMingLiU" w:hAnsiTheme="minorHAnsi" w:cstheme="minorBidi"/>
          <w:bCs w:val="0"/>
          <w:color w:val="auto"/>
          <w:sz w:val="22"/>
          <w:szCs w:val="22"/>
        </w:rPr>
        <w:id w:val="-820961742"/>
        <w:docPartObj>
          <w:docPartGallery w:val="Table of Contents"/>
          <w:docPartUnique/>
        </w:docPartObj>
      </w:sdtPr>
      <w:sdtEndPr>
        <w:rPr>
          <w:b/>
          <w:noProof/>
        </w:rPr>
      </w:sdtEndPr>
      <w:sdtContent>
        <w:p w14:paraId="368DF6ED" w14:textId="4CD6CD26" w:rsidR="008E5838" w:rsidRPr="002E65D8" w:rsidRDefault="008E5838">
          <w:pPr>
            <w:pStyle w:val="TOCHeading"/>
          </w:pPr>
          <w:r w:rsidRPr="00693752">
            <w:t>Table des matières</w:t>
          </w:r>
        </w:p>
        <w:p w14:paraId="48EF646F" w14:textId="03F32309" w:rsidR="00693752" w:rsidRDefault="008E5838">
          <w:pPr>
            <w:pStyle w:val="TOC1"/>
            <w:rPr>
              <w:rFonts w:asciiTheme="minorHAnsi" w:eastAsiaTheme="minorEastAsia" w:hAnsiTheme="minorHAnsi"/>
              <w:kern w:val="2"/>
              <w:sz w:val="24"/>
              <w:szCs w:val="24"/>
              <w14:ligatures w14:val="standardContextual"/>
            </w:rPr>
          </w:pPr>
          <w:r w:rsidRPr="002E65D8">
            <w:fldChar w:fldCharType="begin"/>
          </w:r>
          <w:r w:rsidRPr="002E65D8">
            <w:instrText xml:space="preserve"> TOC \o "1-3" \h \z \u </w:instrText>
          </w:r>
          <w:r w:rsidRPr="002E65D8">
            <w:fldChar w:fldCharType="separate"/>
          </w:r>
          <w:hyperlink w:anchor="_Toc236061635" w:history="1">
            <w:r w:rsidR="00693752" w:rsidRPr="006A3921">
              <w:rPr>
                <w:rStyle w:val="Hyperlink"/>
                <w:b/>
              </w:rPr>
              <w:t>ABRÉVIATIONS</w:t>
            </w:r>
            <w:r w:rsidR="00693752">
              <w:rPr>
                <w:webHidden/>
              </w:rPr>
              <w:tab/>
            </w:r>
            <w:r w:rsidR="00693752">
              <w:rPr>
                <w:webHidden/>
              </w:rPr>
              <w:fldChar w:fldCharType="begin"/>
            </w:r>
            <w:r w:rsidR="00693752">
              <w:rPr>
                <w:webHidden/>
              </w:rPr>
              <w:instrText xml:space="preserve"> PAGEREF _Toc236061635 \h </w:instrText>
            </w:r>
            <w:r w:rsidR="00693752">
              <w:rPr>
                <w:webHidden/>
              </w:rPr>
            </w:r>
            <w:r w:rsidR="00693752">
              <w:rPr>
                <w:webHidden/>
              </w:rPr>
              <w:fldChar w:fldCharType="separate"/>
            </w:r>
            <w:r w:rsidR="00E6549D">
              <w:rPr>
                <w:webHidden/>
              </w:rPr>
              <w:t>5</w:t>
            </w:r>
            <w:r w:rsidR="00693752">
              <w:rPr>
                <w:webHidden/>
              </w:rPr>
              <w:fldChar w:fldCharType="end"/>
            </w:r>
          </w:hyperlink>
        </w:p>
        <w:p w14:paraId="22ECDD47" w14:textId="6F9DF565" w:rsidR="00693752" w:rsidRDefault="00693752">
          <w:pPr>
            <w:pStyle w:val="TOC1"/>
            <w:rPr>
              <w:rFonts w:asciiTheme="minorHAnsi" w:eastAsiaTheme="minorEastAsia" w:hAnsiTheme="minorHAnsi"/>
              <w:kern w:val="2"/>
              <w:sz w:val="24"/>
              <w:szCs w:val="24"/>
              <w14:ligatures w14:val="standardContextual"/>
            </w:rPr>
          </w:pPr>
          <w:hyperlink w:anchor="_Toc236061636" w:history="1">
            <w:r w:rsidRPr="006A3921">
              <w:rPr>
                <w:rStyle w:val="Hyperlink"/>
                <w:b/>
              </w:rPr>
              <w:t>TERMINOLOGIE en matière d’aspects financiers de l’adoption internationale adoptée par la HCCH</w:t>
            </w:r>
            <w:r>
              <w:rPr>
                <w:webHidden/>
              </w:rPr>
              <w:tab/>
            </w:r>
            <w:r>
              <w:rPr>
                <w:webHidden/>
              </w:rPr>
              <w:fldChar w:fldCharType="begin"/>
            </w:r>
            <w:r>
              <w:rPr>
                <w:webHidden/>
              </w:rPr>
              <w:instrText xml:space="preserve"> PAGEREF _Toc236061636 \h </w:instrText>
            </w:r>
            <w:r>
              <w:rPr>
                <w:webHidden/>
              </w:rPr>
            </w:r>
            <w:r>
              <w:rPr>
                <w:webHidden/>
              </w:rPr>
              <w:fldChar w:fldCharType="separate"/>
            </w:r>
            <w:r w:rsidR="00E6549D">
              <w:rPr>
                <w:webHidden/>
              </w:rPr>
              <w:t>6</w:t>
            </w:r>
            <w:r>
              <w:rPr>
                <w:webHidden/>
              </w:rPr>
              <w:fldChar w:fldCharType="end"/>
            </w:r>
          </w:hyperlink>
        </w:p>
        <w:p w14:paraId="73F1B64B" w14:textId="2DEC736B" w:rsidR="00693752" w:rsidRDefault="00693752">
          <w:pPr>
            <w:pStyle w:val="TOC1"/>
            <w:rPr>
              <w:rFonts w:asciiTheme="minorHAnsi" w:eastAsiaTheme="minorEastAsia" w:hAnsiTheme="minorHAnsi"/>
              <w:kern w:val="2"/>
              <w:sz w:val="24"/>
              <w:szCs w:val="24"/>
              <w14:ligatures w14:val="standardContextual"/>
            </w:rPr>
          </w:pPr>
          <w:hyperlink w:anchor="_Toc236061637" w:history="1">
            <w:r w:rsidRPr="006A3921">
              <w:rPr>
                <w:rStyle w:val="Hyperlink"/>
                <w:b/>
              </w:rPr>
              <w:t>INTRODUCTION</w:t>
            </w:r>
            <w:r>
              <w:rPr>
                <w:webHidden/>
              </w:rPr>
              <w:tab/>
            </w:r>
            <w:r>
              <w:rPr>
                <w:webHidden/>
              </w:rPr>
              <w:fldChar w:fldCharType="begin"/>
            </w:r>
            <w:r>
              <w:rPr>
                <w:webHidden/>
              </w:rPr>
              <w:instrText xml:space="preserve"> PAGEREF _Toc236061637 \h </w:instrText>
            </w:r>
            <w:r>
              <w:rPr>
                <w:webHidden/>
              </w:rPr>
            </w:r>
            <w:r>
              <w:rPr>
                <w:webHidden/>
              </w:rPr>
              <w:fldChar w:fldCharType="separate"/>
            </w:r>
            <w:r w:rsidR="00E6549D">
              <w:rPr>
                <w:webHidden/>
              </w:rPr>
              <w:t>8</w:t>
            </w:r>
            <w:r>
              <w:rPr>
                <w:webHidden/>
              </w:rPr>
              <w:fldChar w:fldCharType="end"/>
            </w:r>
          </w:hyperlink>
        </w:p>
        <w:p w14:paraId="1AEB62B8" w14:textId="2A04A532" w:rsidR="00693752" w:rsidRDefault="00693752">
          <w:pPr>
            <w:pStyle w:val="TOC2"/>
            <w:tabs>
              <w:tab w:val="right" w:leader="dot" w:pos="9016"/>
            </w:tabs>
            <w:rPr>
              <w:rFonts w:eastAsiaTheme="minorEastAsia"/>
              <w:noProof/>
              <w:kern w:val="2"/>
              <w:sz w:val="24"/>
              <w:szCs w:val="24"/>
              <w14:ligatures w14:val="standardContextual"/>
            </w:rPr>
          </w:pPr>
          <w:hyperlink w:anchor="_Toc236061638" w:history="1">
            <w:r w:rsidRPr="006A3921">
              <w:rPr>
                <w:rStyle w:val="Hyperlink"/>
                <w:noProof/>
              </w:rPr>
              <w:t>Contexte</w:t>
            </w:r>
            <w:r>
              <w:rPr>
                <w:noProof/>
                <w:webHidden/>
              </w:rPr>
              <w:tab/>
            </w:r>
            <w:r>
              <w:rPr>
                <w:noProof/>
                <w:webHidden/>
              </w:rPr>
              <w:fldChar w:fldCharType="begin"/>
            </w:r>
            <w:r>
              <w:rPr>
                <w:noProof/>
                <w:webHidden/>
              </w:rPr>
              <w:instrText xml:space="preserve"> PAGEREF _Toc236061638 \h </w:instrText>
            </w:r>
            <w:r>
              <w:rPr>
                <w:noProof/>
                <w:webHidden/>
              </w:rPr>
            </w:r>
            <w:r>
              <w:rPr>
                <w:noProof/>
                <w:webHidden/>
              </w:rPr>
              <w:fldChar w:fldCharType="separate"/>
            </w:r>
            <w:r w:rsidR="00E6549D">
              <w:rPr>
                <w:noProof/>
                <w:webHidden/>
              </w:rPr>
              <w:t>8</w:t>
            </w:r>
            <w:r>
              <w:rPr>
                <w:noProof/>
                <w:webHidden/>
              </w:rPr>
              <w:fldChar w:fldCharType="end"/>
            </w:r>
          </w:hyperlink>
        </w:p>
        <w:p w14:paraId="5336EFE7" w14:textId="7CCC5EF9" w:rsidR="00693752" w:rsidRDefault="00693752">
          <w:pPr>
            <w:pStyle w:val="TOC2"/>
            <w:tabs>
              <w:tab w:val="right" w:leader="dot" w:pos="9016"/>
            </w:tabs>
            <w:rPr>
              <w:rFonts w:eastAsiaTheme="minorEastAsia"/>
              <w:noProof/>
              <w:kern w:val="2"/>
              <w:sz w:val="24"/>
              <w:szCs w:val="24"/>
              <w14:ligatures w14:val="standardContextual"/>
            </w:rPr>
          </w:pPr>
          <w:hyperlink w:anchor="_Toc236061639" w:history="1">
            <w:r w:rsidRPr="006A3921">
              <w:rPr>
                <w:rStyle w:val="Hyperlink"/>
                <w:noProof/>
              </w:rPr>
              <w:t>Travaux de la HCCH dans ce domaine</w:t>
            </w:r>
            <w:r>
              <w:rPr>
                <w:noProof/>
                <w:webHidden/>
              </w:rPr>
              <w:tab/>
            </w:r>
            <w:r>
              <w:rPr>
                <w:noProof/>
                <w:webHidden/>
              </w:rPr>
              <w:fldChar w:fldCharType="begin"/>
            </w:r>
            <w:r>
              <w:rPr>
                <w:noProof/>
                <w:webHidden/>
              </w:rPr>
              <w:instrText xml:space="preserve"> PAGEREF _Toc236061639 \h </w:instrText>
            </w:r>
            <w:r>
              <w:rPr>
                <w:noProof/>
                <w:webHidden/>
              </w:rPr>
            </w:r>
            <w:r>
              <w:rPr>
                <w:noProof/>
                <w:webHidden/>
              </w:rPr>
              <w:fldChar w:fldCharType="separate"/>
            </w:r>
            <w:r w:rsidR="00E6549D">
              <w:rPr>
                <w:noProof/>
                <w:webHidden/>
              </w:rPr>
              <w:t>9</w:t>
            </w:r>
            <w:r>
              <w:rPr>
                <w:noProof/>
                <w:webHidden/>
              </w:rPr>
              <w:fldChar w:fldCharType="end"/>
            </w:r>
          </w:hyperlink>
        </w:p>
        <w:p w14:paraId="7D9E608F" w14:textId="71DBBDBA" w:rsidR="00693752" w:rsidRDefault="00693752">
          <w:pPr>
            <w:pStyle w:val="TOC2"/>
            <w:tabs>
              <w:tab w:val="right" w:leader="dot" w:pos="9016"/>
            </w:tabs>
            <w:rPr>
              <w:rFonts w:eastAsiaTheme="minorEastAsia"/>
              <w:noProof/>
              <w:kern w:val="2"/>
              <w:sz w:val="24"/>
              <w:szCs w:val="24"/>
              <w14:ligatures w14:val="standardContextual"/>
            </w:rPr>
          </w:pPr>
          <w:hyperlink w:anchor="_Toc236061640" w:history="1">
            <w:r w:rsidRPr="006A3921">
              <w:rPr>
                <w:rStyle w:val="Hyperlink"/>
                <w:noProof/>
              </w:rPr>
              <w:t>Objectifs</w:t>
            </w:r>
            <w:r>
              <w:rPr>
                <w:noProof/>
                <w:webHidden/>
              </w:rPr>
              <w:tab/>
            </w:r>
            <w:r>
              <w:rPr>
                <w:noProof/>
                <w:webHidden/>
              </w:rPr>
              <w:fldChar w:fldCharType="begin"/>
            </w:r>
            <w:r>
              <w:rPr>
                <w:noProof/>
                <w:webHidden/>
              </w:rPr>
              <w:instrText xml:space="preserve"> PAGEREF _Toc236061640 \h </w:instrText>
            </w:r>
            <w:r>
              <w:rPr>
                <w:noProof/>
                <w:webHidden/>
              </w:rPr>
            </w:r>
            <w:r>
              <w:rPr>
                <w:noProof/>
                <w:webHidden/>
              </w:rPr>
              <w:fldChar w:fldCharType="separate"/>
            </w:r>
            <w:r w:rsidR="00E6549D">
              <w:rPr>
                <w:noProof/>
                <w:webHidden/>
              </w:rPr>
              <w:t>10</w:t>
            </w:r>
            <w:r>
              <w:rPr>
                <w:noProof/>
                <w:webHidden/>
              </w:rPr>
              <w:fldChar w:fldCharType="end"/>
            </w:r>
          </w:hyperlink>
        </w:p>
        <w:p w14:paraId="3FEB4084" w14:textId="29932F44" w:rsidR="00693752" w:rsidRDefault="00693752">
          <w:pPr>
            <w:pStyle w:val="TOC1"/>
            <w:rPr>
              <w:rFonts w:asciiTheme="minorHAnsi" w:eastAsiaTheme="minorEastAsia" w:hAnsiTheme="minorHAnsi"/>
              <w:kern w:val="2"/>
              <w:sz w:val="24"/>
              <w:szCs w:val="24"/>
              <w14:ligatures w14:val="standardContextual"/>
            </w:rPr>
          </w:pPr>
          <w:hyperlink w:anchor="_Toc236061641" w:history="1">
            <w:r w:rsidRPr="006A3921">
              <w:rPr>
                <w:rStyle w:val="Hyperlink"/>
                <w:b/>
              </w:rPr>
              <w:t>1.</w:t>
            </w:r>
            <w:r>
              <w:rPr>
                <w:rFonts w:asciiTheme="minorHAnsi" w:eastAsiaTheme="minorEastAsia" w:hAnsiTheme="minorHAnsi"/>
                <w:kern w:val="2"/>
                <w:sz w:val="24"/>
                <w:szCs w:val="24"/>
                <w14:ligatures w14:val="standardContextual"/>
              </w:rPr>
              <w:tab/>
            </w:r>
            <w:r w:rsidRPr="006A3921">
              <w:rPr>
                <w:rStyle w:val="Hyperlink"/>
                <w:b/>
              </w:rPr>
              <w:t>DISPOSITIF INTERNATIONAL : CADRE JURIDIQUE ET NORMES</w:t>
            </w:r>
            <w:r>
              <w:rPr>
                <w:webHidden/>
              </w:rPr>
              <w:tab/>
            </w:r>
            <w:r>
              <w:rPr>
                <w:webHidden/>
              </w:rPr>
              <w:fldChar w:fldCharType="begin"/>
            </w:r>
            <w:r>
              <w:rPr>
                <w:webHidden/>
              </w:rPr>
              <w:instrText xml:space="preserve"> PAGEREF _Toc236061641 \h </w:instrText>
            </w:r>
            <w:r>
              <w:rPr>
                <w:webHidden/>
              </w:rPr>
            </w:r>
            <w:r>
              <w:rPr>
                <w:webHidden/>
              </w:rPr>
              <w:fldChar w:fldCharType="separate"/>
            </w:r>
            <w:r w:rsidR="00E6549D">
              <w:rPr>
                <w:webHidden/>
              </w:rPr>
              <w:t>12</w:t>
            </w:r>
            <w:r>
              <w:rPr>
                <w:webHidden/>
              </w:rPr>
              <w:fldChar w:fldCharType="end"/>
            </w:r>
          </w:hyperlink>
        </w:p>
        <w:p w14:paraId="3F16D774" w14:textId="3C4ADA29"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2" w:history="1">
            <w:r w:rsidRPr="006A3921">
              <w:rPr>
                <w:rStyle w:val="Hyperlink"/>
                <w:noProof/>
              </w:rPr>
              <w:t>1.1.</w:t>
            </w:r>
            <w:r>
              <w:rPr>
                <w:rFonts w:eastAsiaTheme="minorEastAsia"/>
                <w:noProof/>
                <w:kern w:val="2"/>
                <w:sz w:val="24"/>
                <w:szCs w:val="24"/>
                <w14:ligatures w14:val="standardContextual"/>
              </w:rPr>
              <w:tab/>
            </w:r>
            <w:r w:rsidRPr="006A3921">
              <w:rPr>
                <w:rStyle w:val="Hyperlink"/>
                <w:noProof/>
              </w:rPr>
              <w:t>La CNUDE et son Protocole facultatif de 2000 concernant la vente d’enfants</w:t>
            </w:r>
            <w:r>
              <w:rPr>
                <w:noProof/>
                <w:webHidden/>
              </w:rPr>
              <w:tab/>
            </w:r>
            <w:r>
              <w:rPr>
                <w:noProof/>
                <w:webHidden/>
              </w:rPr>
              <w:fldChar w:fldCharType="begin"/>
            </w:r>
            <w:r>
              <w:rPr>
                <w:noProof/>
                <w:webHidden/>
              </w:rPr>
              <w:instrText xml:space="preserve"> PAGEREF _Toc236061642 \h </w:instrText>
            </w:r>
            <w:r>
              <w:rPr>
                <w:noProof/>
                <w:webHidden/>
              </w:rPr>
            </w:r>
            <w:r>
              <w:rPr>
                <w:noProof/>
                <w:webHidden/>
              </w:rPr>
              <w:fldChar w:fldCharType="separate"/>
            </w:r>
            <w:r w:rsidR="00E6549D">
              <w:rPr>
                <w:noProof/>
                <w:webHidden/>
              </w:rPr>
              <w:t>12</w:t>
            </w:r>
            <w:r>
              <w:rPr>
                <w:noProof/>
                <w:webHidden/>
              </w:rPr>
              <w:fldChar w:fldCharType="end"/>
            </w:r>
          </w:hyperlink>
        </w:p>
        <w:p w14:paraId="6A544C43" w14:textId="0329C615"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3" w:history="1">
            <w:r w:rsidRPr="006A3921">
              <w:rPr>
                <w:rStyle w:val="Hyperlink"/>
                <w:noProof/>
              </w:rPr>
              <w:t>1.2.</w:t>
            </w:r>
            <w:r>
              <w:rPr>
                <w:rFonts w:eastAsiaTheme="minorEastAsia"/>
                <w:noProof/>
                <w:kern w:val="2"/>
                <w:sz w:val="24"/>
                <w:szCs w:val="24"/>
                <w14:ligatures w14:val="standardContextual"/>
              </w:rPr>
              <w:tab/>
            </w:r>
            <w:r w:rsidRPr="006A3921">
              <w:rPr>
                <w:rStyle w:val="Hyperlink"/>
                <w:noProof/>
              </w:rPr>
              <w:t>La Convention Adoption de 1993</w:t>
            </w:r>
            <w:r>
              <w:rPr>
                <w:noProof/>
                <w:webHidden/>
              </w:rPr>
              <w:tab/>
            </w:r>
            <w:r>
              <w:rPr>
                <w:noProof/>
                <w:webHidden/>
              </w:rPr>
              <w:fldChar w:fldCharType="begin"/>
            </w:r>
            <w:r>
              <w:rPr>
                <w:noProof/>
                <w:webHidden/>
              </w:rPr>
              <w:instrText xml:space="preserve"> PAGEREF _Toc236061643 \h </w:instrText>
            </w:r>
            <w:r>
              <w:rPr>
                <w:noProof/>
                <w:webHidden/>
              </w:rPr>
            </w:r>
            <w:r>
              <w:rPr>
                <w:noProof/>
                <w:webHidden/>
              </w:rPr>
              <w:fldChar w:fldCharType="separate"/>
            </w:r>
            <w:r w:rsidR="00E6549D">
              <w:rPr>
                <w:noProof/>
                <w:webHidden/>
              </w:rPr>
              <w:t>12</w:t>
            </w:r>
            <w:r>
              <w:rPr>
                <w:noProof/>
                <w:webHidden/>
              </w:rPr>
              <w:fldChar w:fldCharType="end"/>
            </w:r>
          </w:hyperlink>
        </w:p>
        <w:p w14:paraId="3EFE9F59" w14:textId="6A0CF3A4"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4" w:history="1">
            <w:r w:rsidRPr="006A3921">
              <w:rPr>
                <w:rStyle w:val="Hyperlink"/>
                <w:noProof/>
              </w:rPr>
              <w:t>1.3.</w:t>
            </w:r>
            <w:r>
              <w:rPr>
                <w:rFonts w:eastAsiaTheme="minorEastAsia"/>
                <w:noProof/>
                <w:kern w:val="2"/>
                <w:sz w:val="24"/>
                <w:szCs w:val="24"/>
                <w14:ligatures w14:val="standardContextual"/>
              </w:rPr>
              <w:tab/>
            </w:r>
            <w:r w:rsidRPr="006A3921">
              <w:rPr>
                <w:rStyle w:val="Hyperlink"/>
                <w:noProof/>
              </w:rPr>
              <w:t>Commission spéciale sur le fonctionnement pratique de la Convention Adoption de 1993</w:t>
            </w:r>
            <w:r>
              <w:rPr>
                <w:noProof/>
                <w:webHidden/>
              </w:rPr>
              <w:tab/>
            </w:r>
            <w:r w:rsidR="00C32232">
              <w:rPr>
                <w:noProof/>
                <w:webHidden/>
              </w:rPr>
              <w:tab/>
            </w:r>
            <w:r>
              <w:rPr>
                <w:noProof/>
                <w:webHidden/>
              </w:rPr>
              <w:fldChar w:fldCharType="begin"/>
            </w:r>
            <w:r>
              <w:rPr>
                <w:noProof/>
                <w:webHidden/>
              </w:rPr>
              <w:instrText xml:space="preserve"> PAGEREF _Toc236061644 \h </w:instrText>
            </w:r>
            <w:r>
              <w:rPr>
                <w:noProof/>
                <w:webHidden/>
              </w:rPr>
            </w:r>
            <w:r>
              <w:rPr>
                <w:noProof/>
                <w:webHidden/>
              </w:rPr>
              <w:fldChar w:fldCharType="separate"/>
            </w:r>
            <w:r w:rsidR="00E6549D">
              <w:rPr>
                <w:noProof/>
                <w:webHidden/>
              </w:rPr>
              <w:t>13</w:t>
            </w:r>
            <w:r>
              <w:rPr>
                <w:noProof/>
                <w:webHidden/>
              </w:rPr>
              <w:fldChar w:fldCharType="end"/>
            </w:r>
          </w:hyperlink>
        </w:p>
        <w:p w14:paraId="49340095" w14:textId="7B0B8CA3"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5" w:history="1">
            <w:r w:rsidRPr="006A3921">
              <w:rPr>
                <w:rStyle w:val="Hyperlink"/>
                <w:noProof/>
              </w:rPr>
              <w:t>1.4.</w:t>
            </w:r>
            <w:r>
              <w:rPr>
                <w:rFonts w:eastAsiaTheme="minorEastAsia"/>
                <w:noProof/>
                <w:kern w:val="2"/>
                <w:sz w:val="24"/>
                <w:szCs w:val="24"/>
                <w14:ligatures w14:val="standardContextual"/>
              </w:rPr>
              <w:tab/>
            </w:r>
            <w:r w:rsidRPr="006A3921">
              <w:rPr>
                <w:rStyle w:val="Hyperlink"/>
                <w:noProof/>
              </w:rPr>
              <w:t>Publications de la HCCH</w:t>
            </w:r>
            <w:r>
              <w:rPr>
                <w:noProof/>
                <w:webHidden/>
              </w:rPr>
              <w:tab/>
            </w:r>
            <w:r>
              <w:rPr>
                <w:noProof/>
                <w:webHidden/>
              </w:rPr>
              <w:fldChar w:fldCharType="begin"/>
            </w:r>
            <w:r>
              <w:rPr>
                <w:noProof/>
                <w:webHidden/>
              </w:rPr>
              <w:instrText xml:space="preserve"> PAGEREF _Toc236061645 \h </w:instrText>
            </w:r>
            <w:r>
              <w:rPr>
                <w:noProof/>
                <w:webHidden/>
              </w:rPr>
            </w:r>
            <w:r>
              <w:rPr>
                <w:noProof/>
                <w:webHidden/>
              </w:rPr>
              <w:fldChar w:fldCharType="separate"/>
            </w:r>
            <w:r w:rsidR="00E6549D">
              <w:rPr>
                <w:noProof/>
                <w:webHidden/>
              </w:rPr>
              <w:t>14</w:t>
            </w:r>
            <w:r>
              <w:rPr>
                <w:noProof/>
                <w:webHidden/>
              </w:rPr>
              <w:fldChar w:fldCharType="end"/>
            </w:r>
          </w:hyperlink>
        </w:p>
        <w:p w14:paraId="6B073981" w14:textId="1D5E9377"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6" w:history="1">
            <w:r w:rsidRPr="006A3921">
              <w:rPr>
                <w:rStyle w:val="Hyperlink"/>
                <w:noProof/>
              </w:rPr>
              <w:t>1.5.</w:t>
            </w:r>
            <w:r>
              <w:rPr>
                <w:rFonts w:eastAsiaTheme="minorEastAsia"/>
                <w:noProof/>
                <w:kern w:val="2"/>
                <w:sz w:val="24"/>
                <w:szCs w:val="24"/>
                <w14:ligatures w14:val="standardContextual"/>
              </w:rPr>
              <w:tab/>
            </w:r>
            <w:r w:rsidRPr="006A3921">
              <w:rPr>
                <w:rStyle w:val="Hyperlink"/>
                <w:noProof/>
              </w:rPr>
              <w:t>Autres normes et lignes directrices internationales</w:t>
            </w:r>
            <w:r>
              <w:rPr>
                <w:noProof/>
                <w:webHidden/>
              </w:rPr>
              <w:tab/>
            </w:r>
            <w:r>
              <w:rPr>
                <w:noProof/>
                <w:webHidden/>
              </w:rPr>
              <w:fldChar w:fldCharType="begin"/>
            </w:r>
            <w:r>
              <w:rPr>
                <w:noProof/>
                <w:webHidden/>
              </w:rPr>
              <w:instrText xml:space="preserve"> PAGEREF _Toc236061646 \h </w:instrText>
            </w:r>
            <w:r>
              <w:rPr>
                <w:noProof/>
                <w:webHidden/>
              </w:rPr>
            </w:r>
            <w:r>
              <w:rPr>
                <w:noProof/>
                <w:webHidden/>
              </w:rPr>
              <w:fldChar w:fldCharType="separate"/>
            </w:r>
            <w:r w:rsidR="00E6549D">
              <w:rPr>
                <w:noProof/>
                <w:webHidden/>
              </w:rPr>
              <w:t>15</w:t>
            </w:r>
            <w:r>
              <w:rPr>
                <w:noProof/>
                <w:webHidden/>
              </w:rPr>
              <w:fldChar w:fldCharType="end"/>
            </w:r>
          </w:hyperlink>
        </w:p>
        <w:p w14:paraId="0F3600DA" w14:textId="0CA21FA5" w:rsidR="00693752" w:rsidRDefault="00693752">
          <w:pPr>
            <w:pStyle w:val="TOC1"/>
            <w:rPr>
              <w:rFonts w:asciiTheme="minorHAnsi" w:eastAsiaTheme="minorEastAsia" w:hAnsiTheme="minorHAnsi"/>
              <w:kern w:val="2"/>
              <w:sz w:val="24"/>
              <w:szCs w:val="24"/>
              <w14:ligatures w14:val="standardContextual"/>
            </w:rPr>
          </w:pPr>
          <w:hyperlink w:anchor="_Toc236061647" w:history="1">
            <w:r w:rsidRPr="006A3921">
              <w:rPr>
                <w:rStyle w:val="Hyperlink"/>
                <w:b/>
              </w:rPr>
              <w:t>2.</w:t>
            </w:r>
            <w:r>
              <w:rPr>
                <w:rFonts w:asciiTheme="minorHAnsi" w:eastAsiaTheme="minorEastAsia" w:hAnsiTheme="minorHAnsi"/>
                <w:kern w:val="2"/>
                <w:sz w:val="24"/>
                <w:szCs w:val="24"/>
                <w14:ligatures w14:val="standardContextual"/>
              </w:rPr>
              <w:tab/>
            </w:r>
            <w:r w:rsidRPr="006A3921">
              <w:rPr>
                <w:rStyle w:val="Hyperlink"/>
                <w:b/>
              </w:rPr>
              <w:t>LES VICTIMES DES ABUS FINANCIERS</w:t>
            </w:r>
            <w:r>
              <w:rPr>
                <w:webHidden/>
              </w:rPr>
              <w:tab/>
            </w:r>
            <w:r>
              <w:rPr>
                <w:webHidden/>
              </w:rPr>
              <w:fldChar w:fldCharType="begin"/>
            </w:r>
            <w:r>
              <w:rPr>
                <w:webHidden/>
              </w:rPr>
              <w:instrText xml:space="preserve"> PAGEREF _Toc236061647 \h </w:instrText>
            </w:r>
            <w:r>
              <w:rPr>
                <w:webHidden/>
              </w:rPr>
            </w:r>
            <w:r>
              <w:rPr>
                <w:webHidden/>
              </w:rPr>
              <w:fldChar w:fldCharType="separate"/>
            </w:r>
            <w:r w:rsidR="00E6549D">
              <w:rPr>
                <w:webHidden/>
              </w:rPr>
              <w:t>16</w:t>
            </w:r>
            <w:r>
              <w:rPr>
                <w:webHidden/>
              </w:rPr>
              <w:fldChar w:fldCharType="end"/>
            </w:r>
          </w:hyperlink>
        </w:p>
        <w:p w14:paraId="25CB6FC2" w14:textId="4324E9A3"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8" w:history="1">
            <w:r w:rsidRPr="006A3921">
              <w:rPr>
                <w:rStyle w:val="Hyperlink"/>
                <w:noProof/>
              </w:rPr>
              <w:t>2.1.</w:t>
            </w:r>
            <w:r>
              <w:rPr>
                <w:rFonts w:eastAsiaTheme="minorEastAsia"/>
                <w:noProof/>
                <w:kern w:val="2"/>
                <w:sz w:val="24"/>
                <w:szCs w:val="24"/>
                <w14:ligatures w14:val="standardContextual"/>
              </w:rPr>
              <w:tab/>
            </w:r>
            <w:r w:rsidRPr="006A3921">
              <w:rPr>
                <w:rStyle w:val="Hyperlink"/>
                <w:noProof/>
              </w:rPr>
              <w:t>Enfants adoptables et adoptés</w:t>
            </w:r>
            <w:r>
              <w:rPr>
                <w:noProof/>
                <w:webHidden/>
              </w:rPr>
              <w:tab/>
            </w:r>
            <w:r>
              <w:rPr>
                <w:noProof/>
                <w:webHidden/>
              </w:rPr>
              <w:fldChar w:fldCharType="begin"/>
            </w:r>
            <w:r>
              <w:rPr>
                <w:noProof/>
                <w:webHidden/>
              </w:rPr>
              <w:instrText xml:space="preserve"> PAGEREF _Toc236061648 \h </w:instrText>
            </w:r>
            <w:r>
              <w:rPr>
                <w:noProof/>
                <w:webHidden/>
              </w:rPr>
            </w:r>
            <w:r>
              <w:rPr>
                <w:noProof/>
                <w:webHidden/>
              </w:rPr>
              <w:fldChar w:fldCharType="separate"/>
            </w:r>
            <w:r w:rsidR="00E6549D">
              <w:rPr>
                <w:noProof/>
                <w:webHidden/>
              </w:rPr>
              <w:t>16</w:t>
            </w:r>
            <w:r>
              <w:rPr>
                <w:noProof/>
                <w:webHidden/>
              </w:rPr>
              <w:fldChar w:fldCharType="end"/>
            </w:r>
          </w:hyperlink>
        </w:p>
        <w:p w14:paraId="088B20AC" w14:textId="507F771C"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49" w:history="1">
            <w:r w:rsidRPr="006A3921">
              <w:rPr>
                <w:rStyle w:val="Hyperlink"/>
                <w:noProof/>
              </w:rPr>
              <w:t>2.2.</w:t>
            </w:r>
            <w:r>
              <w:rPr>
                <w:rFonts w:eastAsiaTheme="minorEastAsia"/>
                <w:noProof/>
                <w:kern w:val="2"/>
                <w:sz w:val="24"/>
                <w:szCs w:val="24"/>
                <w14:ligatures w14:val="standardContextual"/>
              </w:rPr>
              <w:tab/>
            </w:r>
            <w:r w:rsidRPr="006A3921">
              <w:rPr>
                <w:rStyle w:val="Hyperlink"/>
                <w:noProof/>
              </w:rPr>
              <w:t>Parents d’origine</w:t>
            </w:r>
            <w:r>
              <w:rPr>
                <w:noProof/>
                <w:webHidden/>
              </w:rPr>
              <w:tab/>
            </w:r>
            <w:r>
              <w:rPr>
                <w:noProof/>
                <w:webHidden/>
              </w:rPr>
              <w:fldChar w:fldCharType="begin"/>
            </w:r>
            <w:r>
              <w:rPr>
                <w:noProof/>
                <w:webHidden/>
              </w:rPr>
              <w:instrText xml:space="preserve"> PAGEREF _Toc236061649 \h </w:instrText>
            </w:r>
            <w:r>
              <w:rPr>
                <w:noProof/>
                <w:webHidden/>
              </w:rPr>
            </w:r>
            <w:r>
              <w:rPr>
                <w:noProof/>
                <w:webHidden/>
              </w:rPr>
              <w:fldChar w:fldCharType="separate"/>
            </w:r>
            <w:r w:rsidR="00E6549D">
              <w:rPr>
                <w:noProof/>
                <w:webHidden/>
              </w:rPr>
              <w:t>16</w:t>
            </w:r>
            <w:r>
              <w:rPr>
                <w:noProof/>
                <w:webHidden/>
              </w:rPr>
              <w:fldChar w:fldCharType="end"/>
            </w:r>
          </w:hyperlink>
        </w:p>
        <w:p w14:paraId="5C712CFE" w14:textId="0FEA9048"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0" w:history="1">
            <w:r w:rsidRPr="006A3921">
              <w:rPr>
                <w:rStyle w:val="Hyperlink"/>
                <w:noProof/>
              </w:rPr>
              <w:t>2.3.</w:t>
            </w:r>
            <w:r>
              <w:rPr>
                <w:rFonts w:eastAsiaTheme="minorEastAsia"/>
                <w:noProof/>
                <w:kern w:val="2"/>
                <w:sz w:val="24"/>
                <w:szCs w:val="24"/>
                <w14:ligatures w14:val="standardContextual"/>
              </w:rPr>
              <w:tab/>
            </w:r>
            <w:r w:rsidRPr="006A3921">
              <w:rPr>
                <w:rStyle w:val="Hyperlink"/>
                <w:noProof/>
              </w:rPr>
              <w:t>FPA et parents adoptifs</w:t>
            </w:r>
            <w:r>
              <w:rPr>
                <w:noProof/>
                <w:webHidden/>
              </w:rPr>
              <w:tab/>
            </w:r>
            <w:r>
              <w:rPr>
                <w:noProof/>
                <w:webHidden/>
              </w:rPr>
              <w:fldChar w:fldCharType="begin"/>
            </w:r>
            <w:r>
              <w:rPr>
                <w:noProof/>
                <w:webHidden/>
              </w:rPr>
              <w:instrText xml:space="preserve"> PAGEREF _Toc236061650 \h </w:instrText>
            </w:r>
            <w:r>
              <w:rPr>
                <w:noProof/>
                <w:webHidden/>
              </w:rPr>
            </w:r>
            <w:r>
              <w:rPr>
                <w:noProof/>
                <w:webHidden/>
              </w:rPr>
              <w:fldChar w:fldCharType="separate"/>
            </w:r>
            <w:r w:rsidR="00E6549D">
              <w:rPr>
                <w:noProof/>
                <w:webHidden/>
              </w:rPr>
              <w:t>17</w:t>
            </w:r>
            <w:r>
              <w:rPr>
                <w:noProof/>
                <w:webHidden/>
              </w:rPr>
              <w:fldChar w:fldCharType="end"/>
            </w:r>
          </w:hyperlink>
        </w:p>
        <w:p w14:paraId="7CD7E330" w14:textId="0D1DB5DA"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1" w:history="1">
            <w:r w:rsidRPr="006A3921">
              <w:rPr>
                <w:rStyle w:val="Hyperlink"/>
                <w:noProof/>
              </w:rPr>
              <w:t>2.4.</w:t>
            </w:r>
            <w:r>
              <w:rPr>
                <w:rFonts w:eastAsiaTheme="minorEastAsia"/>
                <w:noProof/>
                <w:kern w:val="2"/>
                <w:sz w:val="24"/>
                <w:szCs w:val="24"/>
                <w14:ligatures w14:val="standardContextual"/>
              </w:rPr>
              <w:tab/>
            </w:r>
            <w:r w:rsidRPr="006A3921">
              <w:rPr>
                <w:rStyle w:val="Hyperlink"/>
                <w:noProof/>
              </w:rPr>
              <w:t>Réputation et légitimité de l’adoption internationale en tant que solution de prise en charge de remplacement</w:t>
            </w:r>
            <w:r>
              <w:rPr>
                <w:noProof/>
                <w:webHidden/>
              </w:rPr>
              <w:tab/>
            </w:r>
            <w:r>
              <w:rPr>
                <w:noProof/>
                <w:webHidden/>
              </w:rPr>
              <w:fldChar w:fldCharType="begin"/>
            </w:r>
            <w:r>
              <w:rPr>
                <w:noProof/>
                <w:webHidden/>
              </w:rPr>
              <w:instrText xml:space="preserve"> PAGEREF _Toc236061651 \h </w:instrText>
            </w:r>
            <w:r>
              <w:rPr>
                <w:noProof/>
                <w:webHidden/>
              </w:rPr>
            </w:r>
            <w:r>
              <w:rPr>
                <w:noProof/>
                <w:webHidden/>
              </w:rPr>
              <w:fldChar w:fldCharType="separate"/>
            </w:r>
            <w:r w:rsidR="00E6549D">
              <w:rPr>
                <w:noProof/>
                <w:webHidden/>
              </w:rPr>
              <w:t>18</w:t>
            </w:r>
            <w:r>
              <w:rPr>
                <w:noProof/>
                <w:webHidden/>
              </w:rPr>
              <w:fldChar w:fldCharType="end"/>
            </w:r>
          </w:hyperlink>
        </w:p>
        <w:p w14:paraId="01339D41" w14:textId="7C89DB27" w:rsidR="00693752" w:rsidRDefault="00693752">
          <w:pPr>
            <w:pStyle w:val="TOC1"/>
            <w:rPr>
              <w:rFonts w:asciiTheme="minorHAnsi" w:eastAsiaTheme="minorEastAsia" w:hAnsiTheme="minorHAnsi"/>
              <w:kern w:val="2"/>
              <w:sz w:val="24"/>
              <w:szCs w:val="24"/>
              <w14:ligatures w14:val="standardContextual"/>
            </w:rPr>
          </w:pPr>
          <w:hyperlink w:anchor="_Toc236061652" w:history="1">
            <w:r w:rsidRPr="006A3921">
              <w:rPr>
                <w:rStyle w:val="Hyperlink"/>
                <w:b/>
              </w:rPr>
              <w:t>3.</w:t>
            </w:r>
            <w:r>
              <w:rPr>
                <w:rFonts w:asciiTheme="minorHAnsi" w:eastAsiaTheme="minorEastAsia" w:hAnsiTheme="minorHAnsi"/>
                <w:kern w:val="2"/>
                <w:sz w:val="24"/>
                <w:szCs w:val="24"/>
                <w14:ligatures w14:val="standardContextual"/>
              </w:rPr>
              <w:tab/>
            </w:r>
            <w:r w:rsidRPr="006A3921">
              <w:rPr>
                <w:rStyle w:val="Hyperlink"/>
                <w:b/>
              </w:rPr>
              <w:t>DIVERSITÉ DES AUTEURS D’ABUS</w:t>
            </w:r>
            <w:r>
              <w:rPr>
                <w:webHidden/>
              </w:rPr>
              <w:tab/>
            </w:r>
            <w:r>
              <w:rPr>
                <w:webHidden/>
              </w:rPr>
              <w:fldChar w:fldCharType="begin"/>
            </w:r>
            <w:r>
              <w:rPr>
                <w:webHidden/>
              </w:rPr>
              <w:instrText xml:space="preserve"> PAGEREF _Toc236061652 \h </w:instrText>
            </w:r>
            <w:r>
              <w:rPr>
                <w:webHidden/>
              </w:rPr>
            </w:r>
            <w:r>
              <w:rPr>
                <w:webHidden/>
              </w:rPr>
              <w:fldChar w:fldCharType="separate"/>
            </w:r>
            <w:r w:rsidR="00E6549D">
              <w:rPr>
                <w:webHidden/>
              </w:rPr>
              <w:t>19</w:t>
            </w:r>
            <w:r>
              <w:rPr>
                <w:webHidden/>
              </w:rPr>
              <w:fldChar w:fldCharType="end"/>
            </w:r>
          </w:hyperlink>
        </w:p>
        <w:p w14:paraId="342480FC" w14:textId="30DE3A09" w:rsidR="00693752" w:rsidRDefault="00693752">
          <w:pPr>
            <w:pStyle w:val="TOC1"/>
            <w:rPr>
              <w:rFonts w:asciiTheme="minorHAnsi" w:eastAsiaTheme="minorEastAsia" w:hAnsiTheme="minorHAnsi"/>
              <w:kern w:val="2"/>
              <w:sz w:val="24"/>
              <w:szCs w:val="24"/>
              <w14:ligatures w14:val="standardContextual"/>
            </w:rPr>
          </w:pPr>
          <w:hyperlink w:anchor="_Toc236061653" w:history="1">
            <w:r w:rsidRPr="006A3921">
              <w:rPr>
                <w:rStyle w:val="Hyperlink"/>
                <w:b/>
              </w:rPr>
              <w:t>4.</w:t>
            </w:r>
            <w:r>
              <w:rPr>
                <w:rFonts w:asciiTheme="minorHAnsi" w:eastAsiaTheme="minorEastAsia" w:hAnsiTheme="minorHAnsi"/>
                <w:kern w:val="2"/>
                <w:sz w:val="24"/>
                <w:szCs w:val="24"/>
                <w14:ligatures w14:val="standardContextual"/>
              </w:rPr>
              <w:tab/>
            </w:r>
            <w:r w:rsidRPr="006A3921">
              <w:rPr>
                <w:rStyle w:val="Hyperlink"/>
                <w:b/>
              </w:rPr>
              <w:t>DÉFIS DANS LE CONTEXTE MONDIAL</w:t>
            </w:r>
            <w:r>
              <w:rPr>
                <w:webHidden/>
              </w:rPr>
              <w:tab/>
            </w:r>
            <w:r>
              <w:rPr>
                <w:webHidden/>
              </w:rPr>
              <w:fldChar w:fldCharType="begin"/>
            </w:r>
            <w:r>
              <w:rPr>
                <w:webHidden/>
              </w:rPr>
              <w:instrText xml:space="preserve"> PAGEREF _Toc236061653 \h </w:instrText>
            </w:r>
            <w:r>
              <w:rPr>
                <w:webHidden/>
              </w:rPr>
            </w:r>
            <w:r>
              <w:rPr>
                <w:webHidden/>
              </w:rPr>
              <w:fldChar w:fldCharType="separate"/>
            </w:r>
            <w:r w:rsidR="00E6549D">
              <w:rPr>
                <w:webHidden/>
              </w:rPr>
              <w:t>21</w:t>
            </w:r>
            <w:r>
              <w:rPr>
                <w:webHidden/>
              </w:rPr>
              <w:fldChar w:fldCharType="end"/>
            </w:r>
          </w:hyperlink>
        </w:p>
        <w:p w14:paraId="77750A21" w14:textId="3F080121"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4" w:history="1">
            <w:r w:rsidRPr="006A3921">
              <w:rPr>
                <w:rStyle w:val="Hyperlink"/>
                <w:noProof/>
              </w:rPr>
              <w:t>4.1.</w:t>
            </w:r>
            <w:r>
              <w:rPr>
                <w:rFonts w:eastAsiaTheme="minorEastAsia"/>
                <w:noProof/>
                <w:kern w:val="2"/>
                <w:sz w:val="24"/>
                <w:szCs w:val="24"/>
                <w14:ligatures w14:val="standardContextual"/>
              </w:rPr>
              <w:tab/>
            </w:r>
            <w:r w:rsidRPr="006A3921">
              <w:rPr>
                <w:rStyle w:val="Hyperlink"/>
                <w:noProof/>
              </w:rPr>
              <w:t>Le déséquilibre général de richesse</w:t>
            </w:r>
            <w:r>
              <w:rPr>
                <w:noProof/>
                <w:webHidden/>
              </w:rPr>
              <w:tab/>
            </w:r>
            <w:r>
              <w:rPr>
                <w:noProof/>
                <w:webHidden/>
              </w:rPr>
              <w:fldChar w:fldCharType="begin"/>
            </w:r>
            <w:r>
              <w:rPr>
                <w:noProof/>
                <w:webHidden/>
              </w:rPr>
              <w:instrText xml:space="preserve"> PAGEREF _Toc236061654 \h </w:instrText>
            </w:r>
            <w:r>
              <w:rPr>
                <w:noProof/>
                <w:webHidden/>
              </w:rPr>
            </w:r>
            <w:r>
              <w:rPr>
                <w:noProof/>
                <w:webHidden/>
              </w:rPr>
              <w:fldChar w:fldCharType="separate"/>
            </w:r>
            <w:r w:rsidR="00E6549D">
              <w:rPr>
                <w:noProof/>
                <w:webHidden/>
              </w:rPr>
              <w:t>21</w:t>
            </w:r>
            <w:r>
              <w:rPr>
                <w:noProof/>
                <w:webHidden/>
              </w:rPr>
              <w:fldChar w:fldCharType="end"/>
            </w:r>
          </w:hyperlink>
        </w:p>
        <w:p w14:paraId="60127D60" w14:textId="3AE7B1E3"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5" w:history="1">
            <w:r w:rsidRPr="006A3921">
              <w:rPr>
                <w:rStyle w:val="Hyperlink"/>
                <w:noProof/>
              </w:rPr>
              <w:t>4.2.</w:t>
            </w:r>
            <w:r>
              <w:rPr>
                <w:rFonts w:eastAsiaTheme="minorEastAsia"/>
                <w:noProof/>
                <w:kern w:val="2"/>
                <w:sz w:val="24"/>
                <w:szCs w:val="24"/>
                <w14:ligatures w14:val="standardContextual"/>
              </w:rPr>
              <w:tab/>
            </w:r>
            <w:r w:rsidRPr="006A3921">
              <w:rPr>
                <w:rStyle w:val="Hyperlink"/>
                <w:noProof/>
              </w:rPr>
              <w:t>Pressions et concurrence pour trouver des enfants</w:t>
            </w:r>
            <w:r>
              <w:rPr>
                <w:noProof/>
                <w:webHidden/>
              </w:rPr>
              <w:tab/>
            </w:r>
            <w:r>
              <w:rPr>
                <w:noProof/>
                <w:webHidden/>
              </w:rPr>
              <w:fldChar w:fldCharType="begin"/>
            </w:r>
            <w:r>
              <w:rPr>
                <w:noProof/>
                <w:webHidden/>
              </w:rPr>
              <w:instrText xml:space="preserve"> PAGEREF _Toc236061655 \h </w:instrText>
            </w:r>
            <w:r>
              <w:rPr>
                <w:noProof/>
                <w:webHidden/>
              </w:rPr>
            </w:r>
            <w:r>
              <w:rPr>
                <w:noProof/>
                <w:webHidden/>
              </w:rPr>
              <w:fldChar w:fldCharType="separate"/>
            </w:r>
            <w:r w:rsidR="00E6549D">
              <w:rPr>
                <w:noProof/>
                <w:webHidden/>
              </w:rPr>
              <w:t>21</w:t>
            </w:r>
            <w:r>
              <w:rPr>
                <w:noProof/>
                <w:webHidden/>
              </w:rPr>
              <w:fldChar w:fldCharType="end"/>
            </w:r>
          </w:hyperlink>
        </w:p>
        <w:p w14:paraId="4060A4F7" w14:textId="48F2ABD0"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6" w:history="1">
            <w:r w:rsidRPr="006A3921">
              <w:rPr>
                <w:rStyle w:val="Hyperlink"/>
                <w:noProof/>
              </w:rPr>
              <w:t>4.3.</w:t>
            </w:r>
            <w:r>
              <w:rPr>
                <w:rFonts w:eastAsiaTheme="minorEastAsia"/>
                <w:noProof/>
                <w:kern w:val="2"/>
                <w:sz w:val="24"/>
                <w:szCs w:val="24"/>
                <w14:ligatures w14:val="standardContextual"/>
              </w:rPr>
              <w:tab/>
            </w:r>
            <w:r w:rsidRPr="006A3921">
              <w:rPr>
                <w:rStyle w:val="Hyperlink"/>
                <w:noProof/>
              </w:rPr>
              <w:t>Manque de volonté politique pour éliminer les profits exorbitants et obstacles gouvernementaux</w:t>
            </w:r>
            <w:r>
              <w:rPr>
                <w:noProof/>
                <w:webHidden/>
              </w:rPr>
              <w:tab/>
            </w:r>
            <w:r>
              <w:rPr>
                <w:noProof/>
                <w:webHidden/>
              </w:rPr>
              <w:fldChar w:fldCharType="begin"/>
            </w:r>
            <w:r>
              <w:rPr>
                <w:noProof/>
                <w:webHidden/>
              </w:rPr>
              <w:instrText xml:space="preserve"> PAGEREF _Toc236061656 \h </w:instrText>
            </w:r>
            <w:r>
              <w:rPr>
                <w:noProof/>
                <w:webHidden/>
              </w:rPr>
            </w:r>
            <w:r>
              <w:rPr>
                <w:noProof/>
                <w:webHidden/>
              </w:rPr>
              <w:fldChar w:fldCharType="separate"/>
            </w:r>
            <w:r w:rsidR="00E6549D">
              <w:rPr>
                <w:noProof/>
                <w:webHidden/>
              </w:rPr>
              <w:t>22</w:t>
            </w:r>
            <w:r>
              <w:rPr>
                <w:noProof/>
                <w:webHidden/>
              </w:rPr>
              <w:fldChar w:fldCharType="end"/>
            </w:r>
          </w:hyperlink>
        </w:p>
        <w:p w14:paraId="56A57072" w14:textId="09C15103"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7" w:history="1">
            <w:r w:rsidRPr="006A3921">
              <w:rPr>
                <w:rStyle w:val="Hyperlink"/>
                <w:noProof/>
              </w:rPr>
              <w:t>4.4.</w:t>
            </w:r>
            <w:r>
              <w:rPr>
                <w:rFonts w:eastAsiaTheme="minorEastAsia"/>
                <w:noProof/>
                <w:kern w:val="2"/>
                <w:sz w:val="24"/>
                <w:szCs w:val="24"/>
                <w14:ligatures w14:val="standardContextual"/>
              </w:rPr>
              <w:tab/>
            </w:r>
            <w:r w:rsidRPr="006A3921">
              <w:rPr>
                <w:rStyle w:val="Hyperlink"/>
                <w:noProof/>
              </w:rPr>
              <w:t>Dépendance à l’égard des fonds liés à l’adoption internationale</w:t>
            </w:r>
            <w:r>
              <w:rPr>
                <w:noProof/>
                <w:webHidden/>
              </w:rPr>
              <w:tab/>
            </w:r>
            <w:r>
              <w:rPr>
                <w:noProof/>
                <w:webHidden/>
              </w:rPr>
              <w:fldChar w:fldCharType="begin"/>
            </w:r>
            <w:r>
              <w:rPr>
                <w:noProof/>
                <w:webHidden/>
              </w:rPr>
              <w:instrText xml:space="preserve"> PAGEREF _Toc236061657 \h </w:instrText>
            </w:r>
            <w:r>
              <w:rPr>
                <w:noProof/>
                <w:webHidden/>
              </w:rPr>
            </w:r>
            <w:r>
              <w:rPr>
                <w:noProof/>
                <w:webHidden/>
              </w:rPr>
              <w:fldChar w:fldCharType="separate"/>
            </w:r>
            <w:r w:rsidR="00E6549D">
              <w:rPr>
                <w:noProof/>
                <w:webHidden/>
              </w:rPr>
              <w:t>23</w:t>
            </w:r>
            <w:r>
              <w:rPr>
                <w:noProof/>
                <w:webHidden/>
              </w:rPr>
              <w:fldChar w:fldCharType="end"/>
            </w:r>
          </w:hyperlink>
        </w:p>
        <w:p w14:paraId="23D7A1A7" w14:textId="333CD22F"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8" w:history="1">
            <w:r w:rsidRPr="006A3921">
              <w:rPr>
                <w:rStyle w:val="Hyperlink"/>
                <w:noProof/>
              </w:rPr>
              <w:t>4.5.</w:t>
            </w:r>
            <w:r>
              <w:rPr>
                <w:rFonts w:eastAsiaTheme="minorEastAsia"/>
                <w:noProof/>
                <w:kern w:val="2"/>
                <w:sz w:val="24"/>
                <w:szCs w:val="24"/>
                <w14:ligatures w14:val="standardContextual"/>
              </w:rPr>
              <w:tab/>
            </w:r>
            <w:r w:rsidRPr="006A3921">
              <w:rPr>
                <w:rStyle w:val="Hyperlink"/>
                <w:noProof/>
              </w:rPr>
              <w:t>Risques associés aux adoptions privées, indépendantes et non régies par la Convention</w:t>
            </w:r>
            <w:r>
              <w:rPr>
                <w:noProof/>
                <w:webHidden/>
              </w:rPr>
              <w:tab/>
            </w:r>
            <w:r>
              <w:rPr>
                <w:noProof/>
                <w:webHidden/>
              </w:rPr>
              <w:fldChar w:fldCharType="begin"/>
            </w:r>
            <w:r>
              <w:rPr>
                <w:noProof/>
                <w:webHidden/>
              </w:rPr>
              <w:instrText xml:space="preserve"> PAGEREF _Toc236061658 \h </w:instrText>
            </w:r>
            <w:r>
              <w:rPr>
                <w:noProof/>
                <w:webHidden/>
              </w:rPr>
            </w:r>
            <w:r>
              <w:rPr>
                <w:noProof/>
                <w:webHidden/>
              </w:rPr>
              <w:fldChar w:fldCharType="separate"/>
            </w:r>
            <w:r w:rsidR="00E6549D">
              <w:rPr>
                <w:noProof/>
                <w:webHidden/>
              </w:rPr>
              <w:t>24</w:t>
            </w:r>
            <w:r>
              <w:rPr>
                <w:noProof/>
                <w:webHidden/>
              </w:rPr>
              <w:fldChar w:fldCharType="end"/>
            </w:r>
          </w:hyperlink>
        </w:p>
        <w:p w14:paraId="22614E26" w14:textId="352C3742"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59" w:history="1">
            <w:r w:rsidRPr="006A3921">
              <w:rPr>
                <w:rStyle w:val="Hyperlink"/>
                <w:noProof/>
              </w:rPr>
              <w:t>4.6.</w:t>
            </w:r>
            <w:r>
              <w:rPr>
                <w:rFonts w:eastAsiaTheme="minorEastAsia"/>
                <w:noProof/>
                <w:kern w:val="2"/>
                <w:sz w:val="24"/>
                <w:szCs w:val="24"/>
                <w14:ligatures w14:val="standardContextual"/>
              </w:rPr>
              <w:tab/>
            </w:r>
            <w:r w:rsidRPr="006A3921">
              <w:rPr>
                <w:rStyle w:val="Hyperlink"/>
                <w:noProof/>
              </w:rPr>
              <w:t>Un marché autour de l’adoption</w:t>
            </w:r>
            <w:r>
              <w:rPr>
                <w:noProof/>
                <w:webHidden/>
              </w:rPr>
              <w:tab/>
            </w:r>
            <w:r>
              <w:rPr>
                <w:noProof/>
                <w:webHidden/>
              </w:rPr>
              <w:fldChar w:fldCharType="begin"/>
            </w:r>
            <w:r>
              <w:rPr>
                <w:noProof/>
                <w:webHidden/>
              </w:rPr>
              <w:instrText xml:space="preserve"> PAGEREF _Toc236061659 \h </w:instrText>
            </w:r>
            <w:r>
              <w:rPr>
                <w:noProof/>
                <w:webHidden/>
              </w:rPr>
            </w:r>
            <w:r>
              <w:rPr>
                <w:noProof/>
                <w:webHidden/>
              </w:rPr>
              <w:fldChar w:fldCharType="separate"/>
            </w:r>
            <w:r w:rsidR="00E6549D">
              <w:rPr>
                <w:noProof/>
                <w:webHidden/>
              </w:rPr>
              <w:t>25</w:t>
            </w:r>
            <w:r>
              <w:rPr>
                <w:noProof/>
                <w:webHidden/>
              </w:rPr>
              <w:fldChar w:fldCharType="end"/>
            </w:r>
          </w:hyperlink>
        </w:p>
        <w:p w14:paraId="09FFD06A" w14:textId="3EB26867" w:rsidR="00693752" w:rsidRDefault="00693752">
          <w:pPr>
            <w:pStyle w:val="TOC1"/>
            <w:rPr>
              <w:rFonts w:asciiTheme="minorHAnsi" w:eastAsiaTheme="minorEastAsia" w:hAnsiTheme="minorHAnsi"/>
              <w:kern w:val="2"/>
              <w:sz w:val="24"/>
              <w:szCs w:val="24"/>
              <w14:ligatures w14:val="standardContextual"/>
            </w:rPr>
          </w:pPr>
          <w:hyperlink w:anchor="_Toc236061660" w:history="1">
            <w:r w:rsidRPr="006A3921">
              <w:rPr>
                <w:rStyle w:val="Hyperlink"/>
                <w:b/>
              </w:rPr>
              <w:t>5.</w:t>
            </w:r>
            <w:r>
              <w:rPr>
                <w:rFonts w:asciiTheme="minorHAnsi" w:eastAsiaTheme="minorEastAsia" w:hAnsiTheme="minorHAnsi"/>
                <w:kern w:val="2"/>
                <w:sz w:val="24"/>
                <w:szCs w:val="24"/>
                <w14:ligatures w14:val="standardContextual"/>
              </w:rPr>
              <w:tab/>
            </w:r>
            <w:r w:rsidRPr="006A3921">
              <w:rPr>
                <w:rStyle w:val="Hyperlink"/>
                <w:b/>
              </w:rPr>
              <w:t>PRÉVENIR LES GAINS MATÉRIELS INDUS DANS L’ADOPTION INTERNATIONALE ET Y REMÉDIER</w:t>
            </w:r>
            <w:r>
              <w:rPr>
                <w:webHidden/>
              </w:rPr>
              <w:tab/>
            </w:r>
            <w:r>
              <w:rPr>
                <w:webHidden/>
              </w:rPr>
              <w:fldChar w:fldCharType="begin"/>
            </w:r>
            <w:r>
              <w:rPr>
                <w:webHidden/>
              </w:rPr>
              <w:instrText xml:space="preserve"> PAGEREF _Toc236061660 \h </w:instrText>
            </w:r>
            <w:r>
              <w:rPr>
                <w:webHidden/>
              </w:rPr>
            </w:r>
            <w:r>
              <w:rPr>
                <w:webHidden/>
              </w:rPr>
              <w:fldChar w:fldCharType="separate"/>
            </w:r>
            <w:r w:rsidR="00E6549D">
              <w:rPr>
                <w:webHidden/>
              </w:rPr>
              <w:t>26</w:t>
            </w:r>
            <w:r>
              <w:rPr>
                <w:webHidden/>
              </w:rPr>
              <w:fldChar w:fldCharType="end"/>
            </w:r>
          </w:hyperlink>
        </w:p>
        <w:p w14:paraId="35EB265C" w14:textId="2DE6FB7B"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61" w:history="1">
            <w:r w:rsidRPr="006A3921">
              <w:rPr>
                <w:rStyle w:val="Hyperlink"/>
                <w:noProof/>
              </w:rPr>
              <w:t>5.1.</w:t>
            </w:r>
            <w:r>
              <w:rPr>
                <w:rFonts w:eastAsiaTheme="minorEastAsia"/>
                <w:noProof/>
                <w:kern w:val="2"/>
                <w:sz w:val="24"/>
                <w:szCs w:val="24"/>
                <w14:ligatures w14:val="standardContextual"/>
              </w:rPr>
              <w:tab/>
            </w:r>
            <w:r w:rsidRPr="006A3921">
              <w:rPr>
                <w:rStyle w:val="Hyperlink"/>
                <w:noProof/>
              </w:rPr>
              <w:t>Cadre juridique régissant les aspects financiers</w:t>
            </w:r>
            <w:r>
              <w:rPr>
                <w:noProof/>
                <w:webHidden/>
              </w:rPr>
              <w:tab/>
            </w:r>
            <w:r>
              <w:rPr>
                <w:noProof/>
                <w:webHidden/>
              </w:rPr>
              <w:fldChar w:fldCharType="begin"/>
            </w:r>
            <w:r>
              <w:rPr>
                <w:noProof/>
                <w:webHidden/>
              </w:rPr>
              <w:instrText xml:space="preserve"> PAGEREF _Toc236061661 \h </w:instrText>
            </w:r>
            <w:r>
              <w:rPr>
                <w:noProof/>
                <w:webHidden/>
              </w:rPr>
            </w:r>
            <w:r>
              <w:rPr>
                <w:noProof/>
                <w:webHidden/>
              </w:rPr>
              <w:fldChar w:fldCharType="separate"/>
            </w:r>
            <w:r w:rsidR="00E6549D">
              <w:rPr>
                <w:noProof/>
                <w:webHidden/>
              </w:rPr>
              <w:t>26</w:t>
            </w:r>
            <w:r>
              <w:rPr>
                <w:noProof/>
                <w:webHidden/>
              </w:rPr>
              <w:fldChar w:fldCharType="end"/>
            </w:r>
          </w:hyperlink>
        </w:p>
        <w:p w14:paraId="192B6593" w14:textId="6E9EFAF5" w:rsidR="00693752" w:rsidRDefault="00693752">
          <w:pPr>
            <w:pStyle w:val="TOC3"/>
            <w:rPr>
              <w:rFonts w:eastAsiaTheme="minorEastAsia"/>
              <w:noProof/>
              <w:kern w:val="2"/>
              <w:sz w:val="24"/>
              <w:szCs w:val="24"/>
              <w14:ligatures w14:val="standardContextual"/>
            </w:rPr>
          </w:pPr>
          <w:hyperlink w:anchor="_Toc236061662"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Problèmes : Absence ou carence de législation en matière d’aspects financiers de l’adoption internationale</w:t>
            </w:r>
            <w:r>
              <w:rPr>
                <w:noProof/>
                <w:webHidden/>
              </w:rPr>
              <w:tab/>
            </w:r>
            <w:r>
              <w:rPr>
                <w:noProof/>
                <w:webHidden/>
              </w:rPr>
              <w:fldChar w:fldCharType="begin"/>
            </w:r>
            <w:r>
              <w:rPr>
                <w:noProof/>
                <w:webHidden/>
              </w:rPr>
              <w:instrText xml:space="preserve"> PAGEREF _Toc236061662 \h </w:instrText>
            </w:r>
            <w:r>
              <w:rPr>
                <w:noProof/>
                <w:webHidden/>
              </w:rPr>
            </w:r>
            <w:r>
              <w:rPr>
                <w:noProof/>
                <w:webHidden/>
              </w:rPr>
              <w:fldChar w:fldCharType="separate"/>
            </w:r>
            <w:r w:rsidR="00E6549D">
              <w:rPr>
                <w:noProof/>
                <w:webHidden/>
              </w:rPr>
              <w:t>26</w:t>
            </w:r>
            <w:r>
              <w:rPr>
                <w:noProof/>
                <w:webHidden/>
              </w:rPr>
              <w:fldChar w:fldCharType="end"/>
            </w:r>
          </w:hyperlink>
        </w:p>
        <w:p w14:paraId="30E47D30" w14:textId="186E3926" w:rsidR="00693752" w:rsidRDefault="00693752">
          <w:pPr>
            <w:pStyle w:val="TOC3"/>
            <w:rPr>
              <w:rFonts w:eastAsiaTheme="minorEastAsia"/>
              <w:noProof/>
              <w:kern w:val="2"/>
              <w:sz w:val="24"/>
              <w:szCs w:val="24"/>
              <w14:ligatures w14:val="standardContextual"/>
            </w:rPr>
          </w:pPr>
          <w:hyperlink w:anchor="_Toc236061663"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Exemples de pratiques visant à légiférer en matière d’aspects financiers de l’adoption internationale</w:t>
            </w:r>
            <w:r>
              <w:rPr>
                <w:noProof/>
                <w:webHidden/>
              </w:rPr>
              <w:tab/>
            </w:r>
            <w:r>
              <w:rPr>
                <w:noProof/>
                <w:webHidden/>
              </w:rPr>
              <w:fldChar w:fldCharType="begin"/>
            </w:r>
            <w:r>
              <w:rPr>
                <w:noProof/>
                <w:webHidden/>
              </w:rPr>
              <w:instrText xml:space="preserve"> PAGEREF _Toc236061663 \h </w:instrText>
            </w:r>
            <w:r>
              <w:rPr>
                <w:noProof/>
                <w:webHidden/>
              </w:rPr>
            </w:r>
            <w:r>
              <w:rPr>
                <w:noProof/>
                <w:webHidden/>
              </w:rPr>
              <w:fldChar w:fldCharType="separate"/>
            </w:r>
            <w:r w:rsidR="00E6549D">
              <w:rPr>
                <w:noProof/>
                <w:webHidden/>
              </w:rPr>
              <w:t>27</w:t>
            </w:r>
            <w:r>
              <w:rPr>
                <w:noProof/>
                <w:webHidden/>
              </w:rPr>
              <w:fldChar w:fldCharType="end"/>
            </w:r>
          </w:hyperlink>
        </w:p>
        <w:p w14:paraId="48A36A89" w14:textId="4155AE7A" w:rsidR="00693752" w:rsidRDefault="00693752">
          <w:pPr>
            <w:pStyle w:val="TOC3"/>
            <w:rPr>
              <w:rFonts w:eastAsiaTheme="minorEastAsia"/>
              <w:noProof/>
              <w:kern w:val="2"/>
              <w:sz w:val="24"/>
              <w:szCs w:val="24"/>
              <w14:ligatures w14:val="standardContextual"/>
            </w:rPr>
          </w:pPr>
          <w:hyperlink w:anchor="_Toc236061664" w:history="1">
            <w:r w:rsidRPr="006A3921">
              <w:rPr>
                <w:rStyle w:val="Hyperlink"/>
                <w:noProof/>
              </w:rPr>
              <w:t>Boîte 1 : Législation</w:t>
            </w:r>
            <w:r>
              <w:rPr>
                <w:noProof/>
                <w:webHidden/>
              </w:rPr>
              <w:tab/>
            </w:r>
            <w:r>
              <w:rPr>
                <w:noProof/>
                <w:webHidden/>
              </w:rPr>
              <w:fldChar w:fldCharType="begin"/>
            </w:r>
            <w:r>
              <w:rPr>
                <w:noProof/>
                <w:webHidden/>
              </w:rPr>
              <w:instrText xml:space="preserve"> PAGEREF _Toc236061664 \h </w:instrText>
            </w:r>
            <w:r>
              <w:rPr>
                <w:noProof/>
                <w:webHidden/>
              </w:rPr>
            </w:r>
            <w:r>
              <w:rPr>
                <w:noProof/>
                <w:webHidden/>
              </w:rPr>
              <w:fldChar w:fldCharType="separate"/>
            </w:r>
            <w:r w:rsidR="00E6549D">
              <w:rPr>
                <w:noProof/>
                <w:webHidden/>
              </w:rPr>
              <w:t>27</w:t>
            </w:r>
            <w:r>
              <w:rPr>
                <w:noProof/>
                <w:webHidden/>
              </w:rPr>
              <w:fldChar w:fldCharType="end"/>
            </w:r>
          </w:hyperlink>
        </w:p>
        <w:p w14:paraId="403AEA47" w14:textId="716F6DFD"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65" w:history="1">
            <w:r w:rsidRPr="006A3921">
              <w:rPr>
                <w:rStyle w:val="Hyperlink"/>
                <w:noProof/>
              </w:rPr>
              <w:t>5.2.</w:t>
            </w:r>
            <w:r>
              <w:rPr>
                <w:rFonts w:eastAsiaTheme="minorEastAsia"/>
                <w:noProof/>
                <w:kern w:val="2"/>
                <w:sz w:val="24"/>
                <w:szCs w:val="24"/>
                <w14:ligatures w14:val="standardContextual"/>
              </w:rPr>
              <w:tab/>
            </w:r>
            <w:r w:rsidRPr="006A3921">
              <w:rPr>
                <w:rStyle w:val="Hyperlink"/>
                <w:noProof/>
              </w:rPr>
              <w:t>Mise en œuvre de la Convention Adoption de 1993 et ressources</w:t>
            </w:r>
            <w:r>
              <w:rPr>
                <w:noProof/>
                <w:webHidden/>
              </w:rPr>
              <w:tab/>
            </w:r>
            <w:r>
              <w:rPr>
                <w:noProof/>
                <w:webHidden/>
              </w:rPr>
              <w:fldChar w:fldCharType="begin"/>
            </w:r>
            <w:r>
              <w:rPr>
                <w:noProof/>
                <w:webHidden/>
              </w:rPr>
              <w:instrText xml:space="preserve"> PAGEREF _Toc236061665 \h </w:instrText>
            </w:r>
            <w:r>
              <w:rPr>
                <w:noProof/>
                <w:webHidden/>
              </w:rPr>
            </w:r>
            <w:r>
              <w:rPr>
                <w:noProof/>
                <w:webHidden/>
              </w:rPr>
              <w:fldChar w:fldCharType="separate"/>
            </w:r>
            <w:r w:rsidR="00E6549D">
              <w:rPr>
                <w:noProof/>
                <w:webHidden/>
              </w:rPr>
              <w:t>28</w:t>
            </w:r>
            <w:r>
              <w:rPr>
                <w:noProof/>
                <w:webHidden/>
              </w:rPr>
              <w:fldChar w:fldCharType="end"/>
            </w:r>
          </w:hyperlink>
        </w:p>
        <w:p w14:paraId="2F3A7DD6" w14:textId="32C8DB48" w:rsidR="00693752" w:rsidRDefault="00693752">
          <w:pPr>
            <w:pStyle w:val="TOC3"/>
            <w:rPr>
              <w:rFonts w:eastAsiaTheme="minorEastAsia"/>
              <w:noProof/>
              <w:kern w:val="2"/>
              <w:sz w:val="24"/>
              <w:szCs w:val="24"/>
              <w14:ligatures w14:val="standardContextual"/>
            </w:rPr>
          </w:pPr>
          <w:hyperlink w:anchor="_Toc236061666"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Problème : mise en œuvre inadaptée de la Convention et ressources inadéquates</w:t>
            </w:r>
            <w:r>
              <w:rPr>
                <w:noProof/>
                <w:webHidden/>
              </w:rPr>
              <w:tab/>
            </w:r>
            <w:r>
              <w:rPr>
                <w:noProof/>
                <w:webHidden/>
              </w:rPr>
              <w:fldChar w:fldCharType="begin"/>
            </w:r>
            <w:r>
              <w:rPr>
                <w:noProof/>
                <w:webHidden/>
              </w:rPr>
              <w:instrText xml:space="preserve"> PAGEREF _Toc236061666 \h </w:instrText>
            </w:r>
            <w:r>
              <w:rPr>
                <w:noProof/>
                <w:webHidden/>
              </w:rPr>
            </w:r>
            <w:r>
              <w:rPr>
                <w:noProof/>
                <w:webHidden/>
              </w:rPr>
              <w:fldChar w:fldCharType="separate"/>
            </w:r>
            <w:r w:rsidR="00E6549D">
              <w:rPr>
                <w:noProof/>
                <w:webHidden/>
              </w:rPr>
              <w:t>28</w:t>
            </w:r>
            <w:r>
              <w:rPr>
                <w:noProof/>
                <w:webHidden/>
              </w:rPr>
              <w:fldChar w:fldCharType="end"/>
            </w:r>
          </w:hyperlink>
        </w:p>
        <w:p w14:paraId="71FA3EA0" w14:textId="7F5C0079" w:rsidR="00693752" w:rsidRDefault="00693752">
          <w:pPr>
            <w:pStyle w:val="TOC3"/>
            <w:rPr>
              <w:rFonts w:eastAsiaTheme="minorEastAsia"/>
              <w:noProof/>
              <w:kern w:val="2"/>
              <w:sz w:val="24"/>
              <w:szCs w:val="24"/>
              <w14:ligatures w14:val="standardContextual"/>
            </w:rPr>
          </w:pPr>
          <w:hyperlink w:anchor="_Toc236061667"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Exemples de mesures visant à mettre en œuvre la Convention et à assurer des ressources adéquates</w:t>
            </w:r>
            <w:r>
              <w:rPr>
                <w:noProof/>
                <w:webHidden/>
              </w:rPr>
              <w:tab/>
            </w:r>
            <w:r>
              <w:rPr>
                <w:noProof/>
                <w:webHidden/>
              </w:rPr>
              <w:fldChar w:fldCharType="begin"/>
            </w:r>
            <w:r>
              <w:rPr>
                <w:noProof/>
                <w:webHidden/>
              </w:rPr>
              <w:instrText xml:space="preserve"> PAGEREF _Toc236061667 \h </w:instrText>
            </w:r>
            <w:r>
              <w:rPr>
                <w:noProof/>
                <w:webHidden/>
              </w:rPr>
            </w:r>
            <w:r>
              <w:rPr>
                <w:noProof/>
                <w:webHidden/>
              </w:rPr>
              <w:fldChar w:fldCharType="separate"/>
            </w:r>
            <w:r w:rsidR="00E6549D">
              <w:rPr>
                <w:noProof/>
                <w:webHidden/>
              </w:rPr>
              <w:t>28</w:t>
            </w:r>
            <w:r>
              <w:rPr>
                <w:noProof/>
                <w:webHidden/>
              </w:rPr>
              <w:fldChar w:fldCharType="end"/>
            </w:r>
          </w:hyperlink>
        </w:p>
        <w:p w14:paraId="28416FB2" w14:textId="019B9A32" w:rsidR="00693752" w:rsidRDefault="00693752">
          <w:pPr>
            <w:pStyle w:val="TOC3"/>
            <w:rPr>
              <w:rFonts w:eastAsiaTheme="minorEastAsia"/>
              <w:noProof/>
              <w:kern w:val="2"/>
              <w:sz w:val="24"/>
              <w:szCs w:val="24"/>
              <w14:ligatures w14:val="standardContextual"/>
            </w:rPr>
          </w:pPr>
          <w:hyperlink w:anchor="_Toc236061668" w:history="1">
            <w:r w:rsidRPr="006A3921">
              <w:rPr>
                <w:rStyle w:val="Hyperlink"/>
                <w:noProof/>
              </w:rPr>
              <w:t>Boîte 2 : Mise en œuvre, ressources et formation</w:t>
            </w:r>
            <w:r>
              <w:rPr>
                <w:noProof/>
                <w:webHidden/>
              </w:rPr>
              <w:tab/>
            </w:r>
            <w:r>
              <w:rPr>
                <w:noProof/>
                <w:webHidden/>
              </w:rPr>
              <w:fldChar w:fldCharType="begin"/>
            </w:r>
            <w:r>
              <w:rPr>
                <w:noProof/>
                <w:webHidden/>
              </w:rPr>
              <w:instrText xml:space="preserve"> PAGEREF _Toc236061668 \h </w:instrText>
            </w:r>
            <w:r>
              <w:rPr>
                <w:noProof/>
                <w:webHidden/>
              </w:rPr>
            </w:r>
            <w:r>
              <w:rPr>
                <w:noProof/>
                <w:webHidden/>
              </w:rPr>
              <w:fldChar w:fldCharType="separate"/>
            </w:r>
            <w:r w:rsidR="00E6549D">
              <w:rPr>
                <w:noProof/>
                <w:webHidden/>
              </w:rPr>
              <w:t>30</w:t>
            </w:r>
            <w:r>
              <w:rPr>
                <w:noProof/>
                <w:webHidden/>
              </w:rPr>
              <w:fldChar w:fldCharType="end"/>
            </w:r>
          </w:hyperlink>
        </w:p>
        <w:p w14:paraId="7166C4F8" w14:textId="7CF2217A"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69" w:history="1">
            <w:r w:rsidRPr="006A3921">
              <w:rPr>
                <w:rStyle w:val="Hyperlink"/>
                <w:noProof/>
              </w:rPr>
              <w:t>5.3.</w:t>
            </w:r>
            <w:r>
              <w:rPr>
                <w:rFonts w:eastAsiaTheme="minorEastAsia"/>
                <w:noProof/>
                <w:kern w:val="2"/>
                <w:sz w:val="24"/>
                <w:szCs w:val="24"/>
                <w14:ligatures w14:val="standardContextual"/>
              </w:rPr>
              <w:tab/>
            </w:r>
            <w:r w:rsidRPr="006A3921">
              <w:rPr>
                <w:rStyle w:val="Hyperlink"/>
                <w:noProof/>
              </w:rPr>
              <w:t>Responsabilité renforcée grâce à de meilleurs mécanismes de contrôle</w:t>
            </w:r>
            <w:r>
              <w:rPr>
                <w:noProof/>
                <w:webHidden/>
              </w:rPr>
              <w:tab/>
            </w:r>
            <w:r>
              <w:rPr>
                <w:noProof/>
                <w:webHidden/>
              </w:rPr>
              <w:fldChar w:fldCharType="begin"/>
            </w:r>
            <w:r>
              <w:rPr>
                <w:noProof/>
                <w:webHidden/>
              </w:rPr>
              <w:instrText xml:space="preserve"> PAGEREF _Toc236061669 \h </w:instrText>
            </w:r>
            <w:r>
              <w:rPr>
                <w:noProof/>
                <w:webHidden/>
              </w:rPr>
            </w:r>
            <w:r>
              <w:rPr>
                <w:noProof/>
                <w:webHidden/>
              </w:rPr>
              <w:fldChar w:fldCharType="separate"/>
            </w:r>
            <w:r w:rsidR="00E6549D">
              <w:rPr>
                <w:noProof/>
                <w:webHidden/>
              </w:rPr>
              <w:t>30</w:t>
            </w:r>
            <w:r>
              <w:rPr>
                <w:noProof/>
                <w:webHidden/>
              </w:rPr>
              <w:fldChar w:fldCharType="end"/>
            </w:r>
          </w:hyperlink>
        </w:p>
        <w:p w14:paraId="0E9F5EF9" w14:textId="15F1B411" w:rsidR="00693752" w:rsidRDefault="00693752">
          <w:pPr>
            <w:pStyle w:val="TOC3"/>
            <w:rPr>
              <w:rFonts w:eastAsiaTheme="minorEastAsia"/>
              <w:noProof/>
              <w:kern w:val="2"/>
              <w:sz w:val="24"/>
              <w:szCs w:val="24"/>
              <w14:ligatures w14:val="standardContextual"/>
            </w:rPr>
          </w:pPr>
          <w:hyperlink w:anchor="_Toc236061670"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Problème : Responsabilité et / ou mécanismes de contrôle inexistants, limités ou inappropriés en matière d’aspects financiers de l’adoption internationale</w:t>
            </w:r>
            <w:r>
              <w:rPr>
                <w:noProof/>
                <w:webHidden/>
              </w:rPr>
              <w:tab/>
            </w:r>
            <w:r>
              <w:rPr>
                <w:noProof/>
                <w:webHidden/>
              </w:rPr>
              <w:fldChar w:fldCharType="begin"/>
            </w:r>
            <w:r>
              <w:rPr>
                <w:noProof/>
                <w:webHidden/>
              </w:rPr>
              <w:instrText xml:space="preserve"> PAGEREF _Toc236061670 \h </w:instrText>
            </w:r>
            <w:r>
              <w:rPr>
                <w:noProof/>
                <w:webHidden/>
              </w:rPr>
            </w:r>
            <w:r>
              <w:rPr>
                <w:noProof/>
                <w:webHidden/>
              </w:rPr>
              <w:fldChar w:fldCharType="separate"/>
            </w:r>
            <w:r w:rsidR="00E6549D">
              <w:rPr>
                <w:noProof/>
                <w:webHidden/>
              </w:rPr>
              <w:t>30</w:t>
            </w:r>
            <w:r>
              <w:rPr>
                <w:noProof/>
                <w:webHidden/>
              </w:rPr>
              <w:fldChar w:fldCharType="end"/>
            </w:r>
          </w:hyperlink>
        </w:p>
        <w:p w14:paraId="130B3A1F" w14:textId="2DE1B641" w:rsidR="00693752" w:rsidRDefault="00693752">
          <w:pPr>
            <w:pStyle w:val="TOC3"/>
            <w:rPr>
              <w:rFonts w:eastAsiaTheme="minorEastAsia"/>
              <w:noProof/>
              <w:kern w:val="2"/>
              <w:sz w:val="24"/>
              <w:szCs w:val="24"/>
              <w14:ligatures w14:val="standardContextual"/>
            </w:rPr>
          </w:pPr>
          <w:hyperlink w:anchor="_Toc236061671"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Exemples de pratiques en matière de supervision et de suivi des aspects financiers de l’adoption internationale</w:t>
            </w:r>
            <w:r>
              <w:rPr>
                <w:noProof/>
                <w:webHidden/>
              </w:rPr>
              <w:tab/>
            </w:r>
            <w:r>
              <w:rPr>
                <w:noProof/>
                <w:webHidden/>
              </w:rPr>
              <w:fldChar w:fldCharType="begin"/>
            </w:r>
            <w:r>
              <w:rPr>
                <w:noProof/>
                <w:webHidden/>
              </w:rPr>
              <w:instrText xml:space="preserve"> PAGEREF _Toc236061671 \h </w:instrText>
            </w:r>
            <w:r>
              <w:rPr>
                <w:noProof/>
                <w:webHidden/>
              </w:rPr>
            </w:r>
            <w:r>
              <w:rPr>
                <w:noProof/>
                <w:webHidden/>
              </w:rPr>
              <w:fldChar w:fldCharType="separate"/>
            </w:r>
            <w:r w:rsidR="00E6549D">
              <w:rPr>
                <w:noProof/>
                <w:webHidden/>
              </w:rPr>
              <w:t>31</w:t>
            </w:r>
            <w:r>
              <w:rPr>
                <w:noProof/>
                <w:webHidden/>
              </w:rPr>
              <w:fldChar w:fldCharType="end"/>
            </w:r>
          </w:hyperlink>
        </w:p>
        <w:p w14:paraId="30C16B90" w14:textId="3B6DAD33" w:rsidR="00693752" w:rsidRDefault="00693752">
          <w:pPr>
            <w:pStyle w:val="TOC3"/>
            <w:rPr>
              <w:rFonts w:eastAsiaTheme="minorEastAsia"/>
              <w:noProof/>
              <w:kern w:val="2"/>
              <w:sz w:val="24"/>
              <w:szCs w:val="24"/>
              <w14:ligatures w14:val="standardContextual"/>
            </w:rPr>
          </w:pPr>
          <w:hyperlink w:anchor="_Toc236061672" w:history="1">
            <w:r w:rsidRPr="006A3921">
              <w:rPr>
                <w:rStyle w:val="Hyperlink"/>
                <w:noProof/>
              </w:rPr>
              <w:t>Boîte 3 : Responsabilité et contrôle</w:t>
            </w:r>
            <w:r>
              <w:rPr>
                <w:noProof/>
                <w:webHidden/>
              </w:rPr>
              <w:tab/>
            </w:r>
            <w:r>
              <w:rPr>
                <w:noProof/>
                <w:webHidden/>
              </w:rPr>
              <w:fldChar w:fldCharType="begin"/>
            </w:r>
            <w:r>
              <w:rPr>
                <w:noProof/>
                <w:webHidden/>
              </w:rPr>
              <w:instrText xml:space="preserve"> PAGEREF _Toc236061672 \h </w:instrText>
            </w:r>
            <w:r>
              <w:rPr>
                <w:noProof/>
                <w:webHidden/>
              </w:rPr>
            </w:r>
            <w:r>
              <w:rPr>
                <w:noProof/>
                <w:webHidden/>
              </w:rPr>
              <w:fldChar w:fldCharType="separate"/>
            </w:r>
            <w:r w:rsidR="00E6549D">
              <w:rPr>
                <w:noProof/>
                <w:webHidden/>
              </w:rPr>
              <w:t>33</w:t>
            </w:r>
            <w:r>
              <w:rPr>
                <w:noProof/>
                <w:webHidden/>
              </w:rPr>
              <w:fldChar w:fldCharType="end"/>
            </w:r>
          </w:hyperlink>
        </w:p>
        <w:p w14:paraId="074844EA" w14:textId="3013CE76"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73" w:history="1">
            <w:r w:rsidRPr="006A3921">
              <w:rPr>
                <w:rStyle w:val="Hyperlink"/>
                <w:noProof/>
              </w:rPr>
              <w:t>5.4.</w:t>
            </w:r>
            <w:r>
              <w:rPr>
                <w:rFonts w:eastAsiaTheme="minorEastAsia"/>
                <w:noProof/>
                <w:kern w:val="2"/>
                <w:sz w:val="24"/>
                <w:szCs w:val="24"/>
                <w14:ligatures w14:val="standardContextual"/>
              </w:rPr>
              <w:tab/>
            </w:r>
            <w:r w:rsidRPr="006A3921">
              <w:rPr>
                <w:rStyle w:val="Hyperlink"/>
                <w:noProof/>
              </w:rPr>
              <w:t>Mise en œuvre : sanctions renforcées</w:t>
            </w:r>
            <w:r>
              <w:rPr>
                <w:noProof/>
                <w:webHidden/>
              </w:rPr>
              <w:tab/>
            </w:r>
            <w:r>
              <w:rPr>
                <w:noProof/>
                <w:webHidden/>
              </w:rPr>
              <w:fldChar w:fldCharType="begin"/>
            </w:r>
            <w:r>
              <w:rPr>
                <w:noProof/>
                <w:webHidden/>
              </w:rPr>
              <w:instrText xml:space="preserve"> PAGEREF _Toc236061673 \h </w:instrText>
            </w:r>
            <w:r>
              <w:rPr>
                <w:noProof/>
                <w:webHidden/>
              </w:rPr>
            </w:r>
            <w:r>
              <w:rPr>
                <w:noProof/>
                <w:webHidden/>
              </w:rPr>
              <w:fldChar w:fldCharType="separate"/>
            </w:r>
            <w:r w:rsidR="00E6549D">
              <w:rPr>
                <w:noProof/>
                <w:webHidden/>
              </w:rPr>
              <w:t>33</w:t>
            </w:r>
            <w:r>
              <w:rPr>
                <w:noProof/>
                <w:webHidden/>
              </w:rPr>
              <w:fldChar w:fldCharType="end"/>
            </w:r>
          </w:hyperlink>
        </w:p>
        <w:p w14:paraId="7A887110" w14:textId="0C182E31" w:rsidR="00693752" w:rsidRDefault="00693752">
          <w:pPr>
            <w:pStyle w:val="TOC3"/>
            <w:rPr>
              <w:rFonts w:eastAsiaTheme="minorEastAsia"/>
              <w:noProof/>
              <w:kern w:val="2"/>
              <w:sz w:val="24"/>
              <w:szCs w:val="24"/>
              <w14:ligatures w14:val="standardContextual"/>
            </w:rPr>
          </w:pPr>
          <w:hyperlink w:anchor="_Toc236061674"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Problème : légèreté des sanctions et inefficacité des moyens de dissuasion</w:t>
            </w:r>
            <w:r>
              <w:rPr>
                <w:noProof/>
                <w:webHidden/>
              </w:rPr>
              <w:tab/>
            </w:r>
            <w:r>
              <w:rPr>
                <w:noProof/>
                <w:webHidden/>
              </w:rPr>
              <w:fldChar w:fldCharType="begin"/>
            </w:r>
            <w:r>
              <w:rPr>
                <w:noProof/>
                <w:webHidden/>
              </w:rPr>
              <w:instrText xml:space="preserve"> PAGEREF _Toc236061674 \h </w:instrText>
            </w:r>
            <w:r>
              <w:rPr>
                <w:noProof/>
                <w:webHidden/>
              </w:rPr>
            </w:r>
            <w:r>
              <w:rPr>
                <w:noProof/>
                <w:webHidden/>
              </w:rPr>
              <w:fldChar w:fldCharType="separate"/>
            </w:r>
            <w:r w:rsidR="00E6549D">
              <w:rPr>
                <w:noProof/>
                <w:webHidden/>
              </w:rPr>
              <w:t>33</w:t>
            </w:r>
            <w:r>
              <w:rPr>
                <w:noProof/>
                <w:webHidden/>
              </w:rPr>
              <w:fldChar w:fldCharType="end"/>
            </w:r>
          </w:hyperlink>
        </w:p>
        <w:p w14:paraId="5F666B85" w14:textId="15587072" w:rsidR="00693752" w:rsidRDefault="00693752">
          <w:pPr>
            <w:pStyle w:val="TOC3"/>
            <w:rPr>
              <w:rFonts w:eastAsiaTheme="minorEastAsia"/>
              <w:noProof/>
              <w:kern w:val="2"/>
              <w:sz w:val="24"/>
              <w:szCs w:val="24"/>
              <w14:ligatures w14:val="standardContextual"/>
            </w:rPr>
          </w:pPr>
          <w:hyperlink w:anchor="_Toc236061675"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Exemples de pratiques visant à renforcer les sanctions et leur effet dissuasif</w:t>
            </w:r>
            <w:r>
              <w:rPr>
                <w:noProof/>
                <w:webHidden/>
              </w:rPr>
              <w:tab/>
            </w:r>
            <w:r>
              <w:rPr>
                <w:noProof/>
                <w:webHidden/>
              </w:rPr>
              <w:fldChar w:fldCharType="begin"/>
            </w:r>
            <w:r>
              <w:rPr>
                <w:noProof/>
                <w:webHidden/>
              </w:rPr>
              <w:instrText xml:space="preserve"> PAGEREF _Toc236061675 \h </w:instrText>
            </w:r>
            <w:r>
              <w:rPr>
                <w:noProof/>
                <w:webHidden/>
              </w:rPr>
            </w:r>
            <w:r>
              <w:rPr>
                <w:noProof/>
                <w:webHidden/>
              </w:rPr>
              <w:fldChar w:fldCharType="separate"/>
            </w:r>
            <w:r w:rsidR="00E6549D">
              <w:rPr>
                <w:noProof/>
                <w:webHidden/>
              </w:rPr>
              <w:t>35</w:t>
            </w:r>
            <w:r>
              <w:rPr>
                <w:noProof/>
                <w:webHidden/>
              </w:rPr>
              <w:fldChar w:fldCharType="end"/>
            </w:r>
          </w:hyperlink>
        </w:p>
        <w:p w14:paraId="7737BF21" w14:textId="7EB51A37" w:rsidR="00693752" w:rsidRDefault="00693752">
          <w:pPr>
            <w:pStyle w:val="TOC3"/>
            <w:rPr>
              <w:rFonts w:eastAsiaTheme="minorEastAsia"/>
              <w:noProof/>
              <w:kern w:val="2"/>
              <w:sz w:val="24"/>
              <w:szCs w:val="24"/>
              <w14:ligatures w14:val="standardContextual"/>
            </w:rPr>
          </w:pPr>
          <w:hyperlink w:anchor="_Toc236061676" w:history="1">
            <w:r w:rsidRPr="006A3921">
              <w:rPr>
                <w:rStyle w:val="Hyperlink"/>
                <w:noProof/>
              </w:rPr>
              <w:t>Boîte 4 : Sanctions et mesures dissuasives</w:t>
            </w:r>
            <w:r>
              <w:rPr>
                <w:noProof/>
                <w:webHidden/>
              </w:rPr>
              <w:tab/>
            </w:r>
            <w:r>
              <w:rPr>
                <w:noProof/>
                <w:webHidden/>
              </w:rPr>
              <w:fldChar w:fldCharType="begin"/>
            </w:r>
            <w:r>
              <w:rPr>
                <w:noProof/>
                <w:webHidden/>
              </w:rPr>
              <w:instrText xml:space="preserve"> PAGEREF _Toc236061676 \h </w:instrText>
            </w:r>
            <w:r>
              <w:rPr>
                <w:noProof/>
                <w:webHidden/>
              </w:rPr>
            </w:r>
            <w:r>
              <w:rPr>
                <w:noProof/>
                <w:webHidden/>
              </w:rPr>
              <w:fldChar w:fldCharType="separate"/>
            </w:r>
            <w:r w:rsidR="00E6549D">
              <w:rPr>
                <w:noProof/>
                <w:webHidden/>
              </w:rPr>
              <w:t>36</w:t>
            </w:r>
            <w:r>
              <w:rPr>
                <w:noProof/>
                <w:webHidden/>
              </w:rPr>
              <w:fldChar w:fldCharType="end"/>
            </w:r>
          </w:hyperlink>
        </w:p>
        <w:p w14:paraId="30AC51D2" w14:textId="2F18102F" w:rsidR="00693752" w:rsidRDefault="00693752">
          <w:pPr>
            <w:pStyle w:val="TOC1"/>
            <w:rPr>
              <w:rFonts w:asciiTheme="minorHAnsi" w:eastAsiaTheme="minorEastAsia" w:hAnsiTheme="minorHAnsi"/>
              <w:kern w:val="2"/>
              <w:sz w:val="24"/>
              <w:szCs w:val="24"/>
              <w14:ligatures w14:val="standardContextual"/>
            </w:rPr>
          </w:pPr>
          <w:hyperlink w:anchor="_Toc236061677" w:history="1">
            <w:r w:rsidRPr="006A3921">
              <w:rPr>
                <w:rStyle w:val="Hyperlink"/>
                <w:b/>
              </w:rPr>
              <w:t>6.</w:t>
            </w:r>
            <w:r>
              <w:rPr>
                <w:rFonts w:asciiTheme="minorHAnsi" w:eastAsiaTheme="minorEastAsia" w:hAnsiTheme="minorHAnsi"/>
                <w:kern w:val="2"/>
                <w:sz w:val="24"/>
                <w:szCs w:val="24"/>
                <w14:ligatures w14:val="standardContextual"/>
              </w:rPr>
              <w:tab/>
            </w:r>
            <w:r w:rsidRPr="006A3921">
              <w:rPr>
                <w:rStyle w:val="Hyperlink"/>
                <w:b/>
              </w:rPr>
              <w:t>TRASNPARENCE ET CARACTÈRE RAISONNABLE</w:t>
            </w:r>
            <w:r>
              <w:rPr>
                <w:webHidden/>
              </w:rPr>
              <w:tab/>
            </w:r>
            <w:r>
              <w:rPr>
                <w:webHidden/>
              </w:rPr>
              <w:fldChar w:fldCharType="begin"/>
            </w:r>
            <w:r>
              <w:rPr>
                <w:webHidden/>
              </w:rPr>
              <w:instrText xml:space="preserve"> PAGEREF _Toc236061677 \h </w:instrText>
            </w:r>
            <w:r>
              <w:rPr>
                <w:webHidden/>
              </w:rPr>
            </w:r>
            <w:r>
              <w:rPr>
                <w:webHidden/>
              </w:rPr>
              <w:fldChar w:fldCharType="separate"/>
            </w:r>
            <w:r w:rsidR="00E6549D">
              <w:rPr>
                <w:webHidden/>
              </w:rPr>
              <w:t>39</w:t>
            </w:r>
            <w:r>
              <w:rPr>
                <w:webHidden/>
              </w:rPr>
              <w:fldChar w:fldCharType="end"/>
            </w:r>
          </w:hyperlink>
        </w:p>
        <w:p w14:paraId="5DCBB071" w14:textId="12BFA924"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78" w:history="1">
            <w:r w:rsidRPr="006A3921">
              <w:rPr>
                <w:rStyle w:val="Hyperlink"/>
                <w:noProof/>
              </w:rPr>
              <w:t>6.1.</w:t>
            </w:r>
            <w:r>
              <w:rPr>
                <w:rFonts w:eastAsiaTheme="minorEastAsia"/>
                <w:noProof/>
                <w:kern w:val="2"/>
                <w:sz w:val="24"/>
                <w:szCs w:val="24"/>
                <w14:ligatures w14:val="standardContextual"/>
              </w:rPr>
              <w:tab/>
            </w:r>
            <w:r w:rsidRPr="006A3921">
              <w:rPr>
                <w:rStyle w:val="Hyperlink"/>
                <w:noProof/>
              </w:rPr>
              <w:t>Transparence</w:t>
            </w:r>
            <w:r>
              <w:rPr>
                <w:noProof/>
                <w:webHidden/>
              </w:rPr>
              <w:tab/>
            </w:r>
            <w:r>
              <w:rPr>
                <w:noProof/>
                <w:webHidden/>
              </w:rPr>
              <w:fldChar w:fldCharType="begin"/>
            </w:r>
            <w:r>
              <w:rPr>
                <w:noProof/>
                <w:webHidden/>
              </w:rPr>
              <w:instrText xml:space="preserve"> PAGEREF _Toc236061678 \h </w:instrText>
            </w:r>
            <w:r>
              <w:rPr>
                <w:noProof/>
                <w:webHidden/>
              </w:rPr>
            </w:r>
            <w:r>
              <w:rPr>
                <w:noProof/>
                <w:webHidden/>
              </w:rPr>
              <w:fldChar w:fldCharType="separate"/>
            </w:r>
            <w:r w:rsidR="00E6549D">
              <w:rPr>
                <w:noProof/>
                <w:webHidden/>
              </w:rPr>
              <w:t>39</w:t>
            </w:r>
            <w:r>
              <w:rPr>
                <w:noProof/>
                <w:webHidden/>
              </w:rPr>
              <w:fldChar w:fldCharType="end"/>
            </w:r>
          </w:hyperlink>
        </w:p>
        <w:p w14:paraId="6A3CC001" w14:textId="6FB0A051" w:rsidR="00693752" w:rsidRDefault="00693752">
          <w:pPr>
            <w:pStyle w:val="TOC3"/>
            <w:rPr>
              <w:rFonts w:eastAsiaTheme="minorEastAsia"/>
              <w:noProof/>
              <w:kern w:val="2"/>
              <w:sz w:val="24"/>
              <w:szCs w:val="24"/>
              <w14:ligatures w14:val="standardContextual"/>
            </w:rPr>
          </w:pPr>
          <w:hyperlink w:anchor="_Toc236061679"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Problème : manque de transparence</w:t>
            </w:r>
            <w:r>
              <w:rPr>
                <w:noProof/>
                <w:webHidden/>
              </w:rPr>
              <w:tab/>
            </w:r>
            <w:r>
              <w:rPr>
                <w:noProof/>
                <w:webHidden/>
              </w:rPr>
              <w:fldChar w:fldCharType="begin"/>
            </w:r>
            <w:r>
              <w:rPr>
                <w:noProof/>
                <w:webHidden/>
              </w:rPr>
              <w:instrText xml:space="preserve"> PAGEREF _Toc236061679 \h </w:instrText>
            </w:r>
            <w:r>
              <w:rPr>
                <w:noProof/>
                <w:webHidden/>
              </w:rPr>
            </w:r>
            <w:r>
              <w:rPr>
                <w:noProof/>
                <w:webHidden/>
              </w:rPr>
              <w:fldChar w:fldCharType="separate"/>
            </w:r>
            <w:r w:rsidR="00E6549D">
              <w:rPr>
                <w:noProof/>
                <w:webHidden/>
              </w:rPr>
              <w:t>39</w:t>
            </w:r>
            <w:r>
              <w:rPr>
                <w:noProof/>
                <w:webHidden/>
              </w:rPr>
              <w:fldChar w:fldCharType="end"/>
            </w:r>
          </w:hyperlink>
        </w:p>
        <w:p w14:paraId="379EE837" w14:textId="22B1526B" w:rsidR="00693752" w:rsidRDefault="00693752">
          <w:pPr>
            <w:pStyle w:val="TOC3"/>
            <w:rPr>
              <w:rFonts w:eastAsiaTheme="minorEastAsia"/>
              <w:noProof/>
              <w:kern w:val="2"/>
              <w:sz w:val="24"/>
              <w:szCs w:val="24"/>
              <w14:ligatures w14:val="standardContextual"/>
            </w:rPr>
          </w:pPr>
          <w:hyperlink w:anchor="_Toc236061680"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Exemples de pratiques en faveur de la transparence</w:t>
            </w:r>
            <w:r>
              <w:rPr>
                <w:noProof/>
                <w:webHidden/>
              </w:rPr>
              <w:tab/>
            </w:r>
            <w:r>
              <w:rPr>
                <w:noProof/>
                <w:webHidden/>
              </w:rPr>
              <w:fldChar w:fldCharType="begin"/>
            </w:r>
            <w:r>
              <w:rPr>
                <w:noProof/>
                <w:webHidden/>
              </w:rPr>
              <w:instrText xml:space="preserve"> PAGEREF _Toc236061680 \h </w:instrText>
            </w:r>
            <w:r>
              <w:rPr>
                <w:noProof/>
                <w:webHidden/>
              </w:rPr>
            </w:r>
            <w:r>
              <w:rPr>
                <w:noProof/>
                <w:webHidden/>
              </w:rPr>
              <w:fldChar w:fldCharType="separate"/>
            </w:r>
            <w:r w:rsidR="00E6549D">
              <w:rPr>
                <w:noProof/>
                <w:webHidden/>
              </w:rPr>
              <w:t>40</w:t>
            </w:r>
            <w:r>
              <w:rPr>
                <w:noProof/>
                <w:webHidden/>
              </w:rPr>
              <w:fldChar w:fldCharType="end"/>
            </w:r>
          </w:hyperlink>
        </w:p>
        <w:p w14:paraId="663F5780" w14:textId="0EAE6511" w:rsidR="00693752" w:rsidRDefault="00693752">
          <w:pPr>
            <w:pStyle w:val="TOC3"/>
            <w:rPr>
              <w:rFonts w:eastAsiaTheme="minorEastAsia"/>
              <w:noProof/>
              <w:kern w:val="2"/>
              <w:sz w:val="24"/>
              <w:szCs w:val="24"/>
              <w14:ligatures w14:val="standardContextual"/>
            </w:rPr>
          </w:pPr>
          <w:hyperlink w:anchor="_Toc236061681" w:history="1">
            <w:r w:rsidRPr="006A3921">
              <w:rPr>
                <w:rStyle w:val="Hyperlink"/>
                <w:noProof/>
              </w:rPr>
              <w:t>Boîte 5 : Recueil des données et Tableaux sur les aspects financiers</w:t>
            </w:r>
            <w:r>
              <w:rPr>
                <w:noProof/>
                <w:webHidden/>
              </w:rPr>
              <w:tab/>
            </w:r>
            <w:r>
              <w:rPr>
                <w:noProof/>
                <w:webHidden/>
              </w:rPr>
              <w:fldChar w:fldCharType="begin"/>
            </w:r>
            <w:r>
              <w:rPr>
                <w:noProof/>
                <w:webHidden/>
              </w:rPr>
              <w:instrText xml:space="preserve"> PAGEREF _Toc236061681 \h </w:instrText>
            </w:r>
            <w:r>
              <w:rPr>
                <w:noProof/>
                <w:webHidden/>
              </w:rPr>
            </w:r>
            <w:r>
              <w:rPr>
                <w:noProof/>
                <w:webHidden/>
              </w:rPr>
              <w:fldChar w:fldCharType="separate"/>
            </w:r>
            <w:r w:rsidR="00E6549D">
              <w:rPr>
                <w:noProof/>
                <w:webHidden/>
              </w:rPr>
              <w:t>42</w:t>
            </w:r>
            <w:r>
              <w:rPr>
                <w:noProof/>
                <w:webHidden/>
              </w:rPr>
              <w:fldChar w:fldCharType="end"/>
            </w:r>
          </w:hyperlink>
        </w:p>
        <w:p w14:paraId="270CBB51" w14:textId="550C6DE6" w:rsidR="00693752" w:rsidRDefault="00693752">
          <w:pPr>
            <w:pStyle w:val="TOC3"/>
            <w:rPr>
              <w:rFonts w:eastAsiaTheme="minorEastAsia"/>
              <w:noProof/>
              <w:kern w:val="2"/>
              <w:sz w:val="24"/>
              <w:szCs w:val="24"/>
              <w14:ligatures w14:val="standardContextual"/>
            </w:rPr>
          </w:pPr>
          <w:hyperlink w:anchor="_Toc236061682" w:history="1">
            <w:r w:rsidRPr="006A3921">
              <w:rPr>
                <w:rStyle w:val="Hyperlink"/>
                <w:noProof/>
              </w:rPr>
              <w:t>Boîte 6 : Informations transmises par les autorités</w:t>
            </w:r>
            <w:r>
              <w:rPr>
                <w:noProof/>
                <w:webHidden/>
              </w:rPr>
              <w:tab/>
            </w:r>
            <w:r>
              <w:rPr>
                <w:noProof/>
                <w:webHidden/>
              </w:rPr>
              <w:fldChar w:fldCharType="begin"/>
            </w:r>
            <w:r>
              <w:rPr>
                <w:noProof/>
                <w:webHidden/>
              </w:rPr>
              <w:instrText xml:space="preserve"> PAGEREF _Toc236061682 \h </w:instrText>
            </w:r>
            <w:r>
              <w:rPr>
                <w:noProof/>
                <w:webHidden/>
              </w:rPr>
            </w:r>
            <w:r>
              <w:rPr>
                <w:noProof/>
                <w:webHidden/>
              </w:rPr>
              <w:fldChar w:fldCharType="separate"/>
            </w:r>
            <w:r w:rsidR="00E6549D">
              <w:rPr>
                <w:noProof/>
                <w:webHidden/>
              </w:rPr>
              <w:t>42</w:t>
            </w:r>
            <w:r>
              <w:rPr>
                <w:noProof/>
                <w:webHidden/>
              </w:rPr>
              <w:fldChar w:fldCharType="end"/>
            </w:r>
          </w:hyperlink>
        </w:p>
        <w:p w14:paraId="2E7AE8E5" w14:textId="4B0AEE24" w:rsidR="00693752" w:rsidRDefault="00693752">
          <w:pPr>
            <w:pStyle w:val="TOC3"/>
            <w:rPr>
              <w:rFonts w:eastAsiaTheme="minorEastAsia"/>
              <w:noProof/>
              <w:kern w:val="2"/>
              <w:sz w:val="24"/>
              <w:szCs w:val="24"/>
              <w14:ligatures w14:val="standardContextual"/>
            </w:rPr>
          </w:pPr>
          <w:hyperlink w:anchor="_Toc236061683" w:history="1">
            <w:r w:rsidRPr="006A3921">
              <w:rPr>
                <w:rStyle w:val="Hyperlink"/>
                <w:noProof/>
              </w:rPr>
              <w:t>Boîte 7 : Informations transmises par les OAA</w:t>
            </w:r>
            <w:r>
              <w:rPr>
                <w:noProof/>
                <w:webHidden/>
              </w:rPr>
              <w:tab/>
            </w:r>
            <w:r>
              <w:rPr>
                <w:noProof/>
                <w:webHidden/>
              </w:rPr>
              <w:fldChar w:fldCharType="begin"/>
            </w:r>
            <w:r>
              <w:rPr>
                <w:noProof/>
                <w:webHidden/>
              </w:rPr>
              <w:instrText xml:space="preserve"> PAGEREF _Toc236061683 \h </w:instrText>
            </w:r>
            <w:r>
              <w:rPr>
                <w:noProof/>
                <w:webHidden/>
              </w:rPr>
            </w:r>
            <w:r>
              <w:rPr>
                <w:noProof/>
                <w:webHidden/>
              </w:rPr>
              <w:fldChar w:fldCharType="separate"/>
            </w:r>
            <w:r w:rsidR="00E6549D">
              <w:rPr>
                <w:noProof/>
                <w:webHidden/>
              </w:rPr>
              <w:t>43</w:t>
            </w:r>
            <w:r>
              <w:rPr>
                <w:noProof/>
                <w:webHidden/>
              </w:rPr>
              <w:fldChar w:fldCharType="end"/>
            </w:r>
          </w:hyperlink>
        </w:p>
        <w:p w14:paraId="3C456432" w14:textId="38A526A2" w:rsidR="00693752" w:rsidRDefault="00693752">
          <w:pPr>
            <w:pStyle w:val="TOC3"/>
            <w:rPr>
              <w:rFonts w:eastAsiaTheme="minorEastAsia"/>
              <w:noProof/>
              <w:kern w:val="2"/>
              <w:sz w:val="24"/>
              <w:szCs w:val="24"/>
              <w14:ligatures w14:val="standardContextual"/>
            </w:rPr>
          </w:pPr>
          <w:hyperlink w:anchor="_Toc236061684" w:history="1">
            <w:r w:rsidRPr="006A3921">
              <w:rPr>
                <w:rStyle w:val="Hyperlink"/>
                <w:noProof/>
              </w:rPr>
              <w:t>Boîte 8 : Informations complètes, précises, fiables et à jour</w:t>
            </w:r>
            <w:r>
              <w:rPr>
                <w:noProof/>
                <w:webHidden/>
              </w:rPr>
              <w:tab/>
            </w:r>
            <w:r>
              <w:rPr>
                <w:noProof/>
                <w:webHidden/>
              </w:rPr>
              <w:fldChar w:fldCharType="begin"/>
            </w:r>
            <w:r>
              <w:rPr>
                <w:noProof/>
                <w:webHidden/>
              </w:rPr>
              <w:instrText xml:space="preserve"> PAGEREF _Toc236061684 \h </w:instrText>
            </w:r>
            <w:r>
              <w:rPr>
                <w:noProof/>
                <w:webHidden/>
              </w:rPr>
            </w:r>
            <w:r>
              <w:rPr>
                <w:noProof/>
                <w:webHidden/>
              </w:rPr>
              <w:fldChar w:fldCharType="separate"/>
            </w:r>
            <w:r w:rsidR="00E6549D">
              <w:rPr>
                <w:noProof/>
                <w:webHidden/>
              </w:rPr>
              <w:t>44</w:t>
            </w:r>
            <w:r>
              <w:rPr>
                <w:noProof/>
                <w:webHidden/>
              </w:rPr>
              <w:fldChar w:fldCharType="end"/>
            </w:r>
          </w:hyperlink>
        </w:p>
        <w:p w14:paraId="4D21A52F" w14:textId="3B9B4848" w:rsidR="00693752" w:rsidRDefault="00693752">
          <w:pPr>
            <w:pStyle w:val="TOC3"/>
            <w:rPr>
              <w:rFonts w:eastAsiaTheme="minorEastAsia"/>
              <w:noProof/>
              <w:kern w:val="2"/>
              <w:sz w:val="24"/>
              <w:szCs w:val="24"/>
              <w14:ligatures w14:val="standardContextual"/>
            </w:rPr>
          </w:pPr>
          <w:hyperlink w:anchor="_Toc236061685" w:history="1">
            <w:r w:rsidRPr="006A3921">
              <w:rPr>
                <w:rStyle w:val="Hyperlink"/>
                <w:noProof/>
              </w:rPr>
              <w:t>Boîte 9 : Distinction entre les frais, les honoraires et les contributions</w:t>
            </w:r>
            <w:r>
              <w:rPr>
                <w:noProof/>
                <w:webHidden/>
              </w:rPr>
              <w:tab/>
            </w:r>
            <w:r>
              <w:rPr>
                <w:noProof/>
                <w:webHidden/>
              </w:rPr>
              <w:fldChar w:fldCharType="begin"/>
            </w:r>
            <w:r>
              <w:rPr>
                <w:noProof/>
                <w:webHidden/>
              </w:rPr>
              <w:instrText xml:space="preserve"> PAGEREF _Toc236061685 \h </w:instrText>
            </w:r>
            <w:r>
              <w:rPr>
                <w:noProof/>
                <w:webHidden/>
              </w:rPr>
            </w:r>
            <w:r>
              <w:rPr>
                <w:noProof/>
                <w:webHidden/>
              </w:rPr>
              <w:fldChar w:fldCharType="separate"/>
            </w:r>
            <w:r w:rsidR="00E6549D">
              <w:rPr>
                <w:noProof/>
                <w:webHidden/>
              </w:rPr>
              <w:t>44</w:t>
            </w:r>
            <w:r>
              <w:rPr>
                <w:noProof/>
                <w:webHidden/>
              </w:rPr>
              <w:fldChar w:fldCharType="end"/>
            </w:r>
          </w:hyperlink>
        </w:p>
        <w:p w14:paraId="1ECADFCE" w14:textId="1F8FF5FB" w:rsidR="00693752" w:rsidRDefault="00693752">
          <w:pPr>
            <w:pStyle w:val="TOC3"/>
            <w:rPr>
              <w:rFonts w:eastAsiaTheme="minorEastAsia"/>
              <w:noProof/>
              <w:kern w:val="2"/>
              <w:sz w:val="24"/>
              <w:szCs w:val="24"/>
              <w14:ligatures w14:val="standardContextual"/>
            </w:rPr>
          </w:pPr>
          <w:hyperlink w:anchor="_Toc236061686" w:history="1">
            <w:r w:rsidRPr="006A3921">
              <w:rPr>
                <w:rStyle w:val="Hyperlink"/>
                <w:noProof/>
              </w:rPr>
              <w:t>Boîte 10 : Publicité</w:t>
            </w:r>
            <w:r>
              <w:rPr>
                <w:noProof/>
                <w:webHidden/>
              </w:rPr>
              <w:tab/>
            </w:r>
            <w:r>
              <w:rPr>
                <w:noProof/>
                <w:webHidden/>
              </w:rPr>
              <w:fldChar w:fldCharType="begin"/>
            </w:r>
            <w:r>
              <w:rPr>
                <w:noProof/>
                <w:webHidden/>
              </w:rPr>
              <w:instrText xml:space="preserve"> PAGEREF _Toc236061686 \h </w:instrText>
            </w:r>
            <w:r>
              <w:rPr>
                <w:noProof/>
                <w:webHidden/>
              </w:rPr>
            </w:r>
            <w:r>
              <w:rPr>
                <w:noProof/>
                <w:webHidden/>
              </w:rPr>
              <w:fldChar w:fldCharType="separate"/>
            </w:r>
            <w:r w:rsidR="00E6549D">
              <w:rPr>
                <w:noProof/>
                <w:webHidden/>
              </w:rPr>
              <w:t>45</w:t>
            </w:r>
            <w:r>
              <w:rPr>
                <w:noProof/>
                <w:webHidden/>
              </w:rPr>
              <w:fldChar w:fldCharType="end"/>
            </w:r>
          </w:hyperlink>
        </w:p>
        <w:p w14:paraId="67F8B29B" w14:textId="529F6AC0" w:rsidR="00693752" w:rsidRDefault="00693752">
          <w:pPr>
            <w:pStyle w:val="TOC3"/>
            <w:rPr>
              <w:rFonts w:eastAsiaTheme="minorEastAsia"/>
              <w:noProof/>
              <w:kern w:val="2"/>
              <w:sz w:val="24"/>
              <w:szCs w:val="24"/>
              <w14:ligatures w14:val="standardContextual"/>
            </w:rPr>
          </w:pPr>
          <w:hyperlink w:anchor="_Toc236061687" w:history="1">
            <w:r w:rsidRPr="006A3921">
              <w:rPr>
                <w:rStyle w:val="Hyperlink"/>
                <w:noProof/>
              </w:rPr>
              <w:t>Boîte 11 : Notification des coûts et échéancier</w:t>
            </w:r>
            <w:r>
              <w:rPr>
                <w:noProof/>
                <w:webHidden/>
              </w:rPr>
              <w:tab/>
            </w:r>
            <w:r>
              <w:rPr>
                <w:noProof/>
                <w:webHidden/>
              </w:rPr>
              <w:fldChar w:fldCharType="begin"/>
            </w:r>
            <w:r>
              <w:rPr>
                <w:noProof/>
                <w:webHidden/>
              </w:rPr>
              <w:instrText xml:space="preserve"> PAGEREF _Toc236061687 \h </w:instrText>
            </w:r>
            <w:r>
              <w:rPr>
                <w:noProof/>
                <w:webHidden/>
              </w:rPr>
            </w:r>
            <w:r>
              <w:rPr>
                <w:noProof/>
                <w:webHidden/>
              </w:rPr>
              <w:fldChar w:fldCharType="separate"/>
            </w:r>
            <w:r w:rsidR="00E6549D">
              <w:rPr>
                <w:noProof/>
                <w:webHidden/>
              </w:rPr>
              <w:t>47</w:t>
            </w:r>
            <w:r>
              <w:rPr>
                <w:noProof/>
                <w:webHidden/>
              </w:rPr>
              <w:fldChar w:fldCharType="end"/>
            </w:r>
          </w:hyperlink>
        </w:p>
        <w:p w14:paraId="4AE8DD2B" w14:textId="4F36D948" w:rsidR="00693752" w:rsidRDefault="00693752">
          <w:pPr>
            <w:pStyle w:val="TOC3"/>
            <w:rPr>
              <w:rFonts w:eastAsiaTheme="minorEastAsia"/>
              <w:noProof/>
              <w:kern w:val="2"/>
              <w:sz w:val="24"/>
              <w:szCs w:val="24"/>
              <w14:ligatures w14:val="standardContextual"/>
            </w:rPr>
          </w:pPr>
          <w:hyperlink w:anchor="_Toc236061688" w:history="1">
            <w:r w:rsidRPr="006A3921">
              <w:rPr>
                <w:rStyle w:val="Hyperlink"/>
                <w:noProof/>
              </w:rPr>
              <w:t>Boîte 12 : Paiements au moyen de transactions financières enregistrées</w:t>
            </w:r>
            <w:r>
              <w:rPr>
                <w:noProof/>
                <w:webHidden/>
              </w:rPr>
              <w:tab/>
            </w:r>
            <w:r>
              <w:rPr>
                <w:noProof/>
                <w:webHidden/>
              </w:rPr>
              <w:fldChar w:fldCharType="begin"/>
            </w:r>
            <w:r>
              <w:rPr>
                <w:noProof/>
                <w:webHidden/>
              </w:rPr>
              <w:instrText xml:space="preserve"> PAGEREF _Toc236061688 \h </w:instrText>
            </w:r>
            <w:r>
              <w:rPr>
                <w:noProof/>
                <w:webHidden/>
              </w:rPr>
            </w:r>
            <w:r>
              <w:rPr>
                <w:noProof/>
                <w:webHidden/>
              </w:rPr>
              <w:fldChar w:fldCharType="separate"/>
            </w:r>
            <w:r w:rsidR="00E6549D">
              <w:rPr>
                <w:noProof/>
                <w:webHidden/>
              </w:rPr>
              <w:t>47</w:t>
            </w:r>
            <w:r>
              <w:rPr>
                <w:noProof/>
                <w:webHidden/>
              </w:rPr>
              <w:fldChar w:fldCharType="end"/>
            </w:r>
          </w:hyperlink>
        </w:p>
        <w:p w14:paraId="627993EF" w14:textId="0F31BE6E" w:rsidR="00693752" w:rsidRDefault="00693752">
          <w:pPr>
            <w:pStyle w:val="TOC3"/>
            <w:rPr>
              <w:rFonts w:eastAsiaTheme="minorEastAsia"/>
              <w:noProof/>
              <w:kern w:val="2"/>
              <w:sz w:val="24"/>
              <w:szCs w:val="24"/>
              <w14:ligatures w14:val="standardContextual"/>
            </w:rPr>
          </w:pPr>
          <w:hyperlink w:anchor="_Toc236061689" w:history="1">
            <w:r w:rsidRPr="006A3921">
              <w:rPr>
                <w:rStyle w:val="Hyperlink"/>
                <w:noProof/>
              </w:rPr>
              <w:t>Boîte 13 : Paiements effectués par l’intermédiaire de l’Autorité centrale ou des OAA</w:t>
            </w:r>
            <w:r>
              <w:rPr>
                <w:noProof/>
                <w:webHidden/>
              </w:rPr>
              <w:tab/>
            </w:r>
            <w:r>
              <w:rPr>
                <w:noProof/>
                <w:webHidden/>
              </w:rPr>
              <w:fldChar w:fldCharType="begin"/>
            </w:r>
            <w:r>
              <w:rPr>
                <w:noProof/>
                <w:webHidden/>
              </w:rPr>
              <w:instrText xml:space="preserve"> PAGEREF _Toc236061689 \h </w:instrText>
            </w:r>
            <w:r>
              <w:rPr>
                <w:noProof/>
                <w:webHidden/>
              </w:rPr>
            </w:r>
            <w:r>
              <w:rPr>
                <w:noProof/>
                <w:webHidden/>
              </w:rPr>
              <w:fldChar w:fldCharType="separate"/>
            </w:r>
            <w:r w:rsidR="00E6549D">
              <w:rPr>
                <w:noProof/>
                <w:webHidden/>
              </w:rPr>
              <w:t>48</w:t>
            </w:r>
            <w:r>
              <w:rPr>
                <w:noProof/>
                <w:webHidden/>
              </w:rPr>
              <w:fldChar w:fldCharType="end"/>
            </w:r>
          </w:hyperlink>
        </w:p>
        <w:p w14:paraId="6D2D2571" w14:textId="321FE5B5" w:rsidR="00693752" w:rsidRDefault="00693752">
          <w:pPr>
            <w:pStyle w:val="TOC3"/>
            <w:rPr>
              <w:rFonts w:eastAsiaTheme="minorEastAsia"/>
              <w:noProof/>
              <w:kern w:val="2"/>
              <w:sz w:val="24"/>
              <w:szCs w:val="24"/>
              <w14:ligatures w14:val="standardContextual"/>
            </w:rPr>
          </w:pPr>
          <w:hyperlink w:anchor="_Toc236061690" w:history="1">
            <w:r w:rsidRPr="006A3921">
              <w:rPr>
                <w:rStyle w:val="Hyperlink"/>
                <w:noProof/>
              </w:rPr>
              <w:t>Boîte 14 : Reçus et factures</w:t>
            </w:r>
            <w:r>
              <w:rPr>
                <w:noProof/>
                <w:webHidden/>
              </w:rPr>
              <w:tab/>
            </w:r>
            <w:r>
              <w:rPr>
                <w:noProof/>
                <w:webHidden/>
              </w:rPr>
              <w:fldChar w:fldCharType="begin"/>
            </w:r>
            <w:r>
              <w:rPr>
                <w:noProof/>
                <w:webHidden/>
              </w:rPr>
              <w:instrText xml:space="preserve"> PAGEREF _Toc236061690 \h </w:instrText>
            </w:r>
            <w:r>
              <w:rPr>
                <w:noProof/>
                <w:webHidden/>
              </w:rPr>
            </w:r>
            <w:r>
              <w:rPr>
                <w:noProof/>
                <w:webHidden/>
              </w:rPr>
              <w:fldChar w:fldCharType="separate"/>
            </w:r>
            <w:r w:rsidR="00E6549D">
              <w:rPr>
                <w:noProof/>
                <w:webHidden/>
              </w:rPr>
              <w:t>48</w:t>
            </w:r>
            <w:r>
              <w:rPr>
                <w:noProof/>
                <w:webHidden/>
              </w:rPr>
              <w:fldChar w:fldCharType="end"/>
            </w:r>
          </w:hyperlink>
        </w:p>
        <w:p w14:paraId="78025649" w14:textId="2753CD92" w:rsidR="00693752" w:rsidRDefault="00693752">
          <w:pPr>
            <w:pStyle w:val="TOC3"/>
            <w:rPr>
              <w:rFonts w:eastAsiaTheme="minorEastAsia"/>
              <w:noProof/>
              <w:kern w:val="2"/>
              <w:sz w:val="24"/>
              <w:szCs w:val="24"/>
              <w14:ligatures w14:val="standardContextual"/>
            </w:rPr>
          </w:pPr>
          <w:hyperlink w:anchor="_Toc236061691" w:history="1">
            <w:r w:rsidRPr="006A3921">
              <w:rPr>
                <w:rStyle w:val="Hyperlink"/>
                <w:noProof/>
              </w:rPr>
              <w:t>Boîte 15 : Affectation finale de l’argent</w:t>
            </w:r>
            <w:r>
              <w:rPr>
                <w:noProof/>
                <w:webHidden/>
              </w:rPr>
              <w:tab/>
            </w:r>
            <w:r>
              <w:rPr>
                <w:noProof/>
                <w:webHidden/>
              </w:rPr>
              <w:fldChar w:fldCharType="begin"/>
            </w:r>
            <w:r>
              <w:rPr>
                <w:noProof/>
                <w:webHidden/>
              </w:rPr>
              <w:instrText xml:space="preserve"> PAGEREF _Toc236061691 \h </w:instrText>
            </w:r>
            <w:r>
              <w:rPr>
                <w:noProof/>
                <w:webHidden/>
              </w:rPr>
            </w:r>
            <w:r>
              <w:rPr>
                <w:noProof/>
                <w:webHidden/>
              </w:rPr>
              <w:fldChar w:fldCharType="separate"/>
            </w:r>
            <w:r w:rsidR="00E6549D">
              <w:rPr>
                <w:noProof/>
                <w:webHidden/>
              </w:rPr>
              <w:t>49</w:t>
            </w:r>
            <w:r>
              <w:rPr>
                <w:noProof/>
                <w:webHidden/>
              </w:rPr>
              <w:fldChar w:fldCharType="end"/>
            </w:r>
          </w:hyperlink>
        </w:p>
        <w:p w14:paraId="0CB520A4" w14:textId="4F0EC19C" w:rsidR="00693752" w:rsidRDefault="00693752">
          <w:pPr>
            <w:pStyle w:val="TOC3"/>
            <w:rPr>
              <w:rFonts w:eastAsiaTheme="minorEastAsia"/>
              <w:noProof/>
              <w:kern w:val="2"/>
              <w:sz w:val="24"/>
              <w:szCs w:val="24"/>
              <w14:ligatures w14:val="standardContextual"/>
            </w:rPr>
          </w:pPr>
          <w:hyperlink w:anchor="_Toc236061692" w:history="1">
            <w:r w:rsidRPr="006A3921">
              <w:rPr>
                <w:rStyle w:val="Hyperlink"/>
                <w:noProof/>
              </w:rPr>
              <w:t>Boîte 16 : Rapport et suivi</w:t>
            </w:r>
            <w:r>
              <w:rPr>
                <w:noProof/>
                <w:webHidden/>
              </w:rPr>
              <w:tab/>
            </w:r>
            <w:r>
              <w:rPr>
                <w:noProof/>
                <w:webHidden/>
              </w:rPr>
              <w:fldChar w:fldCharType="begin"/>
            </w:r>
            <w:r>
              <w:rPr>
                <w:noProof/>
                <w:webHidden/>
              </w:rPr>
              <w:instrText xml:space="preserve"> PAGEREF _Toc236061692 \h </w:instrText>
            </w:r>
            <w:r>
              <w:rPr>
                <w:noProof/>
                <w:webHidden/>
              </w:rPr>
            </w:r>
            <w:r>
              <w:rPr>
                <w:noProof/>
                <w:webHidden/>
              </w:rPr>
              <w:fldChar w:fldCharType="separate"/>
            </w:r>
            <w:r w:rsidR="00E6549D">
              <w:rPr>
                <w:noProof/>
                <w:webHidden/>
              </w:rPr>
              <w:t>50</w:t>
            </w:r>
            <w:r>
              <w:rPr>
                <w:noProof/>
                <w:webHidden/>
              </w:rPr>
              <w:fldChar w:fldCharType="end"/>
            </w:r>
          </w:hyperlink>
        </w:p>
        <w:p w14:paraId="1BB1D945" w14:textId="4F8D5C07"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693" w:history="1">
            <w:r w:rsidRPr="006A3921">
              <w:rPr>
                <w:rStyle w:val="Hyperlink"/>
                <w:noProof/>
              </w:rPr>
              <w:t>6.2.</w:t>
            </w:r>
            <w:r>
              <w:rPr>
                <w:rFonts w:eastAsiaTheme="minorEastAsia"/>
                <w:noProof/>
                <w:kern w:val="2"/>
                <w:sz w:val="24"/>
                <w:szCs w:val="24"/>
                <w14:ligatures w14:val="standardContextual"/>
              </w:rPr>
              <w:tab/>
            </w:r>
            <w:r w:rsidRPr="006A3921">
              <w:rPr>
                <w:rStyle w:val="Hyperlink"/>
                <w:noProof/>
              </w:rPr>
              <w:t>Caractère raisonnable</w:t>
            </w:r>
            <w:r>
              <w:rPr>
                <w:noProof/>
                <w:webHidden/>
              </w:rPr>
              <w:tab/>
            </w:r>
            <w:r>
              <w:rPr>
                <w:noProof/>
                <w:webHidden/>
              </w:rPr>
              <w:fldChar w:fldCharType="begin"/>
            </w:r>
            <w:r>
              <w:rPr>
                <w:noProof/>
                <w:webHidden/>
              </w:rPr>
              <w:instrText xml:space="preserve"> PAGEREF _Toc236061693 \h </w:instrText>
            </w:r>
            <w:r>
              <w:rPr>
                <w:noProof/>
                <w:webHidden/>
              </w:rPr>
            </w:r>
            <w:r>
              <w:rPr>
                <w:noProof/>
                <w:webHidden/>
              </w:rPr>
              <w:fldChar w:fldCharType="separate"/>
            </w:r>
            <w:r w:rsidR="00E6549D">
              <w:rPr>
                <w:noProof/>
                <w:webHidden/>
              </w:rPr>
              <w:t>52</w:t>
            </w:r>
            <w:r>
              <w:rPr>
                <w:noProof/>
                <w:webHidden/>
              </w:rPr>
              <w:fldChar w:fldCharType="end"/>
            </w:r>
          </w:hyperlink>
        </w:p>
        <w:p w14:paraId="10E8ED8F" w14:textId="754C75BF" w:rsidR="00693752" w:rsidRDefault="00693752">
          <w:pPr>
            <w:pStyle w:val="TOC3"/>
            <w:rPr>
              <w:rFonts w:eastAsiaTheme="minorEastAsia"/>
              <w:noProof/>
              <w:kern w:val="2"/>
              <w:sz w:val="24"/>
              <w:szCs w:val="24"/>
              <w14:ligatures w14:val="standardContextual"/>
            </w:rPr>
          </w:pPr>
          <w:hyperlink w:anchor="_Toc236061694"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Problème : Frais disproportionnés, écarts importants, absence de limites et autres</w:t>
            </w:r>
            <w:r>
              <w:rPr>
                <w:noProof/>
                <w:webHidden/>
              </w:rPr>
              <w:tab/>
            </w:r>
            <w:r>
              <w:rPr>
                <w:noProof/>
                <w:webHidden/>
              </w:rPr>
              <w:fldChar w:fldCharType="begin"/>
            </w:r>
            <w:r>
              <w:rPr>
                <w:noProof/>
                <w:webHidden/>
              </w:rPr>
              <w:instrText xml:space="preserve"> PAGEREF _Toc236061694 \h </w:instrText>
            </w:r>
            <w:r>
              <w:rPr>
                <w:noProof/>
                <w:webHidden/>
              </w:rPr>
            </w:r>
            <w:r>
              <w:rPr>
                <w:noProof/>
                <w:webHidden/>
              </w:rPr>
              <w:fldChar w:fldCharType="separate"/>
            </w:r>
            <w:r w:rsidR="00E6549D">
              <w:rPr>
                <w:noProof/>
                <w:webHidden/>
              </w:rPr>
              <w:t>52</w:t>
            </w:r>
            <w:r>
              <w:rPr>
                <w:noProof/>
                <w:webHidden/>
              </w:rPr>
              <w:fldChar w:fldCharType="end"/>
            </w:r>
          </w:hyperlink>
        </w:p>
        <w:p w14:paraId="52EE30FC" w14:textId="7B7EE708" w:rsidR="00693752" w:rsidRDefault="00693752">
          <w:pPr>
            <w:pStyle w:val="TOC3"/>
            <w:rPr>
              <w:rFonts w:eastAsiaTheme="minorEastAsia"/>
              <w:noProof/>
              <w:kern w:val="2"/>
              <w:sz w:val="24"/>
              <w:szCs w:val="24"/>
              <w14:ligatures w14:val="standardContextual"/>
            </w:rPr>
          </w:pPr>
          <w:hyperlink w:anchor="_Toc236061695"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Mesures visant à limiter les frais et les honoraires</w:t>
            </w:r>
            <w:r>
              <w:rPr>
                <w:noProof/>
                <w:webHidden/>
              </w:rPr>
              <w:tab/>
            </w:r>
            <w:r>
              <w:rPr>
                <w:noProof/>
                <w:webHidden/>
              </w:rPr>
              <w:fldChar w:fldCharType="begin"/>
            </w:r>
            <w:r>
              <w:rPr>
                <w:noProof/>
                <w:webHidden/>
              </w:rPr>
              <w:instrText xml:space="preserve"> PAGEREF _Toc236061695 \h </w:instrText>
            </w:r>
            <w:r>
              <w:rPr>
                <w:noProof/>
                <w:webHidden/>
              </w:rPr>
            </w:r>
            <w:r>
              <w:rPr>
                <w:noProof/>
                <w:webHidden/>
              </w:rPr>
              <w:fldChar w:fldCharType="separate"/>
            </w:r>
            <w:r w:rsidR="00E6549D">
              <w:rPr>
                <w:noProof/>
                <w:webHidden/>
              </w:rPr>
              <w:t>53</w:t>
            </w:r>
            <w:r>
              <w:rPr>
                <w:noProof/>
                <w:webHidden/>
              </w:rPr>
              <w:fldChar w:fldCharType="end"/>
            </w:r>
          </w:hyperlink>
        </w:p>
        <w:p w14:paraId="16DA0991" w14:textId="0BCBC068" w:rsidR="00693752" w:rsidRDefault="00693752">
          <w:pPr>
            <w:pStyle w:val="TOC3"/>
            <w:rPr>
              <w:rFonts w:eastAsiaTheme="minorEastAsia"/>
              <w:noProof/>
              <w:kern w:val="2"/>
              <w:sz w:val="24"/>
              <w:szCs w:val="24"/>
              <w14:ligatures w14:val="standardContextual"/>
            </w:rPr>
          </w:pPr>
          <w:hyperlink w:anchor="_Toc236061696" w:history="1">
            <w:r w:rsidRPr="006A3921">
              <w:rPr>
                <w:rStyle w:val="Hyperlink"/>
                <w:noProof/>
              </w:rPr>
              <w:t>Boîte 17 : Services fournis à titre gratuit</w:t>
            </w:r>
            <w:r>
              <w:rPr>
                <w:noProof/>
                <w:webHidden/>
              </w:rPr>
              <w:tab/>
            </w:r>
            <w:r>
              <w:rPr>
                <w:noProof/>
                <w:webHidden/>
              </w:rPr>
              <w:fldChar w:fldCharType="begin"/>
            </w:r>
            <w:r>
              <w:rPr>
                <w:noProof/>
                <w:webHidden/>
              </w:rPr>
              <w:instrText xml:space="preserve"> PAGEREF _Toc236061696 \h </w:instrText>
            </w:r>
            <w:r>
              <w:rPr>
                <w:noProof/>
                <w:webHidden/>
              </w:rPr>
            </w:r>
            <w:r>
              <w:rPr>
                <w:noProof/>
                <w:webHidden/>
              </w:rPr>
              <w:fldChar w:fldCharType="separate"/>
            </w:r>
            <w:r w:rsidR="00E6549D">
              <w:rPr>
                <w:noProof/>
                <w:webHidden/>
              </w:rPr>
              <w:t>53</w:t>
            </w:r>
            <w:r>
              <w:rPr>
                <w:noProof/>
                <w:webHidden/>
              </w:rPr>
              <w:fldChar w:fldCharType="end"/>
            </w:r>
          </w:hyperlink>
        </w:p>
        <w:p w14:paraId="45ADC73B" w14:textId="17C490F4" w:rsidR="00693752" w:rsidRDefault="00693752">
          <w:pPr>
            <w:pStyle w:val="TOC3"/>
            <w:rPr>
              <w:rFonts w:eastAsiaTheme="minorEastAsia"/>
              <w:noProof/>
              <w:kern w:val="2"/>
              <w:sz w:val="24"/>
              <w:szCs w:val="24"/>
              <w14:ligatures w14:val="standardContextual"/>
            </w:rPr>
          </w:pPr>
          <w:hyperlink w:anchor="_Toc236061697" w:history="1">
            <w:r w:rsidRPr="006A3921">
              <w:rPr>
                <w:rStyle w:val="Hyperlink"/>
                <w:noProof/>
              </w:rPr>
              <w:t>Boîte 18 : Interdiction de facturer certains services</w:t>
            </w:r>
            <w:r>
              <w:rPr>
                <w:noProof/>
                <w:webHidden/>
              </w:rPr>
              <w:tab/>
            </w:r>
            <w:r>
              <w:rPr>
                <w:noProof/>
                <w:webHidden/>
              </w:rPr>
              <w:fldChar w:fldCharType="begin"/>
            </w:r>
            <w:r>
              <w:rPr>
                <w:noProof/>
                <w:webHidden/>
              </w:rPr>
              <w:instrText xml:space="preserve"> PAGEREF _Toc236061697 \h </w:instrText>
            </w:r>
            <w:r>
              <w:rPr>
                <w:noProof/>
                <w:webHidden/>
              </w:rPr>
            </w:r>
            <w:r>
              <w:rPr>
                <w:noProof/>
                <w:webHidden/>
              </w:rPr>
              <w:fldChar w:fldCharType="separate"/>
            </w:r>
            <w:r w:rsidR="00E6549D">
              <w:rPr>
                <w:noProof/>
                <w:webHidden/>
              </w:rPr>
              <w:t>54</w:t>
            </w:r>
            <w:r>
              <w:rPr>
                <w:noProof/>
                <w:webHidden/>
              </w:rPr>
              <w:fldChar w:fldCharType="end"/>
            </w:r>
          </w:hyperlink>
        </w:p>
        <w:p w14:paraId="36C10E2E" w14:textId="034F791A" w:rsidR="00693752" w:rsidRDefault="00693752">
          <w:pPr>
            <w:pStyle w:val="TOC3"/>
            <w:rPr>
              <w:rFonts w:eastAsiaTheme="minorEastAsia"/>
              <w:noProof/>
              <w:kern w:val="2"/>
              <w:sz w:val="24"/>
              <w:szCs w:val="24"/>
              <w14:ligatures w14:val="standardContextual"/>
            </w:rPr>
          </w:pPr>
          <w:hyperlink w:anchor="_Toc236061698" w:history="1">
            <w:r w:rsidRPr="006A3921">
              <w:rPr>
                <w:rStyle w:val="Hyperlink"/>
                <w:noProof/>
              </w:rPr>
              <w:t>Boîte 19 : Limiter les montants et la fourchette des coûts</w:t>
            </w:r>
            <w:r>
              <w:rPr>
                <w:noProof/>
                <w:webHidden/>
              </w:rPr>
              <w:tab/>
            </w:r>
            <w:r>
              <w:rPr>
                <w:noProof/>
                <w:webHidden/>
              </w:rPr>
              <w:fldChar w:fldCharType="begin"/>
            </w:r>
            <w:r>
              <w:rPr>
                <w:noProof/>
                <w:webHidden/>
              </w:rPr>
              <w:instrText xml:space="preserve"> PAGEREF _Toc236061698 \h </w:instrText>
            </w:r>
            <w:r>
              <w:rPr>
                <w:noProof/>
                <w:webHidden/>
              </w:rPr>
            </w:r>
            <w:r>
              <w:rPr>
                <w:noProof/>
                <w:webHidden/>
              </w:rPr>
              <w:fldChar w:fldCharType="separate"/>
            </w:r>
            <w:r w:rsidR="00E6549D">
              <w:rPr>
                <w:noProof/>
                <w:webHidden/>
              </w:rPr>
              <w:t>56</w:t>
            </w:r>
            <w:r>
              <w:rPr>
                <w:noProof/>
                <w:webHidden/>
              </w:rPr>
              <w:fldChar w:fldCharType="end"/>
            </w:r>
          </w:hyperlink>
        </w:p>
        <w:p w14:paraId="2749DC32" w14:textId="721278F6" w:rsidR="00693752" w:rsidRDefault="00693752">
          <w:pPr>
            <w:pStyle w:val="TOC3"/>
            <w:rPr>
              <w:rFonts w:eastAsiaTheme="minorEastAsia"/>
              <w:noProof/>
              <w:kern w:val="2"/>
              <w:sz w:val="24"/>
              <w:szCs w:val="24"/>
              <w14:ligatures w14:val="standardContextual"/>
            </w:rPr>
          </w:pPr>
          <w:hyperlink w:anchor="_Toc236061699" w:history="1">
            <w:r w:rsidRPr="006A3921">
              <w:rPr>
                <w:rStyle w:val="Hyperlink"/>
                <w:noProof/>
              </w:rPr>
              <w:t>Boîte 20 : Normes en matière de rémunération</w:t>
            </w:r>
            <w:r>
              <w:rPr>
                <w:noProof/>
                <w:webHidden/>
              </w:rPr>
              <w:tab/>
            </w:r>
            <w:r>
              <w:rPr>
                <w:noProof/>
                <w:webHidden/>
              </w:rPr>
              <w:fldChar w:fldCharType="begin"/>
            </w:r>
            <w:r>
              <w:rPr>
                <w:noProof/>
                <w:webHidden/>
              </w:rPr>
              <w:instrText xml:space="preserve"> PAGEREF _Toc236061699 \h </w:instrText>
            </w:r>
            <w:r>
              <w:rPr>
                <w:noProof/>
                <w:webHidden/>
              </w:rPr>
            </w:r>
            <w:r>
              <w:rPr>
                <w:noProof/>
                <w:webHidden/>
              </w:rPr>
              <w:fldChar w:fldCharType="separate"/>
            </w:r>
            <w:r w:rsidR="00E6549D">
              <w:rPr>
                <w:noProof/>
                <w:webHidden/>
              </w:rPr>
              <w:t>57</w:t>
            </w:r>
            <w:r>
              <w:rPr>
                <w:noProof/>
                <w:webHidden/>
              </w:rPr>
              <w:fldChar w:fldCharType="end"/>
            </w:r>
          </w:hyperlink>
        </w:p>
        <w:p w14:paraId="579129B4" w14:textId="1A57BF8E" w:rsidR="00693752" w:rsidRDefault="00693752">
          <w:pPr>
            <w:pStyle w:val="TOC3"/>
            <w:rPr>
              <w:rFonts w:eastAsiaTheme="minorEastAsia"/>
              <w:noProof/>
              <w:kern w:val="2"/>
              <w:sz w:val="24"/>
              <w:szCs w:val="24"/>
              <w14:ligatures w14:val="standardContextual"/>
            </w:rPr>
          </w:pPr>
          <w:hyperlink w:anchor="_Toc236061700" w:history="1">
            <w:r w:rsidRPr="006A3921">
              <w:rPr>
                <w:rStyle w:val="Hyperlink"/>
                <w:noProof/>
              </w:rPr>
              <w:t>Boîte 21 : Atténuer la pression financière ressentie par les FPA</w:t>
            </w:r>
            <w:r>
              <w:rPr>
                <w:noProof/>
                <w:webHidden/>
              </w:rPr>
              <w:tab/>
            </w:r>
            <w:r>
              <w:rPr>
                <w:noProof/>
                <w:webHidden/>
              </w:rPr>
              <w:fldChar w:fldCharType="begin"/>
            </w:r>
            <w:r>
              <w:rPr>
                <w:noProof/>
                <w:webHidden/>
              </w:rPr>
              <w:instrText xml:space="preserve"> PAGEREF _Toc236061700 \h </w:instrText>
            </w:r>
            <w:r>
              <w:rPr>
                <w:noProof/>
                <w:webHidden/>
              </w:rPr>
            </w:r>
            <w:r>
              <w:rPr>
                <w:noProof/>
                <w:webHidden/>
              </w:rPr>
              <w:fldChar w:fldCharType="separate"/>
            </w:r>
            <w:r w:rsidR="00E6549D">
              <w:rPr>
                <w:noProof/>
                <w:webHidden/>
              </w:rPr>
              <w:t>58</w:t>
            </w:r>
            <w:r>
              <w:rPr>
                <w:noProof/>
                <w:webHidden/>
              </w:rPr>
              <w:fldChar w:fldCharType="end"/>
            </w:r>
          </w:hyperlink>
        </w:p>
        <w:p w14:paraId="76F9B96D" w14:textId="7BE462B6" w:rsidR="00693752" w:rsidRDefault="00693752">
          <w:pPr>
            <w:pStyle w:val="TOC1"/>
            <w:rPr>
              <w:rFonts w:asciiTheme="minorHAnsi" w:eastAsiaTheme="minorEastAsia" w:hAnsiTheme="minorHAnsi"/>
              <w:kern w:val="2"/>
              <w:sz w:val="24"/>
              <w:szCs w:val="24"/>
              <w14:ligatures w14:val="standardContextual"/>
            </w:rPr>
          </w:pPr>
          <w:hyperlink w:anchor="_Toc236061701" w:history="1">
            <w:r w:rsidRPr="006A3921">
              <w:rPr>
                <w:rStyle w:val="Hyperlink"/>
                <w:b/>
              </w:rPr>
              <w:t>7.</w:t>
            </w:r>
            <w:r>
              <w:rPr>
                <w:rFonts w:asciiTheme="minorHAnsi" w:eastAsiaTheme="minorEastAsia" w:hAnsiTheme="minorHAnsi"/>
                <w:kern w:val="2"/>
                <w:sz w:val="24"/>
                <w:szCs w:val="24"/>
                <w14:ligatures w14:val="standardContextual"/>
              </w:rPr>
              <w:tab/>
            </w:r>
            <w:r w:rsidRPr="006A3921">
              <w:rPr>
                <w:rStyle w:val="Hyperlink"/>
                <w:b/>
              </w:rPr>
              <w:t>CONTRIBUTIONS, DONS ET PROJETS DE COOPÉRATION</w:t>
            </w:r>
            <w:r>
              <w:rPr>
                <w:webHidden/>
              </w:rPr>
              <w:tab/>
            </w:r>
            <w:r>
              <w:rPr>
                <w:webHidden/>
              </w:rPr>
              <w:fldChar w:fldCharType="begin"/>
            </w:r>
            <w:r>
              <w:rPr>
                <w:webHidden/>
              </w:rPr>
              <w:instrText xml:space="preserve"> PAGEREF _Toc236061701 \h </w:instrText>
            </w:r>
            <w:r>
              <w:rPr>
                <w:webHidden/>
              </w:rPr>
            </w:r>
            <w:r>
              <w:rPr>
                <w:webHidden/>
              </w:rPr>
              <w:fldChar w:fldCharType="separate"/>
            </w:r>
            <w:r w:rsidR="00E6549D">
              <w:rPr>
                <w:webHidden/>
              </w:rPr>
              <w:t>59</w:t>
            </w:r>
            <w:r>
              <w:rPr>
                <w:webHidden/>
              </w:rPr>
              <w:fldChar w:fldCharType="end"/>
            </w:r>
          </w:hyperlink>
        </w:p>
        <w:p w14:paraId="654B7F09" w14:textId="725C6BE2"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702" w:history="1">
            <w:r w:rsidRPr="006A3921">
              <w:rPr>
                <w:rStyle w:val="Hyperlink"/>
                <w:noProof/>
              </w:rPr>
              <w:t>7.1.</w:t>
            </w:r>
            <w:r>
              <w:rPr>
                <w:rFonts w:eastAsiaTheme="minorEastAsia"/>
                <w:noProof/>
                <w:kern w:val="2"/>
                <w:sz w:val="24"/>
                <w:szCs w:val="24"/>
                <w14:ligatures w14:val="standardContextual"/>
              </w:rPr>
              <w:tab/>
            </w:r>
            <w:r w:rsidRPr="006A3921">
              <w:rPr>
                <w:rStyle w:val="Hyperlink"/>
                <w:noProof/>
              </w:rPr>
              <w:t>Problèmes liés aux contributions, dons et projets de coopération : les risques découlant de leurs liens avec la procédure d’adoption</w:t>
            </w:r>
            <w:r>
              <w:rPr>
                <w:noProof/>
                <w:webHidden/>
              </w:rPr>
              <w:tab/>
            </w:r>
            <w:r>
              <w:rPr>
                <w:noProof/>
                <w:webHidden/>
              </w:rPr>
              <w:fldChar w:fldCharType="begin"/>
            </w:r>
            <w:r>
              <w:rPr>
                <w:noProof/>
                <w:webHidden/>
              </w:rPr>
              <w:instrText xml:space="preserve"> PAGEREF _Toc236061702 \h </w:instrText>
            </w:r>
            <w:r>
              <w:rPr>
                <w:noProof/>
                <w:webHidden/>
              </w:rPr>
            </w:r>
            <w:r>
              <w:rPr>
                <w:noProof/>
                <w:webHidden/>
              </w:rPr>
              <w:fldChar w:fldCharType="separate"/>
            </w:r>
            <w:r w:rsidR="00E6549D">
              <w:rPr>
                <w:noProof/>
                <w:webHidden/>
              </w:rPr>
              <w:t>60</w:t>
            </w:r>
            <w:r>
              <w:rPr>
                <w:noProof/>
                <w:webHidden/>
              </w:rPr>
              <w:fldChar w:fldCharType="end"/>
            </w:r>
          </w:hyperlink>
        </w:p>
        <w:p w14:paraId="1C55609A" w14:textId="4882E39A"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703" w:history="1">
            <w:r w:rsidRPr="006A3921">
              <w:rPr>
                <w:rStyle w:val="Hyperlink"/>
                <w:noProof/>
              </w:rPr>
              <w:t>7.2.</w:t>
            </w:r>
            <w:r>
              <w:rPr>
                <w:rFonts w:eastAsiaTheme="minorEastAsia"/>
                <w:noProof/>
                <w:kern w:val="2"/>
                <w:sz w:val="24"/>
                <w:szCs w:val="24"/>
                <w14:ligatures w14:val="standardContextual"/>
              </w:rPr>
              <w:tab/>
            </w:r>
            <w:r w:rsidRPr="006A3921">
              <w:rPr>
                <w:rStyle w:val="Hyperlink"/>
                <w:noProof/>
              </w:rPr>
              <w:t>Absence de contributions, de dons et / ou de projets de coopération dans le contexte de l’adoption</w:t>
            </w:r>
            <w:r>
              <w:rPr>
                <w:noProof/>
                <w:webHidden/>
              </w:rPr>
              <w:tab/>
            </w:r>
            <w:r>
              <w:rPr>
                <w:noProof/>
                <w:webHidden/>
              </w:rPr>
              <w:fldChar w:fldCharType="begin"/>
            </w:r>
            <w:r>
              <w:rPr>
                <w:noProof/>
                <w:webHidden/>
              </w:rPr>
              <w:instrText xml:space="preserve"> PAGEREF _Toc236061703 \h </w:instrText>
            </w:r>
            <w:r>
              <w:rPr>
                <w:noProof/>
                <w:webHidden/>
              </w:rPr>
            </w:r>
            <w:r>
              <w:rPr>
                <w:noProof/>
                <w:webHidden/>
              </w:rPr>
              <w:fldChar w:fldCharType="separate"/>
            </w:r>
            <w:r w:rsidR="00E6549D">
              <w:rPr>
                <w:noProof/>
                <w:webHidden/>
              </w:rPr>
              <w:t>61</w:t>
            </w:r>
            <w:r>
              <w:rPr>
                <w:noProof/>
                <w:webHidden/>
              </w:rPr>
              <w:fldChar w:fldCharType="end"/>
            </w:r>
          </w:hyperlink>
        </w:p>
        <w:p w14:paraId="1267AFBE" w14:textId="37C47B95" w:rsidR="00693752" w:rsidRDefault="00693752">
          <w:pPr>
            <w:pStyle w:val="TOC3"/>
            <w:rPr>
              <w:rFonts w:eastAsiaTheme="minorEastAsia"/>
              <w:noProof/>
              <w:kern w:val="2"/>
              <w:sz w:val="24"/>
              <w:szCs w:val="24"/>
              <w14:ligatures w14:val="standardContextual"/>
            </w:rPr>
          </w:pPr>
          <w:hyperlink w:anchor="_Toc236061704"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Contexte</w:t>
            </w:r>
            <w:r>
              <w:rPr>
                <w:noProof/>
                <w:webHidden/>
              </w:rPr>
              <w:tab/>
            </w:r>
            <w:r>
              <w:rPr>
                <w:noProof/>
                <w:webHidden/>
              </w:rPr>
              <w:fldChar w:fldCharType="begin"/>
            </w:r>
            <w:r>
              <w:rPr>
                <w:noProof/>
                <w:webHidden/>
              </w:rPr>
              <w:instrText xml:space="preserve"> PAGEREF _Toc236061704 \h </w:instrText>
            </w:r>
            <w:r>
              <w:rPr>
                <w:noProof/>
                <w:webHidden/>
              </w:rPr>
            </w:r>
            <w:r>
              <w:rPr>
                <w:noProof/>
                <w:webHidden/>
              </w:rPr>
              <w:fldChar w:fldCharType="separate"/>
            </w:r>
            <w:r w:rsidR="00E6549D">
              <w:rPr>
                <w:noProof/>
                <w:webHidden/>
              </w:rPr>
              <w:t>61</w:t>
            </w:r>
            <w:r>
              <w:rPr>
                <w:noProof/>
                <w:webHidden/>
              </w:rPr>
              <w:fldChar w:fldCharType="end"/>
            </w:r>
          </w:hyperlink>
        </w:p>
        <w:p w14:paraId="2ECDBD8D" w14:textId="4CBDC7A3" w:rsidR="00693752" w:rsidRDefault="00693752">
          <w:pPr>
            <w:pStyle w:val="TOC3"/>
            <w:rPr>
              <w:rFonts w:eastAsiaTheme="minorEastAsia"/>
              <w:noProof/>
              <w:kern w:val="2"/>
              <w:sz w:val="24"/>
              <w:szCs w:val="24"/>
              <w14:ligatures w14:val="standardContextual"/>
            </w:rPr>
          </w:pPr>
          <w:hyperlink w:anchor="_Toc236061705"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Prise en charge de l’enfant</w:t>
            </w:r>
            <w:r>
              <w:rPr>
                <w:noProof/>
                <w:webHidden/>
              </w:rPr>
              <w:tab/>
            </w:r>
            <w:r>
              <w:rPr>
                <w:noProof/>
                <w:webHidden/>
              </w:rPr>
              <w:fldChar w:fldCharType="begin"/>
            </w:r>
            <w:r>
              <w:rPr>
                <w:noProof/>
                <w:webHidden/>
              </w:rPr>
              <w:instrText xml:space="preserve"> PAGEREF _Toc236061705 \h </w:instrText>
            </w:r>
            <w:r>
              <w:rPr>
                <w:noProof/>
                <w:webHidden/>
              </w:rPr>
            </w:r>
            <w:r>
              <w:rPr>
                <w:noProof/>
                <w:webHidden/>
              </w:rPr>
              <w:fldChar w:fldCharType="separate"/>
            </w:r>
            <w:r w:rsidR="00E6549D">
              <w:rPr>
                <w:noProof/>
                <w:webHidden/>
              </w:rPr>
              <w:t>62</w:t>
            </w:r>
            <w:r>
              <w:rPr>
                <w:noProof/>
                <w:webHidden/>
              </w:rPr>
              <w:fldChar w:fldCharType="end"/>
            </w:r>
          </w:hyperlink>
        </w:p>
        <w:p w14:paraId="25EDA689" w14:textId="55609CA5" w:rsidR="00693752" w:rsidRDefault="00693752">
          <w:pPr>
            <w:pStyle w:val="TOC3"/>
            <w:rPr>
              <w:rFonts w:eastAsiaTheme="minorEastAsia"/>
              <w:noProof/>
              <w:kern w:val="2"/>
              <w:sz w:val="24"/>
              <w:szCs w:val="24"/>
              <w14:ligatures w14:val="standardContextual"/>
            </w:rPr>
          </w:pPr>
          <w:hyperlink w:anchor="_Toc236061706" w:history="1">
            <w:r w:rsidRPr="006A3921">
              <w:rPr>
                <w:rStyle w:val="Hyperlink"/>
                <w:noProof/>
              </w:rPr>
              <w:t>C.</w:t>
            </w:r>
            <w:r>
              <w:rPr>
                <w:rFonts w:eastAsiaTheme="minorEastAsia"/>
                <w:noProof/>
                <w:kern w:val="2"/>
                <w:sz w:val="24"/>
                <w:szCs w:val="24"/>
                <w14:ligatures w14:val="standardContextual"/>
              </w:rPr>
              <w:tab/>
            </w:r>
            <w:r w:rsidRPr="006A3921">
              <w:rPr>
                <w:rStyle w:val="Hyperlink"/>
                <w:noProof/>
              </w:rPr>
              <w:t>Feuille de route en matière de coopération entre États concernant la transition vers l’absence de contributions, de dons et de projets de coopération dans le contexte de l’adoption</w:t>
            </w:r>
            <w:r>
              <w:rPr>
                <w:noProof/>
                <w:webHidden/>
              </w:rPr>
              <w:tab/>
            </w:r>
            <w:r>
              <w:rPr>
                <w:noProof/>
                <w:webHidden/>
              </w:rPr>
              <w:fldChar w:fldCharType="begin"/>
            </w:r>
            <w:r>
              <w:rPr>
                <w:noProof/>
                <w:webHidden/>
              </w:rPr>
              <w:instrText xml:space="preserve"> PAGEREF _Toc236061706 \h </w:instrText>
            </w:r>
            <w:r>
              <w:rPr>
                <w:noProof/>
                <w:webHidden/>
              </w:rPr>
            </w:r>
            <w:r>
              <w:rPr>
                <w:noProof/>
                <w:webHidden/>
              </w:rPr>
              <w:fldChar w:fldCharType="separate"/>
            </w:r>
            <w:r w:rsidR="00E6549D">
              <w:rPr>
                <w:noProof/>
                <w:webHidden/>
              </w:rPr>
              <w:t>63</w:t>
            </w:r>
            <w:r>
              <w:rPr>
                <w:noProof/>
                <w:webHidden/>
              </w:rPr>
              <w:fldChar w:fldCharType="end"/>
            </w:r>
          </w:hyperlink>
        </w:p>
        <w:p w14:paraId="291AA738" w14:textId="4EC5E981" w:rsidR="00693752" w:rsidRDefault="00693752">
          <w:pPr>
            <w:pStyle w:val="TOC2"/>
            <w:tabs>
              <w:tab w:val="left" w:pos="960"/>
              <w:tab w:val="right" w:leader="dot" w:pos="9016"/>
            </w:tabs>
            <w:rPr>
              <w:rFonts w:eastAsiaTheme="minorEastAsia"/>
              <w:noProof/>
              <w:kern w:val="2"/>
              <w:sz w:val="24"/>
              <w:szCs w:val="24"/>
              <w14:ligatures w14:val="standardContextual"/>
            </w:rPr>
          </w:pPr>
          <w:hyperlink w:anchor="_Toc236061707" w:history="1">
            <w:r w:rsidRPr="006A3921">
              <w:rPr>
                <w:rStyle w:val="Hyperlink"/>
                <w:noProof/>
              </w:rPr>
              <w:t>7.3.</w:t>
            </w:r>
            <w:r>
              <w:rPr>
                <w:rFonts w:eastAsiaTheme="minorEastAsia"/>
                <w:noProof/>
                <w:kern w:val="2"/>
                <w:sz w:val="24"/>
                <w:szCs w:val="24"/>
                <w14:ligatures w14:val="standardContextual"/>
              </w:rPr>
              <w:tab/>
            </w:r>
            <w:r w:rsidRPr="006A3921">
              <w:rPr>
                <w:rStyle w:val="Hyperlink"/>
                <w:noProof/>
              </w:rPr>
              <w:t>Autorisation possible des contributions, dons et / ou projets de coopération par un État, à condition que des garanties solides et complètes soient mises en œuvre</w:t>
            </w:r>
            <w:r>
              <w:rPr>
                <w:noProof/>
                <w:webHidden/>
              </w:rPr>
              <w:tab/>
            </w:r>
            <w:r>
              <w:rPr>
                <w:noProof/>
                <w:webHidden/>
              </w:rPr>
              <w:fldChar w:fldCharType="begin"/>
            </w:r>
            <w:r>
              <w:rPr>
                <w:noProof/>
                <w:webHidden/>
              </w:rPr>
              <w:instrText xml:space="preserve"> PAGEREF _Toc236061707 \h </w:instrText>
            </w:r>
            <w:r>
              <w:rPr>
                <w:noProof/>
                <w:webHidden/>
              </w:rPr>
            </w:r>
            <w:r>
              <w:rPr>
                <w:noProof/>
                <w:webHidden/>
              </w:rPr>
              <w:fldChar w:fldCharType="separate"/>
            </w:r>
            <w:r w:rsidR="00E6549D">
              <w:rPr>
                <w:noProof/>
                <w:webHidden/>
              </w:rPr>
              <w:t>63</w:t>
            </w:r>
            <w:r>
              <w:rPr>
                <w:noProof/>
                <w:webHidden/>
              </w:rPr>
              <w:fldChar w:fldCharType="end"/>
            </w:r>
          </w:hyperlink>
        </w:p>
        <w:p w14:paraId="7E8DD3D3" w14:textId="0B6E628C" w:rsidR="00693752" w:rsidRDefault="00693752">
          <w:pPr>
            <w:pStyle w:val="TOC3"/>
            <w:rPr>
              <w:rFonts w:eastAsiaTheme="minorEastAsia"/>
              <w:noProof/>
              <w:kern w:val="2"/>
              <w:sz w:val="24"/>
              <w:szCs w:val="24"/>
              <w14:ligatures w14:val="standardContextual"/>
            </w:rPr>
          </w:pPr>
          <w:hyperlink w:anchor="_Toc236061708" w:history="1">
            <w:r w:rsidRPr="006A3921">
              <w:rPr>
                <w:rStyle w:val="Hyperlink"/>
                <w:noProof/>
              </w:rPr>
              <w:t>A.</w:t>
            </w:r>
            <w:r>
              <w:rPr>
                <w:rFonts w:eastAsiaTheme="minorEastAsia"/>
                <w:noProof/>
                <w:kern w:val="2"/>
                <w:sz w:val="24"/>
                <w:szCs w:val="24"/>
                <w14:ligatures w14:val="standardContextual"/>
              </w:rPr>
              <w:tab/>
            </w:r>
            <w:r w:rsidRPr="006A3921">
              <w:rPr>
                <w:rStyle w:val="Hyperlink"/>
                <w:noProof/>
              </w:rPr>
              <w:t>Contexte</w:t>
            </w:r>
            <w:r>
              <w:rPr>
                <w:noProof/>
                <w:webHidden/>
              </w:rPr>
              <w:tab/>
            </w:r>
            <w:r>
              <w:rPr>
                <w:noProof/>
                <w:webHidden/>
              </w:rPr>
              <w:fldChar w:fldCharType="begin"/>
            </w:r>
            <w:r>
              <w:rPr>
                <w:noProof/>
                <w:webHidden/>
              </w:rPr>
              <w:instrText xml:space="preserve"> PAGEREF _Toc236061708 \h </w:instrText>
            </w:r>
            <w:r>
              <w:rPr>
                <w:noProof/>
                <w:webHidden/>
              </w:rPr>
            </w:r>
            <w:r>
              <w:rPr>
                <w:noProof/>
                <w:webHidden/>
              </w:rPr>
              <w:fldChar w:fldCharType="separate"/>
            </w:r>
            <w:r w:rsidR="00E6549D">
              <w:rPr>
                <w:noProof/>
                <w:webHidden/>
              </w:rPr>
              <w:t>63</w:t>
            </w:r>
            <w:r>
              <w:rPr>
                <w:noProof/>
                <w:webHidden/>
              </w:rPr>
              <w:fldChar w:fldCharType="end"/>
            </w:r>
          </w:hyperlink>
        </w:p>
        <w:p w14:paraId="2204469B" w14:textId="0CBE9674" w:rsidR="00693752" w:rsidRDefault="00693752">
          <w:pPr>
            <w:pStyle w:val="TOC3"/>
            <w:rPr>
              <w:rFonts w:eastAsiaTheme="minorEastAsia"/>
              <w:noProof/>
              <w:kern w:val="2"/>
              <w:sz w:val="24"/>
              <w:szCs w:val="24"/>
              <w14:ligatures w14:val="standardContextual"/>
            </w:rPr>
          </w:pPr>
          <w:hyperlink w:anchor="_Toc236061709" w:history="1">
            <w:r w:rsidRPr="006A3921">
              <w:rPr>
                <w:rStyle w:val="Hyperlink"/>
                <w:noProof/>
              </w:rPr>
              <w:t>B.</w:t>
            </w:r>
            <w:r>
              <w:rPr>
                <w:rFonts w:eastAsiaTheme="minorEastAsia"/>
                <w:noProof/>
                <w:kern w:val="2"/>
                <w:sz w:val="24"/>
                <w:szCs w:val="24"/>
                <w14:ligatures w14:val="standardContextual"/>
              </w:rPr>
              <w:tab/>
            </w:r>
            <w:r w:rsidRPr="006A3921">
              <w:rPr>
                <w:rStyle w:val="Hyperlink"/>
                <w:noProof/>
              </w:rPr>
              <w:t>Garanties</w:t>
            </w:r>
            <w:r>
              <w:rPr>
                <w:noProof/>
                <w:webHidden/>
              </w:rPr>
              <w:tab/>
            </w:r>
            <w:r>
              <w:rPr>
                <w:noProof/>
                <w:webHidden/>
              </w:rPr>
              <w:fldChar w:fldCharType="begin"/>
            </w:r>
            <w:r>
              <w:rPr>
                <w:noProof/>
                <w:webHidden/>
              </w:rPr>
              <w:instrText xml:space="preserve"> PAGEREF _Toc236061709 \h </w:instrText>
            </w:r>
            <w:r>
              <w:rPr>
                <w:noProof/>
                <w:webHidden/>
              </w:rPr>
            </w:r>
            <w:r>
              <w:rPr>
                <w:noProof/>
                <w:webHidden/>
              </w:rPr>
              <w:fldChar w:fldCharType="separate"/>
            </w:r>
            <w:r w:rsidR="00E6549D">
              <w:rPr>
                <w:noProof/>
                <w:webHidden/>
              </w:rPr>
              <w:t>64</w:t>
            </w:r>
            <w:r>
              <w:rPr>
                <w:noProof/>
                <w:webHidden/>
              </w:rPr>
              <w:fldChar w:fldCharType="end"/>
            </w:r>
          </w:hyperlink>
        </w:p>
        <w:p w14:paraId="19157304" w14:textId="0A5E7F6C" w:rsidR="00693752" w:rsidRDefault="00693752">
          <w:pPr>
            <w:pStyle w:val="TOC3"/>
            <w:rPr>
              <w:rFonts w:eastAsiaTheme="minorEastAsia"/>
              <w:noProof/>
              <w:kern w:val="2"/>
              <w:sz w:val="24"/>
              <w:szCs w:val="24"/>
              <w14:ligatures w14:val="standardContextual"/>
            </w:rPr>
          </w:pPr>
          <w:hyperlink w:anchor="_Toc236061710" w:history="1">
            <w:r w:rsidRPr="006A3921">
              <w:rPr>
                <w:rStyle w:val="Hyperlink"/>
                <w:noProof/>
              </w:rPr>
              <w:t>C.</w:t>
            </w:r>
            <w:r>
              <w:rPr>
                <w:rFonts w:eastAsiaTheme="minorEastAsia"/>
                <w:noProof/>
                <w:kern w:val="2"/>
                <w:sz w:val="24"/>
                <w:szCs w:val="24"/>
                <w14:ligatures w14:val="standardContextual"/>
              </w:rPr>
              <w:tab/>
            </w:r>
            <w:r w:rsidRPr="006A3921">
              <w:rPr>
                <w:rStyle w:val="Hyperlink"/>
                <w:noProof/>
              </w:rPr>
              <w:t>Contributions : problèmes spécifiques</w:t>
            </w:r>
            <w:r>
              <w:rPr>
                <w:noProof/>
                <w:webHidden/>
              </w:rPr>
              <w:tab/>
            </w:r>
            <w:r>
              <w:rPr>
                <w:noProof/>
                <w:webHidden/>
              </w:rPr>
              <w:fldChar w:fldCharType="begin"/>
            </w:r>
            <w:r>
              <w:rPr>
                <w:noProof/>
                <w:webHidden/>
              </w:rPr>
              <w:instrText xml:space="preserve"> PAGEREF _Toc236061710 \h </w:instrText>
            </w:r>
            <w:r>
              <w:rPr>
                <w:noProof/>
                <w:webHidden/>
              </w:rPr>
            </w:r>
            <w:r>
              <w:rPr>
                <w:noProof/>
                <w:webHidden/>
              </w:rPr>
              <w:fldChar w:fldCharType="separate"/>
            </w:r>
            <w:r w:rsidR="00E6549D">
              <w:rPr>
                <w:noProof/>
                <w:webHidden/>
              </w:rPr>
              <w:t>65</w:t>
            </w:r>
            <w:r>
              <w:rPr>
                <w:noProof/>
                <w:webHidden/>
              </w:rPr>
              <w:fldChar w:fldCharType="end"/>
            </w:r>
          </w:hyperlink>
        </w:p>
        <w:p w14:paraId="66EA1799" w14:textId="676625F1" w:rsidR="00693752" w:rsidRDefault="00693752">
          <w:pPr>
            <w:pStyle w:val="TOC3"/>
            <w:rPr>
              <w:rFonts w:eastAsiaTheme="minorEastAsia"/>
              <w:noProof/>
              <w:kern w:val="2"/>
              <w:sz w:val="24"/>
              <w:szCs w:val="24"/>
              <w14:ligatures w14:val="standardContextual"/>
            </w:rPr>
          </w:pPr>
          <w:hyperlink w:anchor="_Toc236061711" w:history="1">
            <w:r w:rsidRPr="006A3921">
              <w:rPr>
                <w:rStyle w:val="Hyperlink"/>
                <w:noProof/>
              </w:rPr>
              <w:t>Boîte 22 : Réglementation des contributions</w:t>
            </w:r>
            <w:r>
              <w:rPr>
                <w:noProof/>
                <w:webHidden/>
              </w:rPr>
              <w:tab/>
            </w:r>
            <w:r>
              <w:rPr>
                <w:noProof/>
                <w:webHidden/>
              </w:rPr>
              <w:fldChar w:fldCharType="begin"/>
            </w:r>
            <w:r>
              <w:rPr>
                <w:noProof/>
                <w:webHidden/>
              </w:rPr>
              <w:instrText xml:space="preserve"> PAGEREF _Toc236061711 \h </w:instrText>
            </w:r>
            <w:r>
              <w:rPr>
                <w:noProof/>
                <w:webHidden/>
              </w:rPr>
            </w:r>
            <w:r>
              <w:rPr>
                <w:noProof/>
                <w:webHidden/>
              </w:rPr>
              <w:fldChar w:fldCharType="separate"/>
            </w:r>
            <w:r w:rsidR="00E6549D">
              <w:rPr>
                <w:noProof/>
                <w:webHidden/>
              </w:rPr>
              <w:t>66</w:t>
            </w:r>
            <w:r>
              <w:rPr>
                <w:noProof/>
                <w:webHidden/>
              </w:rPr>
              <w:fldChar w:fldCharType="end"/>
            </w:r>
          </w:hyperlink>
        </w:p>
        <w:p w14:paraId="3D983CCC" w14:textId="77AB6C9D" w:rsidR="00693752" w:rsidRDefault="00693752">
          <w:pPr>
            <w:pStyle w:val="TOC3"/>
            <w:rPr>
              <w:rFonts w:eastAsiaTheme="minorEastAsia"/>
              <w:noProof/>
              <w:kern w:val="2"/>
              <w:sz w:val="24"/>
              <w:szCs w:val="24"/>
              <w14:ligatures w14:val="standardContextual"/>
            </w:rPr>
          </w:pPr>
          <w:hyperlink w:anchor="_Toc236061712" w:history="1">
            <w:r w:rsidRPr="006A3921">
              <w:rPr>
                <w:rStyle w:val="Hyperlink"/>
                <w:noProof/>
              </w:rPr>
              <w:t>D.</w:t>
            </w:r>
            <w:r>
              <w:rPr>
                <w:rFonts w:eastAsiaTheme="minorEastAsia"/>
                <w:noProof/>
                <w:kern w:val="2"/>
                <w:sz w:val="24"/>
                <w:szCs w:val="24"/>
                <w14:ligatures w14:val="standardContextual"/>
              </w:rPr>
              <w:tab/>
            </w:r>
            <w:r w:rsidRPr="006A3921">
              <w:rPr>
                <w:rStyle w:val="Hyperlink"/>
                <w:noProof/>
              </w:rPr>
              <w:t>Dons : Problèmes spécifiques</w:t>
            </w:r>
            <w:r>
              <w:rPr>
                <w:noProof/>
                <w:webHidden/>
              </w:rPr>
              <w:tab/>
            </w:r>
            <w:r>
              <w:rPr>
                <w:noProof/>
                <w:webHidden/>
              </w:rPr>
              <w:fldChar w:fldCharType="begin"/>
            </w:r>
            <w:r>
              <w:rPr>
                <w:noProof/>
                <w:webHidden/>
              </w:rPr>
              <w:instrText xml:space="preserve"> PAGEREF _Toc236061712 \h </w:instrText>
            </w:r>
            <w:r>
              <w:rPr>
                <w:noProof/>
                <w:webHidden/>
              </w:rPr>
            </w:r>
            <w:r>
              <w:rPr>
                <w:noProof/>
                <w:webHidden/>
              </w:rPr>
              <w:fldChar w:fldCharType="separate"/>
            </w:r>
            <w:r w:rsidR="00E6549D">
              <w:rPr>
                <w:noProof/>
                <w:webHidden/>
              </w:rPr>
              <w:t>66</w:t>
            </w:r>
            <w:r>
              <w:rPr>
                <w:noProof/>
                <w:webHidden/>
              </w:rPr>
              <w:fldChar w:fldCharType="end"/>
            </w:r>
          </w:hyperlink>
        </w:p>
        <w:p w14:paraId="14612D63" w14:textId="797FA683" w:rsidR="00693752" w:rsidRDefault="00693752">
          <w:pPr>
            <w:pStyle w:val="TOC3"/>
            <w:rPr>
              <w:rFonts w:eastAsiaTheme="minorEastAsia"/>
              <w:noProof/>
              <w:kern w:val="2"/>
              <w:sz w:val="24"/>
              <w:szCs w:val="24"/>
              <w14:ligatures w14:val="standardContextual"/>
            </w:rPr>
          </w:pPr>
          <w:hyperlink w:anchor="_Toc236061713" w:history="1">
            <w:r w:rsidRPr="006A3921">
              <w:rPr>
                <w:rStyle w:val="Hyperlink"/>
                <w:noProof/>
              </w:rPr>
              <w:t>Boîte 23 : Réglementation des dons</w:t>
            </w:r>
            <w:r>
              <w:rPr>
                <w:noProof/>
                <w:webHidden/>
              </w:rPr>
              <w:tab/>
            </w:r>
            <w:r>
              <w:rPr>
                <w:noProof/>
                <w:webHidden/>
              </w:rPr>
              <w:fldChar w:fldCharType="begin"/>
            </w:r>
            <w:r>
              <w:rPr>
                <w:noProof/>
                <w:webHidden/>
              </w:rPr>
              <w:instrText xml:space="preserve"> PAGEREF _Toc236061713 \h </w:instrText>
            </w:r>
            <w:r>
              <w:rPr>
                <w:noProof/>
                <w:webHidden/>
              </w:rPr>
            </w:r>
            <w:r>
              <w:rPr>
                <w:noProof/>
                <w:webHidden/>
              </w:rPr>
              <w:fldChar w:fldCharType="separate"/>
            </w:r>
            <w:r w:rsidR="00E6549D">
              <w:rPr>
                <w:noProof/>
                <w:webHidden/>
              </w:rPr>
              <w:t>67</w:t>
            </w:r>
            <w:r>
              <w:rPr>
                <w:noProof/>
                <w:webHidden/>
              </w:rPr>
              <w:fldChar w:fldCharType="end"/>
            </w:r>
          </w:hyperlink>
        </w:p>
        <w:p w14:paraId="6F16E92E" w14:textId="477A1589" w:rsidR="00693752" w:rsidRDefault="00693752">
          <w:pPr>
            <w:pStyle w:val="TOC3"/>
            <w:rPr>
              <w:rFonts w:eastAsiaTheme="minorEastAsia"/>
              <w:noProof/>
              <w:kern w:val="2"/>
              <w:sz w:val="24"/>
              <w:szCs w:val="24"/>
              <w14:ligatures w14:val="standardContextual"/>
            </w:rPr>
          </w:pPr>
          <w:hyperlink w:anchor="_Toc236061714" w:history="1">
            <w:r w:rsidRPr="006A3921">
              <w:rPr>
                <w:rStyle w:val="Hyperlink"/>
                <w:noProof/>
              </w:rPr>
              <w:t>E.</w:t>
            </w:r>
            <w:r>
              <w:rPr>
                <w:rFonts w:eastAsiaTheme="minorEastAsia"/>
                <w:noProof/>
                <w:kern w:val="2"/>
                <w:sz w:val="24"/>
                <w:szCs w:val="24"/>
                <w14:ligatures w14:val="standardContextual"/>
              </w:rPr>
              <w:tab/>
            </w:r>
            <w:r w:rsidRPr="006A3921">
              <w:rPr>
                <w:rStyle w:val="Hyperlink"/>
                <w:noProof/>
              </w:rPr>
              <w:t>Projets de coopération : Problèmes spécifiques</w:t>
            </w:r>
            <w:r>
              <w:rPr>
                <w:noProof/>
                <w:webHidden/>
              </w:rPr>
              <w:tab/>
            </w:r>
            <w:r>
              <w:rPr>
                <w:noProof/>
                <w:webHidden/>
              </w:rPr>
              <w:fldChar w:fldCharType="begin"/>
            </w:r>
            <w:r>
              <w:rPr>
                <w:noProof/>
                <w:webHidden/>
              </w:rPr>
              <w:instrText xml:space="preserve"> PAGEREF _Toc236061714 \h </w:instrText>
            </w:r>
            <w:r>
              <w:rPr>
                <w:noProof/>
                <w:webHidden/>
              </w:rPr>
            </w:r>
            <w:r>
              <w:rPr>
                <w:noProof/>
                <w:webHidden/>
              </w:rPr>
              <w:fldChar w:fldCharType="separate"/>
            </w:r>
            <w:r w:rsidR="00E6549D">
              <w:rPr>
                <w:noProof/>
                <w:webHidden/>
              </w:rPr>
              <w:t>67</w:t>
            </w:r>
            <w:r>
              <w:rPr>
                <w:noProof/>
                <w:webHidden/>
              </w:rPr>
              <w:fldChar w:fldCharType="end"/>
            </w:r>
          </w:hyperlink>
        </w:p>
        <w:p w14:paraId="5CFC8F15" w14:textId="54FA985F" w:rsidR="00693752" w:rsidRDefault="00693752">
          <w:pPr>
            <w:pStyle w:val="TOC3"/>
            <w:rPr>
              <w:rFonts w:eastAsiaTheme="minorEastAsia"/>
              <w:noProof/>
              <w:kern w:val="2"/>
              <w:sz w:val="24"/>
              <w:szCs w:val="24"/>
              <w14:ligatures w14:val="standardContextual"/>
            </w:rPr>
          </w:pPr>
          <w:hyperlink w:anchor="_Toc236061715" w:history="1">
            <w:r w:rsidRPr="006A3921">
              <w:rPr>
                <w:rStyle w:val="Hyperlink"/>
                <w:noProof/>
              </w:rPr>
              <w:t>Boîte 24 : Réglementation des projets de coopération</w:t>
            </w:r>
            <w:r>
              <w:rPr>
                <w:noProof/>
                <w:webHidden/>
              </w:rPr>
              <w:tab/>
            </w:r>
            <w:r>
              <w:rPr>
                <w:noProof/>
                <w:webHidden/>
              </w:rPr>
              <w:fldChar w:fldCharType="begin"/>
            </w:r>
            <w:r>
              <w:rPr>
                <w:noProof/>
                <w:webHidden/>
              </w:rPr>
              <w:instrText xml:space="preserve"> PAGEREF _Toc236061715 \h </w:instrText>
            </w:r>
            <w:r>
              <w:rPr>
                <w:noProof/>
                <w:webHidden/>
              </w:rPr>
            </w:r>
            <w:r>
              <w:rPr>
                <w:noProof/>
                <w:webHidden/>
              </w:rPr>
              <w:fldChar w:fldCharType="separate"/>
            </w:r>
            <w:r w:rsidR="00E6549D">
              <w:rPr>
                <w:noProof/>
                <w:webHidden/>
              </w:rPr>
              <w:t>68</w:t>
            </w:r>
            <w:r>
              <w:rPr>
                <w:noProof/>
                <w:webHidden/>
              </w:rPr>
              <w:fldChar w:fldCharType="end"/>
            </w:r>
          </w:hyperlink>
        </w:p>
        <w:p w14:paraId="6009FEC1" w14:textId="1C0F05CB" w:rsidR="00693752" w:rsidRDefault="00693752">
          <w:pPr>
            <w:pStyle w:val="TOC1"/>
            <w:rPr>
              <w:rFonts w:asciiTheme="minorHAnsi" w:eastAsiaTheme="minorEastAsia" w:hAnsiTheme="minorHAnsi"/>
              <w:kern w:val="2"/>
              <w:sz w:val="24"/>
              <w:szCs w:val="24"/>
              <w14:ligatures w14:val="standardContextual"/>
            </w:rPr>
          </w:pPr>
          <w:hyperlink w:anchor="_Toc236061716" w:history="1">
            <w:r w:rsidRPr="006A3921">
              <w:rPr>
                <w:rStyle w:val="Hyperlink"/>
                <w:b/>
              </w:rPr>
              <w:t>Annexe : Publications de la HCCH sur les aspects financiers de l’adoption internationale</w:t>
            </w:r>
            <w:r>
              <w:rPr>
                <w:webHidden/>
              </w:rPr>
              <w:tab/>
            </w:r>
            <w:r>
              <w:rPr>
                <w:webHidden/>
              </w:rPr>
              <w:fldChar w:fldCharType="begin"/>
            </w:r>
            <w:r>
              <w:rPr>
                <w:webHidden/>
              </w:rPr>
              <w:instrText xml:space="preserve"> PAGEREF _Toc236061716 \h </w:instrText>
            </w:r>
            <w:r>
              <w:rPr>
                <w:webHidden/>
              </w:rPr>
            </w:r>
            <w:r>
              <w:rPr>
                <w:webHidden/>
              </w:rPr>
              <w:fldChar w:fldCharType="separate"/>
            </w:r>
            <w:r w:rsidR="00E6549D">
              <w:rPr>
                <w:webHidden/>
              </w:rPr>
              <w:t>70</w:t>
            </w:r>
            <w:r>
              <w:rPr>
                <w:webHidden/>
              </w:rPr>
              <w:fldChar w:fldCharType="end"/>
            </w:r>
          </w:hyperlink>
        </w:p>
        <w:p w14:paraId="7F46AD06" w14:textId="7A7F220E" w:rsidR="008E5838" w:rsidRPr="002E65D8" w:rsidRDefault="008E5838">
          <w:r w:rsidRPr="002E65D8">
            <w:rPr>
              <w:b/>
            </w:rPr>
            <w:fldChar w:fldCharType="end"/>
          </w:r>
        </w:p>
      </w:sdtContent>
    </w:sdt>
    <w:p w14:paraId="7EE79FAB" w14:textId="5BFF380F" w:rsidR="00E26F1D" w:rsidRPr="002E65D8" w:rsidRDefault="00E26F1D" w:rsidP="0030225B">
      <w:pPr>
        <w:rPr>
          <w:rFonts w:ascii="Raleway" w:hAnsi="Raleway"/>
          <w:sz w:val="18"/>
          <w:szCs w:val="18"/>
        </w:rPr>
      </w:pPr>
      <w:r>
        <w:br w:type="page"/>
      </w:r>
    </w:p>
    <w:p w14:paraId="6583A479" w14:textId="5CCA5EA3" w:rsidR="00A806B0" w:rsidRPr="002E65D8" w:rsidRDefault="00A806B0" w:rsidP="00A806B0">
      <w:pPr>
        <w:pStyle w:val="Heading1"/>
        <w:numPr>
          <w:ilvl w:val="0"/>
          <w:numId w:val="0"/>
        </w:numPr>
        <w:rPr>
          <w:rFonts w:ascii="Raleway" w:hAnsi="Raleway"/>
          <w:b/>
        </w:rPr>
      </w:pPr>
      <w:bookmarkStart w:id="1" w:name="_Toc60744108"/>
      <w:bookmarkStart w:id="2" w:name="_Toc60745671"/>
      <w:bookmarkStart w:id="3" w:name="_Toc61255124"/>
      <w:bookmarkStart w:id="4" w:name="_Toc61616446"/>
      <w:bookmarkStart w:id="5" w:name="_Toc62299492"/>
      <w:bookmarkStart w:id="6" w:name="_Toc62299556"/>
      <w:bookmarkStart w:id="7" w:name="_Toc64621478"/>
      <w:bookmarkStart w:id="8" w:name="_Toc90679126"/>
      <w:bookmarkStart w:id="9" w:name="_Toc133936975"/>
      <w:bookmarkStart w:id="10" w:name="_Toc135740074"/>
      <w:bookmarkStart w:id="11" w:name="_Toc236061635"/>
      <w:r>
        <w:rPr>
          <w:rFonts w:ascii="Raleway" w:hAnsi="Raleway"/>
          <w:b/>
        </w:rPr>
        <w:lastRenderedPageBreak/>
        <w:t>ABRÉVIATIONS</w:t>
      </w:r>
      <w:bookmarkEnd w:id="1"/>
      <w:bookmarkEnd w:id="2"/>
      <w:bookmarkEnd w:id="3"/>
      <w:bookmarkEnd w:id="4"/>
      <w:bookmarkEnd w:id="5"/>
      <w:bookmarkEnd w:id="6"/>
      <w:bookmarkEnd w:id="7"/>
      <w:bookmarkEnd w:id="8"/>
      <w:bookmarkEnd w:id="9"/>
      <w:bookmarkEnd w:id="10"/>
      <w:bookmarkEnd w:id="11"/>
    </w:p>
    <w:tbl>
      <w:tblPr>
        <w:tblStyle w:val="PlainTable1"/>
        <w:tblW w:w="5000" w:type="pct"/>
        <w:tblLook w:val="04A0" w:firstRow="1" w:lastRow="0" w:firstColumn="1" w:lastColumn="0" w:noHBand="0" w:noVBand="1"/>
      </w:tblPr>
      <w:tblGrid>
        <w:gridCol w:w="2406"/>
        <w:gridCol w:w="6620"/>
      </w:tblGrid>
      <w:tr w:rsidR="007B2264" w:rsidRPr="002E65D8" w14:paraId="5605B86D" w14:textId="77777777" w:rsidTr="002D70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 w:type="pct"/>
            <w:vAlign w:val="center"/>
          </w:tcPr>
          <w:p w14:paraId="06DF881C" w14:textId="77777777" w:rsidR="007B2264" w:rsidRPr="002E65D8" w:rsidRDefault="007B2264" w:rsidP="00E720FE">
            <w:pPr>
              <w:pStyle w:val="PBParagraph"/>
              <w:numPr>
                <w:ilvl w:val="0"/>
                <w:numId w:val="0"/>
              </w:numPr>
              <w:spacing w:before="70" w:after="70" w:line="240" w:lineRule="auto"/>
              <w:jc w:val="left"/>
            </w:pPr>
            <w:r>
              <w:t xml:space="preserve">Convention Adoption de 1993 </w:t>
            </w:r>
            <w:r w:rsidRPr="00A924CD">
              <w:rPr>
                <w:b w:val="0"/>
                <w:bCs w:val="0"/>
              </w:rPr>
              <w:t>ou</w:t>
            </w:r>
            <w:r>
              <w:t xml:space="preserve"> Convention </w:t>
            </w:r>
          </w:p>
        </w:tc>
        <w:tc>
          <w:tcPr>
            <w:tcW w:w="3667" w:type="pct"/>
            <w:vAlign w:val="center"/>
          </w:tcPr>
          <w:p w14:paraId="487545DB" w14:textId="77777777" w:rsidR="007B2264" w:rsidRPr="002E65D8" w:rsidRDefault="007B2264" w:rsidP="00E720FE">
            <w:pPr>
              <w:pStyle w:val="PBParagraph"/>
              <w:numPr>
                <w:ilvl w:val="0"/>
                <w:numId w:val="0"/>
              </w:numPr>
              <w:spacing w:before="70" w:after="70" w:line="240" w:lineRule="auto"/>
              <w:cnfStyle w:val="100000000000" w:firstRow="1" w:lastRow="0" w:firstColumn="0" w:lastColumn="0" w:oddVBand="0" w:evenVBand="0" w:oddHBand="0" w:evenHBand="0" w:firstRowFirstColumn="0" w:firstRowLastColumn="0" w:lastRowFirstColumn="0" w:lastRowLastColumn="0"/>
            </w:pPr>
            <w:hyperlink r:id="rId13" w:history="1">
              <w:r>
                <w:rPr>
                  <w:rStyle w:val="Hyperlink"/>
                  <w:b w:val="0"/>
                  <w:color w:val="002060"/>
                </w:rPr>
                <w:t>Convention du 29 mai 1993 sur la protection des enfants et la coopération en matière d’adoption internationale</w:t>
              </w:r>
            </w:hyperlink>
            <w:r>
              <w:t xml:space="preserve"> </w:t>
            </w:r>
          </w:p>
        </w:tc>
      </w:tr>
      <w:tr w:rsidR="007B2264" w:rsidRPr="002E65D8" w14:paraId="69278605"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1A43916B" w14:textId="77777777" w:rsidR="007B2264" w:rsidRPr="002E65D8" w:rsidRDefault="007B2264" w:rsidP="00E720FE">
            <w:pPr>
              <w:pStyle w:val="PBParagraph"/>
              <w:numPr>
                <w:ilvl w:val="0"/>
                <w:numId w:val="0"/>
              </w:numPr>
              <w:spacing w:before="70" w:after="70" w:line="240" w:lineRule="auto"/>
              <w:jc w:val="left"/>
            </w:pPr>
            <w:r>
              <w:t>Boîte à outils sur les pratiques illicites</w:t>
            </w:r>
          </w:p>
        </w:tc>
        <w:tc>
          <w:tcPr>
            <w:tcW w:w="3667" w:type="pct"/>
            <w:vAlign w:val="center"/>
          </w:tcPr>
          <w:p w14:paraId="2D2E6D65"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hyperlink r:id="rId14" w:history="1">
              <w:r>
                <w:rPr>
                  <w:rStyle w:val="Hyperlink"/>
                </w:rPr>
                <w:t>Boîte à outils de la HCCH visant à prévenir les pratiques illicites en matière d’adoption internationale et à y remédier</w:t>
              </w:r>
            </w:hyperlink>
          </w:p>
        </w:tc>
      </w:tr>
      <w:tr w:rsidR="007B2264" w:rsidRPr="002E65D8" w14:paraId="45288D49"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2C4D4EDA" w14:textId="77777777" w:rsidR="007B2264" w:rsidRPr="002E65D8" w:rsidRDefault="007B2264" w:rsidP="00E720FE">
            <w:pPr>
              <w:pStyle w:val="PBParagraph"/>
              <w:numPr>
                <w:ilvl w:val="0"/>
                <w:numId w:val="0"/>
              </w:numPr>
              <w:spacing w:before="70" w:after="70" w:line="240" w:lineRule="auto"/>
              <w:jc w:val="left"/>
            </w:pPr>
            <w:r>
              <w:t>BP</w:t>
            </w:r>
          </w:p>
        </w:tc>
        <w:tc>
          <w:tcPr>
            <w:tcW w:w="3667" w:type="pct"/>
            <w:vAlign w:val="center"/>
          </w:tcPr>
          <w:p w14:paraId="2CD6BD4A"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Bureau Permanent de la HCCH</w:t>
            </w:r>
          </w:p>
        </w:tc>
      </w:tr>
      <w:tr w:rsidR="007B2264" w:rsidRPr="002E65D8" w14:paraId="240FC28E"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3FC0F559" w14:textId="77777777" w:rsidR="007B2264" w:rsidRPr="002E65D8" w:rsidRDefault="007B2264" w:rsidP="00E720FE">
            <w:pPr>
              <w:pStyle w:val="PBParagraph"/>
              <w:numPr>
                <w:ilvl w:val="0"/>
                <w:numId w:val="0"/>
              </w:numPr>
              <w:spacing w:before="70" w:after="70" w:line="240" w:lineRule="auto"/>
              <w:jc w:val="left"/>
            </w:pPr>
            <w:r>
              <w:t>C&amp;D</w:t>
            </w:r>
          </w:p>
        </w:tc>
        <w:tc>
          <w:tcPr>
            <w:tcW w:w="3667" w:type="pct"/>
            <w:vAlign w:val="center"/>
          </w:tcPr>
          <w:p w14:paraId="68912A47"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 xml:space="preserve">Conclusions et Décisions du CAGP </w:t>
            </w:r>
          </w:p>
        </w:tc>
      </w:tr>
      <w:tr w:rsidR="007B2264" w:rsidRPr="002E65D8" w14:paraId="6358C1AC"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0BA7967C" w14:textId="77777777" w:rsidR="007B2264" w:rsidRPr="002E65D8" w:rsidRDefault="007B2264" w:rsidP="00E720FE">
            <w:pPr>
              <w:pStyle w:val="PBParagraph"/>
              <w:numPr>
                <w:ilvl w:val="0"/>
                <w:numId w:val="0"/>
              </w:numPr>
              <w:spacing w:before="70" w:after="70" w:line="240" w:lineRule="auto"/>
              <w:jc w:val="left"/>
            </w:pPr>
            <w:r>
              <w:t>C&amp;R</w:t>
            </w:r>
          </w:p>
        </w:tc>
        <w:tc>
          <w:tcPr>
            <w:tcW w:w="3667" w:type="pct"/>
            <w:vAlign w:val="center"/>
          </w:tcPr>
          <w:p w14:paraId="3744BECE" w14:textId="77777777" w:rsidR="007B2264" w:rsidRPr="002E65D8" w:rsidRDefault="007B2264" w:rsidP="00E720FE">
            <w:pPr>
              <w:pStyle w:val="PBParagraph"/>
              <w:numPr>
                <w:ilvl w:val="0"/>
                <w:numId w:val="0"/>
              </w:numPr>
              <w:spacing w:before="70" w:after="70" w:line="240" w:lineRule="auto"/>
              <w:ind w:left="720" w:hanging="720"/>
              <w:cnfStyle w:val="000000000000" w:firstRow="0" w:lastRow="0" w:firstColumn="0" w:lastColumn="0" w:oddVBand="0" w:evenVBand="0" w:oddHBand="0" w:evenHBand="0" w:firstRowFirstColumn="0" w:firstRowLastColumn="0" w:lastRowFirstColumn="0" w:lastRowLastColumn="0"/>
            </w:pPr>
            <w:r>
              <w:t xml:space="preserve">Conclusions et Recommandations </w:t>
            </w:r>
          </w:p>
        </w:tc>
      </w:tr>
      <w:tr w:rsidR="007B2264" w:rsidRPr="002E65D8" w14:paraId="6463A516"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5F0ABF58" w14:textId="77777777" w:rsidR="007B2264" w:rsidRPr="002E65D8" w:rsidRDefault="007B2264" w:rsidP="00E720FE">
            <w:pPr>
              <w:pStyle w:val="PBParagraph"/>
              <w:numPr>
                <w:ilvl w:val="0"/>
                <w:numId w:val="0"/>
              </w:numPr>
              <w:spacing w:before="70" w:after="70" w:line="240" w:lineRule="auto"/>
              <w:jc w:val="left"/>
            </w:pPr>
            <w:r>
              <w:t>CAGP</w:t>
            </w:r>
          </w:p>
        </w:tc>
        <w:tc>
          <w:tcPr>
            <w:tcW w:w="3667" w:type="pct"/>
            <w:vAlign w:val="center"/>
          </w:tcPr>
          <w:p w14:paraId="3A5B8755"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rPr>
                <w:i/>
              </w:rPr>
            </w:pPr>
            <w:r>
              <w:t>Conseil sur les affaires générales et la politique de la HCCH</w:t>
            </w:r>
          </w:p>
        </w:tc>
      </w:tr>
      <w:tr w:rsidR="007B2264" w:rsidRPr="002E65D8" w14:paraId="21893D52"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5DC13BB2" w14:textId="77777777" w:rsidR="007B2264" w:rsidRPr="002E65D8" w:rsidRDefault="007B2264" w:rsidP="00E720FE">
            <w:pPr>
              <w:pStyle w:val="PBParagraph"/>
              <w:numPr>
                <w:ilvl w:val="0"/>
                <w:numId w:val="0"/>
              </w:numPr>
              <w:spacing w:before="70" w:after="70" w:line="240" w:lineRule="auto"/>
              <w:jc w:val="left"/>
            </w:pPr>
            <w:r>
              <w:t>CNUDE</w:t>
            </w:r>
          </w:p>
        </w:tc>
        <w:tc>
          <w:tcPr>
            <w:tcW w:w="3667" w:type="pct"/>
            <w:vAlign w:val="center"/>
          </w:tcPr>
          <w:p w14:paraId="591BFB6C"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hyperlink r:id="rId15" w:history="1">
              <w:r>
                <w:rPr>
                  <w:rStyle w:val="Hyperlink"/>
                  <w:color w:val="002060"/>
                </w:rPr>
                <w:t>Convention des Nations Unies de 1989 relative aux droits de l’enfant</w:t>
              </w:r>
            </w:hyperlink>
          </w:p>
        </w:tc>
      </w:tr>
      <w:tr w:rsidR="007B2264" w:rsidRPr="002E65D8" w14:paraId="34311A2A"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29023986" w14:textId="77777777" w:rsidR="007B2264" w:rsidRPr="002E65D8" w:rsidRDefault="007B2264" w:rsidP="00E720FE">
            <w:pPr>
              <w:pStyle w:val="PBParagraph"/>
              <w:numPr>
                <w:ilvl w:val="0"/>
                <w:numId w:val="0"/>
              </w:numPr>
              <w:spacing w:before="70" w:after="70" w:line="240" w:lineRule="auto"/>
              <w:jc w:val="left"/>
            </w:pPr>
            <w:r>
              <w:t>CS</w:t>
            </w:r>
          </w:p>
        </w:tc>
        <w:tc>
          <w:tcPr>
            <w:tcW w:w="3667" w:type="pct"/>
            <w:vAlign w:val="center"/>
          </w:tcPr>
          <w:p w14:paraId="55658F23"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 xml:space="preserve">Commission spéciale sur le fonctionnement pratique de la Convention Adoption de 1993 </w:t>
            </w:r>
          </w:p>
        </w:tc>
      </w:tr>
      <w:tr w:rsidR="007B2264" w:rsidRPr="002E65D8" w14:paraId="5D547CE9"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5AC59F0A" w14:textId="77777777" w:rsidR="007B2264" w:rsidRPr="002E65D8" w:rsidRDefault="007B2264" w:rsidP="00E720FE">
            <w:pPr>
              <w:pStyle w:val="PBParagraph"/>
              <w:numPr>
                <w:ilvl w:val="0"/>
                <w:numId w:val="0"/>
              </w:numPr>
              <w:spacing w:before="70" w:after="70" w:line="240" w:lineRule="auto"/>
              <w:jc w:val="left"/>
            </w:pPr>
            <w:r>
              <w:t>EA</w:t>
            </w:r>
          </w:p>
        </w:tc>
        <w:tc>
          <w:tcPr>
            <w:tcW w:w="3667" w:type="pct"/>
            <w:vAlign w:val="center"/>
          </w:tcPr>
          <w:p w14:paraId="6A731E0B" w14:textId="77777777" w:rsidR="007B2264" w:rsidRPr="002E65D8" w:rsidRDefault="007B2264" w:rsidP="00E720FE">
            <w:pPr>
              <w:pStyle w:val="PBParagraph"/>
              <w:numPr>
                <w:ilvl w:val="0"/>
                <w:numId w:val="0"/>
              </w:numPr>
              <w:spacing w:before="70" w:after="70" w:line="240" w:lineRule="auto"/>
              <w:ind w:left="720" w:hanging="720"/>
              <w:cnfStyle w:val="000000000000" w:firstRow="0" w:lastRow="0" w:firstColumn="0" w:lastColumn="0" w:oddVBand="0" w:evenVBand="0" w:oddHBand="0" w:evenHBand="0" w:firstRowFirstColumn="0" w:firstRowLastColumn="0" w:lastRowFirstColumn="0" w:lastRowLastColumn="0"/>
            </w:pPr>
            <w:r>
              <w:t>État d’accueil</w:t>
            </w:r>
          </w:p>
        </w:tc>
      </w:tr>
      <w:tr w:rsidR="007B2264" w:rsidRPr="002E65D8" w14:paraId="0794E73C"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0D48EC96" w14:textId="77777777" w:rsidR="007B2264" w:rsidRPr="002E65D8" w:rsidRDefault="007B2264" w:rsidP="00E720FE">
            <w:pPr>
              <w:pStyle w:val="PBParagraph"/>
              <w:numPr>
                <w:ilvl w:val="0"/>
                <w:numId w:val="0"/>
              </w:numPr>
              <w:spacing w:before="70" w:after="70" w:line="240" w:lineRule="auto"/>
              <w:jc w:val="left"/>
            </w:pPr>
            <w:r>
              <w:t>EO</w:t>
            </w:r>
          </w:p>
        </w:tc>
        <w:tc>
          <w:tcPr>
            <w:tcW w:w="3667" w:type="pct"/>
            <w:vAlign w:val="center"/>
          </w:tcPr>
          <w:p w14:paraId="41A8E639"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État d’origine</w:t>
            </w:r>
          </w:p>
        </w:tc>
      </w:tr>
      <w:tr w:rsidR="007B2264" w:rsidRPr="002E65D8" w14:paraId="60F409DD"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7677AA0E" w14:textId="77777777" w:rsidR="007B2264" w:rsidRPr="002E65D8" w:rsidRDefault="007B2264" w:rsidP="00E720FE">
            <w:pPr>
              <w:pStyle w:val="PBParagraph"/>
              <w:numPr>
                <w:ilvl w:val="0"/>
                <w:numId w:val="0"/>
              </w:numPr>
              <w:spacing w:before="70" w:after="70" w:line="240" w:lineRule="auto"/>
              <w:jc w:val="left"/>
            </w:pPr>
            <w:r>
              <w:t>Feuille de route</w:t>
            </w:r>
          </w:p>
        </w:tc>
        <w:tc>
          <w:tcPr>
            <w:tcW w:w="3667" w:type="pct"/>
            <w:vAlign w:val="center"/>
          </w:tcPr>
          <w:p w14:paraId="67C3E34E" w14:textId="2336E369"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 xml:space="preserve">Feuille de route </w:t>
            </w:r>
            <w:r w:rsidDel="00724429">
              <w:t xml:space="preserve">de la HCCH </w:t>
            </w:r>
            <w:r>
              <w:t>en matière de coopération entre États concernant la transition vers l’a</w:t>
            </w:r>
            <w:r w:rsidR="00FE5BD4">
              <w:t>bsence</w:t>
            </w:r>
            <w:r w:rsidDel="008E0B7E">
              <w:t xml:space="preserve"> de contributions</w:t>
            </w:r>
            <w:r>
              <w:t xml:space="preserve">, </w:t>
            </w:r>
            <w:r w:rsidR="00FE5BD4">
              <w:t xml:space="preserve">de </w:t>
            </w:r>
            <w:r>
              <w:t>don</w:t>
            </w:r>
            <w:r w:rsidDel="000472E0">
              <w:t>s</w:t>
            </w:r>
            <w:r>
              <w:t xml:space="preserve"> et </w:t>
            </w:r>
            <w:r w:rsidR="00FE5BD4">
              <w:t>de</w:t>
            </w:r>
            <w:r>
              <w:t xml:space="preserve"> projet</w:t>
            </w:r>
            <w:r w:rsidDel="000472E0">
              <w:t>s</w:t>
            </w:r>
            <w:r>
              <w:t xml:space="preserve"> de coopération dans le contexte de l’adoption</w:t>
            </w:r>
          </w:p>
        </w:tc>
      </w:tr>
      <w:tr w:rsidR="007B2264" w:rsidRPr="002E65D8" w14:paraId="6E87C0FF"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0D2B5E05" w14:textId="77777777" w:rsidR="007B2264" w:rsidRPr="002E65D8" w:rsidRDefault="007B2264" w:rsidP="00E720FE">
            <w:pPr>
              <w:pStyle w:val="PBParagraph"/>
              <w:numPr>
                <w:ilvl w:val="0"/>
                <w:numId w:val="0"/>
              </w:numPr>
              <w:spacing w:before="70" w:after="70" w:line="240" w:lineRule="auto"/>
              <w:jc w:val="left"/>
            </w:pPr>
            <w:r>
              <w:t xml:space="preserve">Fiches de synthèse </w:t>
            </w:r>
            <w:r w:rsidRPr="00A924CD">
              <w:rPr>
                <w:b w:val="0"/>
                <w:bCs w:val="0"/>
              </w:rPr>
              <w:t>ou</w:t>
            </w:r>
            <w:r>
              <w:t xml:space="preserve"> FS</w:t>
            </w:r>
          </w:p>
        </w:tc>
        <w:tc>
          <w:tcPr>
            <w:tcW w:w="3667" w:type="pct"/>
            <w:vAlign w:val="center"/>
          </w:tcPr>
          <w:p w14:paraId="53C2AD86" w14:textId="4B63A4F1"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rsidRPr="00A830B3">
              <w:t xml:space="preserve">Fiches de synthèse sur les pratiques illicites figurant dans la </w:t>
            </w:r>
            <w:r w:rsidRPr="00A830B3">
              <w:rPr>
                <w:iCs/>
              </w:rPr>
              <w:t xml:space="preserve">Boîte à outils </w:t>
            </w:r>
            <w:r w:rsidRPr="00A830B3" w:rsidDel="00882C29">
              <w:rPr>
                <w:iCs/>
              </w:rPr>
              <w:t xml:space="preserve">de la HCCH </w:t>
            </w:r>
            <w:r w:rsidR="00882C29" w:rsidRPr="00A830B3">
              <w:rPr>
                <w:iCs/>
              </w:rPr>
              <w:t>sur</w:t>
            </w:r>
            <w:r w:rsidRPr="00A830B3">
              <w:rPr>
                <w:iCs/>
              </w:rPr>
              <w:t xml:space="preserve"> les pratiques illicites</w:t>
            </w:r>
          </w:p>
        </w:tc>
      </w:tr>
      <w:tr w:rsidR="007B2264" w:rsidRPr="002E65D8" w14:paraId="2266A76E"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6903F63D" w14:textId="77777777" w:rsidR="007B2264" w:rsidRPr="002E65D8" w:rsidRDefault="007B2264" w:rsidP="00E720FE">
            <w:pPr>
              <w:pStyle w:val="PBParagraph"/>
              <w:numPr>
                <w:ilvl w:val="0"/>
                <w:numId w:val="0"/>
              </w:numPr>
              <w:spacing w:before="70" w:after="70" w:line="240" w:lineRule="auto"/>
              <w:jc w:val="left"/>
            </w:pPr>
            <w:r>
              <w:t>FPA</w:t>
            </w:r>
          </w:p>
        </w:tc>
        <w:tc>
          <w:tcPr>
            <w:tcW w:w="3667" w:type="pct"/>
            <w:vAlign w:val="center"/>
          </w:tcPr>
          <w:p w14:paraId="580A68E3"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Futurs parents adoptifs</w:t>
            </w:r>
          </w:p>
        </w:tc>
      </w:tr>
      <w:tr w:rsidR="007B2264" w:rsidRPr="002E65D8" w14:paraId="2D138516" w14:textId="77777777" w:rsidTr="001924C2">
        <w:tc>
          <w:tcPr>
            <w:cnfStyle w:val="001000000000" w:firstRow="0" w:lastRow="0" w:firstColumn="1" w:lastColumn="0" w:oddVBand="0" w:evenVBand="0" w:oddHBand="0" w:evenHBand="0" w:firstRowFirstColumn="0" w:firstRowLastColumn="0" w:lastRowFirstColumn="0" w:lastRowLastColumn="0"/>
            <w:tcW w:w="1333" w:type="pct"/>
            <w:vAlign w:val="center"/>
          </w:tcPr>
          <w:p w14:paraId="4DADD07E" w14:textId="77777777" w:rsidR="007B2264" w:rsidRPr="002E65D8" w:rsidRDefault="007B2264" w:rsidP="00E720FE">
            <w:pPr>
              <w:pStyle w:val="PBParagraph"/>
              <w:numPr>
                <w:ilvl w:val="0"/>
                <w:numId w:val="0"/>
              </w:numPr>
              <w:spacing w:before="70" w:after="70" w:line="240" w:lineRule="auto"/>
              <w:jc w:val="left"/>
            </w:pPr>
            <w:r>
              <w:t>(Futurs) parents adoptifs</w:t>
            </w:r>
          </w:p>
        </w:tc>
        <w:tc>
          <w:tcPr>
            <w:tcW w:w="3667" w:type="pct"/>
            <w:vAlign w:val="center"/>
          </w:tcPr>
          <w:p w14:paraId="20245668"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 xml:space="preserve">Futurs parents adoptifs </w:t>
            </w:r>
            <w:r>
              <w:rPr>
                <w:u w:val="single"/>
              </w:rPr>
              <w:t>et</w:t>
            </w:r>
            <w:r>
              <w:t xml:space="preserve"> parents adoptifs</w:t>
            </w:r>
          </w:p>
        </w:tc>
      </w:tr>
      <w:tr w:rsidR="007B2264" w:rsidRPr="002E65D8" w14:paraId="1FDE1E2B"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5731EE11" w14:textId="77777777" w:rsidR="007B2264" w:rsidRPr="002E65D8" w:rsidRDefault="007B2264" w:rsidP="00E720FE">
            <w:pPr>
              <w:pStyle w:val="PBParagraph"/>
              <w:numPr>
                <w:ilvl w:val="0"/>
                <w:numId w:val="0"/>
              </w:numPr>
              <w:spacing w:before="70" w:after="70" w:line="240" w:lineRule="auto"/>
              <w:jc w:val="left"/>
            </w:pPr>
            <w:r>
              <w:t>HCCH</w:t>
            </w:r>
          </w:p>
        </w:tc>
        <w:tc>
          <w:tcPr>
            <w:tcW w:w="3667" w:type="pct"/>
            <w:vAlign w:val="center"/>
          </w:tcPr>
          <w:p w14:paraId="3186EA7A"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Conférence de La Haye de droit international privé</w:t>
            </w:r>
          </w:p>
        </w:tc>
      </w:tr>
      <w:tr w:rsidR="007B2264" w:rsidRPr="002E65D8" w14:paraId="33B5E82E"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273814EA" w14:textId="77777777" w:rsidR="007B2264" w:rsidRPr="002E65D8" w:rsidRDefault="007B2264" w:rsidP="00E720FE">
            <w:pPr>
              <w:pStyle w:val="PBParagraph"/>
              <w:numPr>
                <w:ilvl w:val="0"/>
                <w:numId w:val="0"/>
              </w:numPr>
              <w:spacing w:before="70" w:after="70" w:line="240" w:lineRule="auto"/>
              <w:jc w:val="left"/>
            </w:pPr>
            <w:r>
              <w:t xml:space="preserve">Note </w:t>
            </w:r>
          </w:p>
        </w:tc>
        <w:tc>
          <w:tcPr>
            <w:tcW w:w="3667" w:type="pct"/>
            <w:vAlign w:val="center"/>
          </w:tcPr>
          <w:p w14:paraId="2D871ED0" w14:textId="36ADFBD6"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rsidRPr="0069271B">
              <w:t xml:space="preserve">Note </w:t>
            </w:r>
            <w:r w:rsidRPr="0069271B" w:rsidDel="00017C74">
              <w:t xml:space="preserve">de la HCCH </w:t>
            </w:r>
            <w:r w:rsidRPr="0069271B">
              <w:t>sur les aspects financiers de l’adoption internationale</w:t>
            </w:r>
          </w:p>
        </w:tc>
      </w:tr>
      <w:tr w:rsidR="007B2264" w:rsidRPr="002E65D8" w14:paraId="44B6D3E5"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649905A6" w14:textId="77777777" w:rsidR="007B2264" w:rsidRPr="002E65D8" w:rsidRDefault="007B2264" w:rsidP="00E720FE">
            <w:pPr>
              <w:pStyle w:val="PBParagraph"/>
              <w:numPr>
                <w:ilvl w:val="0"/>
                <w:numId w:val="0"/>
              </w:numPr>
              <w:spacing w:before="70" w:after="70" w:line="240" w:lineRule="auto"/>
              <w:jc w:val="left"/>
            </w:pPr>
            <w:r>
              <w:t>OAA</w:t>
            </w:r>
          </w:p>
        </w:tc>
        <w:tc>
          <w:tcPr>
            <w:tcW w:w="3667" w:type="pct"/>
            <w:vAlign w:val="center"/>
          </w:tcPr>
          <w:p w14:paraId="5D7AA272"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Organisme agréé en matière d’adoption</w:t>
            </w:r>
          </w:p>
        </w:tc>
      </w:tr>
      <w:tr w:rsidR="007B2264" w:rsidRPr="002E65D8" w14:paraId="3BE16EAA"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34EBC1EC" w14:textId="77777777" w:rsidR="007B2264" w:rsidRPr="002E65D8" w:rsidRDefault="007B2264" w:rsidP="00E720FE">
            <w:pPr>
              <w:pStyle w:val="PBParagraph"/>
              <w:numPr>
                <w:ilvl w:val="0"/>
                <w:numId w:val="0"/>
              </w:numPr>
              <w:spacing w:before="70" w:after="70" w:line="240" w:lineRule="auto"/>
              <w:jc w:val="left"/>
            </w:pPr>
            <w:r>
              <w:t>OPSC</w:t>
            </w:r>
          </w:p>
        </w:tc>
        <w:tc>
          <w:tcPr>
            <w:tcW w:w="3667" w:type="pct"/>
            <w:vAlign w:val="center"/>
          </w:tcPr>
          <w:p w14:paraId="537B4A62"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hyperlink r:id="rId16" w:history="1">
              <w:r>
                <w:rPr>
                  <w:rStyle w:val="Hyperlink"/>
                  <w:color w:val="002060"/>
                </w:rPr>
                <w:t>Protocole facultatif à la CNUDE, concernant la vente d’enfants, la prostitution des enfants et la pornographie mettant en scène des enfants</w:t>
              </w:r>
            </w:hyperlink>
          </w:p>
        </w:tc>
      </w:tr>
      <w:tr w:rsidR="007B2264" w:rsidRPr="002E65D8" w14:paraId="113BA9D2" w14:textId="77777777" w:rsidTr="004B6655">
        <w:tc>
          <w:tcPr>
            <w:cnfStyle w:val="001000000000" w:firstRow="0" w:lastRow="0" w:firstColumn="1" w:lastColumn="0" w:oddVBand="0" w:evenVBand="0" w:oddHBand="0" w:evenHBand="0" w:firstRowFirstColumn="0" w:firstRowLastColumn="0" w:lastRowFirstColumn="0" w:lastRowLastColumn="0"/>
            <w:tcW w:w="1333" w:type="pct"/>
          </w:tcPr>
          <w:p w14:paraId="525F3A29" w14:textId="77777777" w:rsidR="007B2264" w:rsidRPr="002E65D8" w:rsidRDefault="007B2264" w:rsidP="00E720FE">
            <w:pPr>
              <w:pStyle w:val="PBParagraph"/>
              <w:numPr>
                <w:ilvl w:val="0"/>
                <w:numId w:val="0"/>
              </w:numPr>
              <w:spacing w:before="70" w:after="70" w:line="240" w:lineRule="auto"/>
              <w:jc w:val="left"/>
            </w:pPr>
            <w:r>
              <w:t>Profil d’État (électronique)</w:t>
            </w:r>
          </w:p>
        </w:tc>
        <w:tc>
          <w:tcPr>
            <w:tcW w:w="3667" w:type="pct"/>
            <w:vAlign w:val="center"/>
          </w:tcPr>
          <w:p w14:paraId="2A471EE6" w14:textId="1B7A6C79"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hyperlink r:id="rId17" w:history="1">
              <w:r>
                <w:rPr>
                  <w:rStyle w:val="Hyperlink"/>
                </w:rPr>
                <w:t>Profils d’État (électronique) de la HCCH</w:t>
              </w:r>
            </w:hyperlink>
            <w:r>
              <w:t xml:space="preserve"> pour les États d’origine et les États d’accueil </w:t>
            </w:r>
          </w:p>
          <w:p w14:paraId="05791588" w14:textId="19099DFA"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rPr>
              <w:t>Principalement mentionnés dans les notes de bas de page, l’année mentionnée entre parenthèses après le nom de l’État correspond à la dernière mise à jour du Profil d’État au moment où il a été consulté pour la dernière fois.</w:t>
            </w:r>
            <w:r w:rsidR="00E6549D">
              <w:rPr>
                <w:sz w:val="16"/>
              </w:rPr>
              <w:t xml:space="preserve"> </w:t>
            </w:r>
          </w:p>
        </w:tc>
      </w:tr>
      <w:tr w:rsidR="007B2264" w:rsidRPr="002E65D8" w14:paraId="40B7E85E"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38EEA598" w14:textId="77777777" w:rsidR="007B2264" w:rsidRPr="002E65D8" w:rsidRDefault="007B2264" w:rsidP="00E720FE">
            <w:pPr>
              <w:pStyle w:val="PBParagraph"/>
              <w:numPr>
                <w:ilvl w:val="0"/>
                <w:numId w:val="0"/>
              </w:numPr>
              <w:spacing w:before="70" w:after="70" w:line="240" w:lineRule="auto"/>
              <w:jc w:val="left"/>
            </w:pPr>
            <w:r>
              <w:t xml:space="preserve">Q. </w:t>
            </w:r>
          </w:p>
        </w:tc>
        <w:tc>
          <w:tcPr>
            <w:tcW w:w="3667" w:type="pct"/>
            <w:vAlign w:val="center"/>
          </w:tcPr>
          <w:p w14:paraId="36539CEC"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 xml:space="preserve">Question </w:t>
            </w:r>
          </w:p>
        </w:tc>
      </w:tr>
      <w:tr w:rsidR="007B2264" w:rsidRPr="002E65D8" w14:paraId="0CCC9274"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6A5A47CC" w14:textId="77777777" w:rsidR="007B2264" w:rsidRPr="002E65D8" w:rsidRDefault="007B2264" w:rsidP="00E720FE">
            <w:pPr>
              <w:pStyle w:val="PBParagraph"/>
              <w:numPr>
                <w:ilvl w:val="0"/>
                <w:numId w:val="0"/>
              </w:numPr>
              <w:spacing w:before="70" w:after="70" w:line="240" w:lineRule="auto"/>
              <w:jc w:val="left"/>
            </w:pPr>
            <w:r>
              <w:t>Répertoire</w:t>
            </w:r>
          </w:p>
        </w:tc>
        <w:tc>
          <w:tcPr>
            <w:tcW w:w="3667" w:type="pct"/>
            <w:vAlign w:val="center"/>
          </w:tcPr>
          <w:p w14:paraId="24813B4C" w14:textId="645806DA"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 xml:space="preserve">Répertoire </w:t>
            </w:r>
            <w:r w:rsidR="006E763F">
              <w:t xml:space="preserve">de la HCCH </w:t>
            </w:r>
            <w:r>
              <w:t>des études et autres sources d’information sur les aspects financiers de l’adoption internationale</w:t>
            </w:r>
            <w:r w:rsidR="0058679E">
              <w:t xml:space="preserve"> </w:t>
            </w:r>
          </w:p>
        </w:tc>
      </w:tr>
      <w:tr w:rsidR="007B2264" w:rsidRPr="002E65D8" w14:paraId="0B3EBB7D"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1F1B1654" w14:textId="77777777" w:rsidR="007B2264" w:rsidRPr="002E65D8" w:rsidRDefault="007B2264" w:rsidP="00E720FE">
            <w:pPr>
              <w:pStyle w:val="PBParagraph"/>
              <w:numPr>
                <w:ilvl w:val="0"/>
                <w:numId w:val="0"/>
              </w:numPr>
              <w:spacing w:before="70" w:after="70" w:line="240" w:lineRule="auto"/>
              <w:jc w:val="left"/>
            </w:pPr>
            <w:r>
              <w:t>SSI</w:t>
            </w:r>
          </w:p>
        </w:tc>
        <w:tc>
          <w:tcPr>
            <w:tcW w:w="3667" w:type="pct"/>
            <w:vAlign w:val="center"/>
          </w:tcPr>
          <w:p w14:paraId="6D34521B"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Service Social International</w:t>
            </w:r>
          </w:p>
        </w:tc>
      </w:tr>
      <w:tr w:rsidR="007B2264" w:rsidRPr="002E65D8" w14:paraId="0CD243C6"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00AB709F" w14:textId="7F67C413" w:rsidR="007B2264" w:rsidRPr="002E65D8" w:rsidRDefault="007B2264" w:rsidP="00E720FE">
            <w:pPr>
              <w:pStyle w:val="PBParagraph"/>
              <w:numPr>
                <w:ilvl w:val="0"/>
                <w:numId w:val="0"/>
              </w:numPr>
              <w:spacing w:before="70" w:after="70" w:line="240" w:lineRule="auto"/>
              <w:jc w:val="left"/>
            </w:pPr>
            <w:r>
              <w:t>Tableaux sur les aspects financiers</w:t>
            </w:r>
          </w:p>
        </w:tc>
        <w:tc>
          <w:tcPr>
            <w:tcW w:w="3667" w:type="pct"/>
            <w:vAlign w:val="center"/>
          </w:tcPr>
          <w:p w14:paraId="4C0C3ECE" w14:textId="089CAC05"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hyperlink r:id="rId18" w:history="1">
              <w:r w:rsidRPr="00A830B3" w:rsidDel="0069271B">
                <w:rPr>
                  <w:rStyle w:val="Hyperlink"/>
                </w:rPr>
                <w:t>Tableaux de la HCCH sur les aspects financiers de l’adoption internationale</w:t>
              </w:r>
            </w:hyperlink>
          </w:p>
        </w:tc>
      </w:tr>
      <w:tr w:rsidR="007B2264" w:rsidRPr="002E65D8" w14:paraId="64313430" w14:textId="77777777" w:rsidTr="002D7095">
        <w:tc>
          <w:tcPr>
            <w:cnfStyle w:val="001000000000" w:firstRow="0" w:lastRow="0" w:firstColumn="1" w:lastColumn="0" w:oddVBand="0" w:evenVBand="0" w:oddHBand="0" w:evenHBand="0" w:firstRowFirstColumn="0" w:firstRowLastColumn="0" w:lastRowFirstColumn="0" w:lastRowLastColumn="0"/>
            <w:tcW w:w="1333" w:type="pct"/>
            <w:vAlign w:val="center"/>
          </w:tcPr>
          <w:p w14:paraId="797EC730" w14:textId="77777777" w:rsidR="007B2264" w:rsidRPr="002E65D8" w:rsidRDefault="007B2264" w:rsidP="00E720FE">
            <w:pPr>
              <w:pStyle w:val="PBParagraph"/>
              <w:numPr>
                <w:ilvl w:val="0"/>
                <w:numId w:val="0"/>
              </w:numPr>
              <w:spacing w:before="70" w:after="70" w:line="240" w:lineRule="auto"/>
              <w:jc w:val="left"/>
            </w:pPr>
            <w:r>
              <w:t>Unicef</w:t>
            </w:r>
          </w:p>
        </w:tc>
        <w:tc>
          <w:tcPr>
            <w:tcW w:w="3667" w:type="pct"/>
            <w:vAlign w:val="center"/>
          </w:tcPr>
          <w:p w14:paraId="0FAC687D" w14:textId="77777777" w:rsidR="007B2264" w:rsidRPr="002E65D8" w:rsidRDefault="007B2264" w:rsidP="00E720FE">
            <w:pPr>
              <w:pStyle w:val="PBParagraph"/>
              <w:numPr>
                <w:ilvl w:val="0"/>
                <w:numId w:val="0"/>
              </w:numPr>
              <w:spacing w:before="70" w:after="70" w:line="240" w:lineRule="auto"/>
              <w:cnfStyle w:val="000000000000" w:firstRow="0" w:lastRow="0" w:firstColumn="0" w:lastColumn="0" w:oddVBand="0" w:evenVBand="0" w:oddHBand="0" w:evenHBand="0" w:firstRowFirstColumn="0" w:firstRowLastColumn="0" w:lastRowFirstColumn="0" w:lastRowLastColumn="0"/>
            </w:pPr>
            <w:r>
              <w:t>Fonds des Nations Unies pour l’enfance</w:t>
            </w:r>
          </w:p>
        </w:tc>
      </w:tr>
    </w:tbl>
    <w:p w14:paraId="537BC876" w14:textId="77777777" w:rsidR="005F0903" w:rsidRDefault="005F0903">
      <w:pPr>
        <w:spacing w:after="160" w:line="276" w:lineRule="auto"/>
        <w:rPr>
          <w:rFonts w:ascii="Raleway" w:eastAsiaTheme="majorEastAsia" w:hAnsi="Raleway" w:cstheme="majorBidi"/>
          <w:b/>
          <w:bCs/>
          <w:color w:val="03295A" w:themeColor="accent4"/>
          <w:sz w:val="28"/>
          <w:szCs w:val="28"/>
        </w:rPr>
      </w:pPr>
      <w:r>
        <w:rPr>
          <w:rFonts w:ascii="Raleway" w:hAnsi="Raleway"/>
          <w:b/>
        </w:rPr>
        <w:br w:type="page"/>
      </w:r>
    </w:p>
    <w:p w14:paraId="05663285" w14:textId="5B8D36CA" w:rsidR="00B9780C" w:rsidRPr="002E65D8" w:rsidRDefault="00A43E5A" w:rsidP="00242A40">
      <w:pPr>
        <w:pStyle w:val="Heading1"/>
        <w:numPr>
          <w:ilvl w:val="0"/>
          <w:numId w:val="0"/>
        </w:numPr>
        <w:rPr>
          <w:rFonts w:ascii="Raleway" w:hAnsi="Raleway"/>
          <w:b/>
        </w:rPr>
      </w:pPr>
      <w:bookmarkStart w:id="12" w:name="_Toc236061636"/>
      <w:r>
        <w:rPr>
          <w:rFonts w:ascii="Raleway" w:hAnsi="Raleway"/>
          <w:b/>
        </w:rPr>
        <w:lastRenderedPageBreak/>
        <w:t>TERMINOLOGIE en matière d</w:t>
      </w:r>
      <w:r w:rsidR="00715ACD">
        <w:rPr>
          <w:rFonts w:ascii="Raleway" w:hAnsi="Raleway"/>
          <w:b/>
        </w:rPr>
        <w:t>’</w:t>
      </w:r>
      <w:r>
        <w:rPr>
          <w:rFonts w:ascii="Raleway" w:hAnsi="Raleway"/>
          <w:b/>
        </w:rPr>
        <w:t>aspects financiers de l</w:t>
      </w:r>
      <w:r w:rsidR="00715ACD">
        <w:rPr>
          <w:rFonts w:ascii="Raleway" w:hAnsi="Raleway"/>
          <w:b/>
        </w:rPr>
        <w:t>’</w:t>
      </w:r>
      <w:r>
        <w:rPr>
          <w:rFonts w:ascii="Raleway" w:hAnsi="Raleway"/>
          <w:b/>
        </w:rPr>
        <w:t>adoption int</w:t>
      </w:r>
      <w:r w:rsidR="003468CB">
        <w:rPr>
          <w:rFonts w:ascii="Raleway" w:hAnsi="Raleway"/>
          <w:b/>
        </w:rPr>
        <w:t>ernationale adoptée par la HCCH</w:t>
      </w:r>
      <w:r w:rsidR="00D15602" w:rsidRPr="002E65D8">
        <w:rPr>
          <w:rStyle w:val="FootnoteReference"/>
          <w:rFonts w:ascii="Raleway" w:hAnsi="Raleway"/>
          <w:b/>
        </w:rPr>
        <w:footnoteReference w:id="2"/>
      </w:r>
      <w:bookmarkEnd w:id="12"/>
    </w:p>
    <w:p w14:paraId="4C1B9C08" w14:textId="173529CF" w:rsidR="00B9780C" w:rsidRPr="002E65D8" w:rsidRDefault="00B9780C" w:rsidP="006C3396">
      <w:pPr>
        <w:pStyle w:val="PBParagraph"/>
        <w:numPr>
          <w:ilvl w:val="0"/>
          <w:numId w:val="0"/>
        </w:numPr>
      </w:pPr>
      <w:r>
        <w:t>Ces définitions sont de nature descriptive et ne doivent pas être interprétées comme une validation ou une condamnation des pratiques considérées. Elles s</w:t>
      </w:r>
      <w:r w:rsidR="00715ACD">
        <w:t>’</w:t>
      </w:r>
      <w:r>
        <w:t>appliquent tant aux États d</w:t>
      </w:r>
      <w:r w:rsidR="00715ACD">
        <w:t>’</w:t>
      </w:r>
      <w:r>
        <w:t>origine qu</w:t>
      </w:r>
      <w:r w:rsidR="00715ACD">
        <w:t>’</w:t>
      </w:r>
      <w:r>
        <w:t>aux États d</w:t>
      </w:r>
      <w:r w:rsidR="00715ACD">
        <w:t>’</w:t>
      </w:r>
      <w:r>
        <w:t>accueil.</w:t>
      </w:r>
    </w:p>
    <w:p w14:paraId="0AF9BF2D" w14:textId="2B025C67" w:rsidR="00B9780C" w:rsidRPr="002E65D8" w:rsidRDefault="3A09F73E" w:rsidP="006C3396">
      <w:pPr>
        <w:pStyle w:val="PBParagraph"/>
        <w:numPr>
          <w:ilvl w:val="0"/>
          <w:numId w:val="0"/>
        </w:numPr>
      </w:pPr>
      <w:r>
        <w:rPr>
          <w:b/>
          <w:bCs/>
        </w:rPr>
        <w:t>Projets de coopération</w:t>
      </w:r>
      <w:r>
        <w:t> : dans le contexte de l</w:t>
      </w:r>
      <w:r w:rsidR="00715ACD">
        <w:t>’</w:t>
      </w:r>
      <w:r>
        <w:t>adoption internationale, ce terme désigne des programmes ou projets destinés à renforcer le système de protection des enfants dans un État d</w:t>
      </w:r>
      <w:r w:rsidR="00715ACD">
        <w:t>’</w:t>
      </w:r>
      <w:r>
        <w:t>origine. Ces projets sont principalement axés sur le renforcement des capacités et la formation des acteurs et doivent théoriquement répondre à une logique de pérennité. Dans cette Note, ils sont considérés comme une catégorie d</w:t>
      </w:r>
      <w:r w:rsidR="00715ACD">
        <w:t>’</w:t>
      </w:r>
      <w:r>
        <w:t xml:space="preserve">aide au développement, sans préjudice des autres formes de coopération existantes. </w:t>
      </w:r>
    </w:p>
    <w:p w14:paraId="572A7CA8" w14:textId="4B982911" w:rsidR="00B9780C" w:rsidRPr="002E65D8" w:rsidRDefault="3A09F73E" w:rsidP="006C3396">
      <w:pPr>
        <w:pStyle w:val="PBParagraph"/>
        <w:numPr>
          <w:ilvl w:val="0"/>
          <w:numId w:val="0"/>
        </w:numPr>
      </w:pPr>
      <w:r>
        <w:rPr>
          <w:b/>
          <w:bCs/>
        </w:rPr>
        <w:t>Contributions</w:t>
      </w:r>
      <w:r>
        <w:t> : elles s</w:t>
      </w:r>
      <w:r w:rsidR="00715ACD">
        <w:t>’</w:t>
      </w:r>
      <w:r>
        <w:t xml:space="preserve">analysent en deux catégories : </w:t>
      </w:r>
    </w:p>
    <w:p w14:paraId="70AF90D3" w14:textId="18A50CFB" w:rsidR="00B9780C" w:rsidRPr="002E65D8" w:rsidRDefault="3A09F73E" w:rsidP="001513CB">
      <w:pPr>
        <w:pStyle w:val="PBBulletList"/>
      </w:pPr>
      <w:r>
        <w:t xml:space="preserve">Les contributions </w:t>
      </w:r>
      <w:r>
        <w:rPr>
          <w:i/>
          <w:iCs/>
        </w:rPr>
        <w:t>demandées par l</w:t>
      </w:r>
      <w:r w:rsidR="00715ACD">
        <w:rPr>
          <w:i/>
          <w:iCs/>
        </w:rPr>
        <w:t>’</w:t>
      </w:r>
      <w:r>
        <w:rPr>
          <w:i/>
          <w:iCs/>
        </w:rPr>
        <w:t>État d</w:t>
      </w:r>
      <w:r w:rsidR="00715ACD">
        <w:rPr>
          <w:i/>
          <w:iCs/>
        </w:rPr>
        <w:t>’</w:t>
      </w:r>
      <w:r>
        <w:rPr>
          <w:i/>
          <w:iCs/>
        </w:rPr>
        <w:t>origine</w:t>
      </w:r>
      <w:r>
        <w:t>, qui sont obligatoires et visent à améliorer le système d</w:t>
      </w:r>
      <w:r w:rsidR="00715ACD">
        <w:t>’</w:t>
      </w:r>
      <w:r>
        <w:t>adoption ou le système de protection des enfants. Leur montant est fixé par l</w:t>
      </w:r>
      <w:r w:rsidR="00715ACD">
        <w:t>’</w:t>
      </w:r>
      <w:r>
        <w:t>État d</w:t>
      </w:r>
      <w:r w:rsidR="00715ACD">
        <w:t>’</w:t>
      </w:r>
      <w:r>
        <w:t>origine. Elles sont gérées par les autorités ou par des organismes mandatés de l</w:t>
      </w:r>
      <w:r w:rsidR="00715ACD">
        <w:t>’</w:t>
      </w:r>
      <w:r>
        <w:t>État d</w:t>
      </w:r>
      <w:r w:rsidR="00715ACD">
        <w:t>’</w:t>
      </w:r>
      <w:r>
        <w:t xml:space="preserve">origine, qui décident de leur affectation. </w:t>
      </w:r>
    </w:p>
    <w:p w14:paraId="200AC460" w14:textId="3E753732" w:rsidR="00B9780C" w:rsidRPr="002E65D8" w:rsidRDefault="3A09F73E" w:rsidP="001513CB">
      <w:pPr>
        <w:pStyle w:val="PBBulletList"/>
      </w:pPr>
      <w:r>
        <w:t xml:space="preserve">Les contributions </w:t>
      </w:r>
      <w:r>
        <w:rPr>
          <w:i/>
          <w:iCs/>
        </w:rPr>
        <w:t>demandées par l</w:t>
      </w:r>
      <w:r w:rsidR="00715ACD">
        <w:rPr>
          <w:i/>
          <w:iCs/>
        </w:rPr>
        <w:t>’</w:t>
      </w:r>
      <w:r>
        <w:rPr>
          <w:i/>
          <w:iCs/>
        </w:rPr>
        <w:t>organisme agréé en matière d</w:t>
      </w:r>
      <w:r w:rsidR="00715ACD">
        <w:rPr>
          <w:i/>
          <w:iCs/>
        </w:rPr>
        <w:t>’</w:t>
      </w:r>
      <w:r>
        <w:rPr>
          <w:i/>
          <w:iCs/>
        </w:rPr>
        <w:t>adoption (OAA) aux futurs parents adoptifs</w:t>
      </w:r>
      <w:r w:rsidR="00AB6BAB">
        <w:rPr>
          <w:i/>
          <w:iCs/>
        </w:rPr>
        <w:t xml:space="preserve"> (FPA)</w:t>
      </w:r>
      <w:r>
        <w:t>. Elles peuvent être destinées à certaines institutions pour enfants ou affectées à des projets de coopération menés par l</w:t>
      </w:r>
      <w:r w:rsidR="00715ACD">
        <w:t>’</w:t>
      </w:r>
      <w:r>
        <w:t>OAA dans l</w:t>
      </w:r>
      <w:r w:rsidR="00715ACD">
        <w:t>’</w:t>
      </w:r>
      <w:r>
        <w:t>État d</w:t>
      </w:r>
      <w:r w:rsidR="00715ACD">
        <w:t>’</w:t>
      </w:r>
      <w:r>
        <w:t>origine, lesquels peuvent faire partie des conditions qu</w:t>
      </w:r>
      <w:r w:rsidR="00715ACD">
        <w:t>’</w:t>
      </w:r>
      <w:r>
        <w:t>il doit remplir pour être autorisé à travailler dans cet État. Le montant de ces contributions est fixé par l</w:t>
      </w:r>
      <w:r w:rsidR="00715ACD">
        <w:t>’</w:t>
      </w:r>
      <w:r>
        <w:t>OAA ou ses partenaires. Leur paiement ne constitue pas nécessairement une obligation légale, et les OAA peuvent présenter la demande comme une « contribution vivement conseillée », mais elles sont, dans la pratique, « obligatoires » pour les FPA, dans le sens où ils doivent s</w:t>
      </w:r>
      <w:r w:rsidR="00715ACD">
        <w:t>’</w:t>
      </w:r>
      <w:r>
        <w:t xml:space="preserve">en acquitter pour que leur demande puisse être traitée. </w:t>
      </w:r>
    </w:p>
    <w:p w14:paraId="5323306C" w14:textId="0BBA49DA" w:rsidR="00B9780C" w:rsidRPr="002E65D8" w:rsidRDefault="3A09F73E" w:rsidP="006C3396">
      <w:pPr>
        <w:pStyle w:val="PBParagraph"/>
        <w:numPr>
          <w:ilvl w:val="0"/>
          <w:numId w:val="0"/>
        </w:numPr>
      </w:pPr>
      <w:r>
        <w:rPr>
          <w:b/>
          <w:bCs/>
        </w:rPr>
        <w:t>Frais (art. 32(2) de la Convention Adoption de 1993)</w:t>
      </w:r>
      <w:r>
        <w:t> : terme générique désignant le montant demandé ou facturé en échange d</w:t>
      </w:r>
      <w:r w:rsidR="00715ACD">
        <w:t>’</w:t>
      </w:r>
      <w:r>
        <w:t>un service ou d</w:t>
      </w:r>
      <w:r w:rsidR="00715ACD">
        <w:t>’</w:t>
      </w:r>
      <w:r>
        <w:t>un groupe de services (par ex., frais de traduction, frais administratifs) aux fins de l</w:t>
      </w:r>
      <w:r w:rsidR="00715ACD">
        <w:t>’</w:t>
      </w:r>
      <w:r>
        <w:t>adoption. Dans cette Note, les termes « dépenses » et « frais » sont employés ensemble ou indifféremment. Le terme « frais » inclut les honoraires et autres montants versés pour des services particuliers et pour l</w:t>
      </w:r>
      <w:r w:rsidR="00715ACD">
        <w:t>’</w:t>
      </w:r>
      <w:r>
        <w:t xml:space="preserve">obtention de documents. </w:t>
      </w:r>
    </w:p>
    <w:p w14:paraId="57A06171" w14:textId="61A17BAE" w:rsidR="00B9780C" w:rsidRPr="002E65D8" w:rsidRDefault="3A09F73E" w:rsidP="006C3396">
      <w:pPr>
        <w:pStyle w:val="PBParagraph"/>
        <w:numPr>
          <w:ilvl w:val="0"/>
          <w:numId w:val="0"/>
        </w:numPr>
      </w:pPr>
      <w:r>
        <w:rPr>
          <w:b/>
          <w:bCs/>
        </w:rPr>
        <w:t>Aide au développement</w:t>
      </w:r>
      <w:r>
        <w:t> : aide apportée sous forme de sommes d</w:t>
      </w:r>
      <w:r w:rsidR="00715ACD">
        <w:t>’</w:t>
      </w:r>
      <w:r>
        <w:t>argent, d</w:t>
      </w:r>
      <w:r w:rsidR="00715ACD">
        <w:t>’</w:t>
      </w:r>
      <w:r>
        <w:t>assistance technique ou de biens ou services essentiels afin de réduire les inégalités et d</w:t>
      </w:r>
      <w:r w:rsidR="00715ACD">
        <w:t>’</w:t>
      </w:r>
      <w:r>
        <w:t>aider une nation en développement à devenir plus autonome, dans une perspective de moyen et long terme. L</w:t>
      </w:r>
      <w:r w:rsidR="00715ACD">
        <w:t>’</w:t>
      </w:r>
      <w:r>
        <w:t>aide finance en principe des activités pérennes, impliquant les principaux acteurs de l</w:t>
      </w:r>
      <w:r w:rsidR="00715ACD">
        <w:t>’</w:t>
      </w:r>
      <w:r>
        <w:t>État concerné. Elle emprunte généralement des circuits officiels ou fait l</w:t>
      </w:r>
      <w:r w:rsidR="00715ACD">
        <w:t>’</w:t>
      </w:r>
      <w:r>
        <w:t>objet d</w:t>
      </w:r>
      <w:r w:rsidR="00715ACD">
        <w:t>’</w:t>
      </w:r>
      <w:r>
        <w:t>une autorisation officielle et peut être apportée directement par des agences publiques d</w:t>
      </w:r>
      <w:r w:rsidR="00715ACD">
        <w:t>’</w:t>
      </w:r>
      <w:r>
        <w:t>aide au développement ou par des organisations internationales intergouvernementales et non gouvernementales, des fondations ou d</w:t>
      </w:r>
      <w:r w:rsidR="00715ACD">
        <w:t>’</w:t>
      </w:r>
      <w:r>
        <w:t>autres groupes ou professionnels assimilés. Dans le contexte de l</w:t>
      </w:r>
      <w:r w:rsidR="00715ACD">
        <w:t>’</w:t>
      </w:r>
      <w:r>
        <w:t>adoption internationale, cette aide est principalement axée sur la protection des enfants</w:t>
      </w:r>
      <w:bookmarkStart w:id="13" w:name="_Ref142551987"/>
      <w:r w:rsidR="00B9780C" w:rsidRPr="002E65D8">
        <w:rPr>
          <w:rStyle w:val="FootnoteReference"/>
        </w:rPr>
        <w:footnoteReference w:id="3"/>
      </w:r>
      <w:bookmarkEnd w:id="13"/>
      <w:r w:rsidR="006202FF">
        <w:t>.</w:t>
      </w:r>
    </w:p>
    <w:p w14:paraId="5CC6D12F" w14:textId="5A97D999" w:rsidR="00B9780C" w:rsidRPr="002E65D8" w:rsidRDefault="3A09F73E" w:rsidP="006C3396">
      <w:pPr>
        <w:pStyle w:val="PBParagraph"/>
        <w:numPr>
          <w:ilvl w:val="0"/>
          <w:numId w:val="0"/>
        </w:numPr>
      </w:pPr>
      <w:r>
        <w:rPr>
          <w:b/>
          <w:bCs/>
        </w:rPr>
        <w:t>Dons</w:t>
      </w:r>
      <w:r>
        <w:t> : sommes d</w:t>
      </w:r>
      <w:r w:rsidR="00715ACD">
        <w:t>’</w:t>
      </w:r>
      <w:r>
        <w:t xml:space="preserve">argent ou biens matériels donnés ponctuellement et sur base volontaire par les (futurs) parents adoptifs ou les OAA pour le bien-être des enfants placés en institution. En général, les dons sont </w:t>
      </w:r>
      <w:r>
        <w:lastRenderedPageBreak/>
        <w:t>adressés à l</w:t>
      </w:r>
      <w:r w:rsidR="00715ACD">
        <w:t>’</w:t>
      </w:r>
      <w:r>
        <w:t>institution en lien avec l</w:t>
      </w:r>
      <w:r w:rsidR="00715ACD">
        <w:t>’</w:t>
      </w:r>
      <w:r>
        <w:t>enfant adopté. Un OAA peut également utiliser un don pour contribuer à un fonds spécifique dans l</w:t>
      </w:r>
      <w:r w:rsidR="00715ACD">
        <w:t>’</w:t>
      </w:r>
      <w:r>
        <w:t>État d</w:t>
      </w:r>
      <w:r w:rsidR="00715ACD">
        <w:t>’</w:t>
      </w:r>
      <w:r>
        <w:t>origine.</w:t>
      </w:r>
    </w:p>
    <w:p w14:paraId="777D2F16" w14:textId="12B62F53" w:rsidR="00B9780C" w:rsidRPr="002E65D8" w:rsidRDefault="3A09F73E" w:rsidP="006C3396">
      <w:pPr>
        <w:pStyle w:val="PBParagraph"/>
        <w:numPr>
          <w:ilvl w:val="0"/>
          <w:numId w:val="0"/>
        </w:numPr>
      </w:pPr>
      <w:r>
        <w:rPr>
          <w:b/>
          <w:bCs/>
        </w:rPr>
        <w:t>Dépenses (art. 32(2))</w:t>
      </w:r>
      <w:r>
        <w:t> : sommes d</w:t>
      </w:r>
      <w:r w:rsidR="00715ACD">
        <w:t>’</w:t>
      </w:r>
      <w:r>
        <w:t xml:space="preserve">argent </w:t>
      </w:r>
      <w:r>
        <w:rPr>
          <w:i/>
          <w:iCs/>
        </w:rPr>
        <w:t>dépensées</w:t>
      </w:r>
      <w:r>
        <w:t xml:space="preserve"> pour un service particulier en vue de la conclusion de l</w:t>
      </w:r>
      <w:r w:rsidR="00715ACD">
        <w:t>’</w:t>
      </w:r>
      <w:r>
        <w:t>adoption. Les frais sont facturés et les dépenses sont payées. Les frais deviennent des dépenses dès qu</w:t>
      </w:r>
      <w:r w:rsidR="00715ACD">
        <w:t>’</w:t>
      </w:r>
      <w:r>
        <w:t>ils sont acquittés. Alors que toutes les dépenses sont des frais, tous les frais ne sont pas des dépenses</w:t>
      </w:r>
      <w:r w:rsidR="00973248" w:rsidRPr="002E65D8">
        <w:rPr>
          <w:rStyle w:val="FootnoteReference"/>
        </w:rPr>
        <w:footnoteReference w:id="4"/>
      </w:r>
      <w:r>
        <w:t>. Dans la Convention, ce terme est employé avec le terme « frais » et dans cette Note, les deux termes sont employés ensemble ou indifféremment.</w:t>
      </w:r>
    </w:p>
    <w:p w14:paraId="28CC1858" w14:textId="2299A539" w:rsidR="00B9780C" w:rsidRPr="002E65D8" w:rsidRDefault="3A09F73E" w:rsidP="006C3396">
      <w:pPr>
        <w:pStyle w:val="PBParagraph"/>
        <w:numPr>
          <w:ilvl w:val="0"/>
          <w:numId w:val="0"/>
        </w:numPr>
      </w:pPr>
      <w:r>
        <w:rPr>
          <w:b/>
          <w:bCs/>
        </w:rPr>
        <w:t>Honoraires ou droits (art. 32(2))</w:t>
      </w:r>
      <w:r>
        <w:t> : montant qu</w:t>
      </w:r>
      <w:r w:rsidR="00715ACD">
        <w:t>’</w:t>
      </w:r>
      <w:r>
        <w:t>une personne ou une entité demande pour un service particulier (par ex., droits afférents au dépôt de documents devant la Cour). Ils prennent généralement la forme d</w:t>
      </w:r>
      <w:r w:rsidR="00715ACD">
        <w:t>’</w:t>
      </w:r>
      <w:r>
        <w:t>une somme forfaitaire payée en une fois pour un service ou un groupe de services, mais ils peuvent être également fixés à un taux horaire (par ex., honoraires d</w:t>
      </w:r>
      <w:r w:rsidR="00715ACD">
        <w:t>’</w:t>
      </w:r>
      <w:r>
        <w:t>avocat). Ils peuvent être considérés comme une partie des coûts de l</w:t>
      </w:r>
      <w:r w:rsidR="00715ACD">
        <w:t>’</w:t>
      </w:r>
      <w:r>
        <w:t>adoption. Les « honoraires » visés à l</w:t>
      </w:r>
      <w:r w:rsidR="00715ACD">
        <w:t>’</w:t>
      </w:r>
      <w:r>
        <w:t xml:space="preserve">article 32(2) désignent le montant demandé par des professionnels tels que les avocats, psychologues et médecins pour leur travail sur un dossier particulier. </w:t>
      </w:r>
    </w:p>
    <w:p w14:paraId="6D1968F3" w14:textId="71C7E3AB" w:rsidR="00B9780C" w:rsidRPr="002E65D8" w:rsidRDefault="3A09F73E" w:rsidP="006C3396">
      <w:pPr>
        <w:pStyle w:val="PBParagraph"/>
        <w:numPr>
          <w:ilvl w:val="0"/>
          <w:numId w:val="0"/>
        </w:numPr>
      </w:pPr>
      <w:r>
        <w:rPr>
          <w:b/>
          <w:bCs/>
        </w:rPr>
        <w:t>Gains matériels indus (art. 8 et 32(1))</w:t>
      </w:r>
      <w:r>
        <w:t> : sommes d</w:t>
      </w:r>
      <w:r w:rsidR="00715ACD">
        <w:t>’</w:t>
      </w:r>
      <w:r>
        <w:t>argent et autres gains matériels qui ne se justifient pas, car ils ne sont pas conformes à l</w:t>
      </w:r>
      <w:r w:rsidR="00715ACD">
        <w:t>’</w:t>
      </w:r>
      <w:r>
        <w:t>éthique, y compris au regard de la législation nationale et internationale, ne sont pas raisonnables eu égard au montant excessif demandé par rapport au service rendu et / ou ne sont pas transparents. L</w:t>
      </w:r>
      <w:r w:rsidR="00715ACD">
        <w:t>’</w:t>
      </w:r>
      <w:r>
        <w:t>adjectif anglais « improper », rendu en français par l</w:t>
      </w:r>
      <w:r w:rsidR="00715ACD">
        <w:t>’</w:t>
      </w:r>
      <w:r>
        <w:t>adjectif « indu », signifie généralement malhonnête ou moralement répréhensible</w:t>
      </w:r>
      <w:r w:rsidR="00973248" w:rsidRPr="002E65D8">
        <w:rPr>
          <w:rStyle w:val="FootnoteReference"/>
        </w:rPr>
        <w:footnoteReference w:id="5"/>
      </w:r>
      <w:r>
        <w:t>. En matière d</w:t>
      </w:r>
      <w:r w:rsidR="00715ACD">
        <w:t>’</w:t>
      </w:r>
      <w:r>
        <w:t>adoption internationale, un gain matériel indu entraîne un enrichissement illicite ou contraire à l</w:t>
      </w:r>
      <w:r w:rsidR="00715ACD">
        <w:t>’</w:t>
      </w:r>
      <w:r>
        <w:t>éthique et a souvent une influence inappropriée sur les décisions relatives à l</w:t>
      </w:r>
      <w:r w:rsidR="00715ACD">
        <w:t>’</w:t>
      </w:r>
      <w:r>
        <w:t>adoption d</w:t>
      </w:r>
      <w:r w:rsidR="00715ACD">
        <w:t>’</w:t>
      </w:r>
      <w:r>
        <w:t xml:space="preserve">un enfant. </w:t>
      </w:r>
    </w:p>
    <w:p w14:paraId="51A6ABBE" w14:textId="07C95DE0" w:rsidR="00B9780C" w:rsidRPr="002E65D8" w:rsidRDefault="3A09F73E" w:rsidP="006C3396">
      <w:pPr>
        <w:pStyle w:val="PBParagraph"/>
        <w:numPr>
          <w:ilvl w:val="0"/>
          <w:numId w:val="0"/>
        </w:numPr>
      </w:pPr>
      <w:r>
        <w:rPr>
          <w:b/>
          <w:bCs/>
        </w:rPr>
        <w:t>Raisonnable (art. 32(2) et (3))</w:t>
      </w:r>
      <w:r>
        <w:t> : adjectif pouvant qualifier des honoraires ou une rémunération représentant une contrepartie adéquate pour le service rendu (par ex., la rémunération de la direction et des salariés de l</w:t>
      </w:r>
      <w:r w:rsidR="00715ACD">
        <w:t>’</w:t>
      </w:r>
      <w:r>
        <w:t>OAA) compte tenu des circonstances et du niveau de vie d</w:t>
      </w:r>
      <w:r w:rsidR="00715ACD">
        <w:t>’</w:t>
      </w:r>
      <w:r>
        <w:t>un État et des autres services de protection sociale dédiés aux enfants. Le chapitre 8.6 du Guide de bonnes pratiques No 2</w:t>
      </w:r>
      <w:bookmarkStart w:id="14" w:name="_Ref142561201"/>
      <w:r w:rsidR="006054B6" w:rsidRPr="002E65D8">
        <w:rPr>
          <w:rStyle w:val="FootnoteReference"/>
        </w:rPr>
        <w:footnoteReference w:id="6"/>
      </w:r>
      <w:bookmarkEnd w:id="14"/>
      <w:r>
        <w:t xml:space="preserve"> dresse la liste des critères permettant de déterminer si des honoraires ou une rémunération sont raisonnables. Cette question est approfondie au chapitre </w:t>
      </w:r>
      <w:r w:rsidR="007C4CE6" w:rsidRPr="002E65D8">
        <w:fldChar w:fldCharType="begin"/>
      </w:r>
      <w:r w:rsidR="007C4CE6" w:rsidRPr="002E65D8">
        <w:instrText xml:space="preserve"> REF _Ref189476452 \r \h </w:instrText>
      </w:r>
      <w:r w:rsidR="002E65D8">
        <w:instrText xml:space="preserve"> \* MERGEFORMAT </w:instrText>
      </w:r>
      <w:r w:rsidR="007C4CE6" w:rsidRPr="002E65D8">
        <w:fldChar w:fldCharType="separate"/>
      </w:r>
      <w:r w:rsidR="00E6549D">
        <w:t>6.2</w:t>
      </w:r>
      <w:r w:rsidR="007C4CE6" w:rsidRPr="002E65D8">
        <w:fldChar w:fldCharType="end"/>
      </w:r>
      <w:r>
        <w:t xml:space="preserve"> de la présente Note. Ce qualificatif peut être appliqué à d</w:t>
      </w:r>
      <w:r w:rsidR="00715ACD">
        <w:t>’</w:t>
      </w:r>
      <w:r>
        <w:t>autres aspects financiers de l</w:t>
      </w:r>
      <w:r w:rsidR="00715ACD">
        <w:t>’</w:t>
      </w:r>
      <w:r>
        <w:t xml:space="preserve">adoption internationale lorsque les montants en jeu ne sont pas excessifs. </w:t>
      </w:r>
    </w:p>
    <w:p w14:paraId="132D2AED" w14:textId="3A757465" w:rsidR="00B9780C" w:rsidRPr="002E65D8" w:rsidRDefault="00B9780C" w:rsidP="006C3396">
      <w:pPr>
        <w:pStyle w:val="PBParagraph"/>
        <w:numPr>
          <w:ilvl w:val="0"/>
          <w:numId w:val="0"/>
        </w:numPr>
      </w:pPr>
      <w:r>
        <w:rPr>
          <w:b/>
          <w:bCs/>
        </w:rPr>
        <w:t>Rémunération (art. 32(3))</w:t>
      </w:r>
      <w:r>
        <w:t> : montant que les dirigeants, administrateurs et employés des organismes intervenant dans une adoption peuvent recevoir en contrepartie de leur travail. Dans la pratique, la rémunération peut prendre la forme d</w:t>
      </w:r>
      <w:r w:rsidR="00715ACD">
        <w:t>’</w:t>
      </w:r>
      <w:r>
        <w:t>un salaire ou, à titre exceptionnel, être calculée en fonction du nombre de dossiers traités, ou selon un taux horaire.</w:t>
      </w:r>
    </w:p>
    <w:p w14:paraId="58A2DC09" w14:textId="7EFC3124" w:rsidR="00B9780C" w:rsidRPr="002E65D8" w:rsidRDefault="00B9780C">
      <w:pPr>
        <w:spacing w:after="160" w:line="276" w:lineRule="auto"/>
        <w:rPr>
          <w:rFonts w:ascii="Raleway" w:hAnsi="Raleway"/>
          <w:sz w:val="19"/>
          <w:szCs w:val="19"/>
        </w:rPr>
      </w:pPr>
      <w:r>
        <w:br w:type="page"/>
      </w:r>
    </w:p>
    <w:p w14:paraId="42949687" w14:textId="1B38D9B7" w:rsidR="005F714E" w:rsidRPr="002E65D8" w:rsidRDefault="005F714E" w:rsidP="00B36155">
      <w:pPr>
        <w:pStyle w:val="Heading1"/>
        <w:numPr>
          <w:ilvl w:val="0"/>
          <w:numId w:val="0"/>
        </w:numPr>
        <w:ind w:left="567"/>
        <w:rPr>
          <w:rFonts w:ascii="Raleway" w:hAnsi="Raleway"/>
          <w:b/>
        </w:rPr>
      </w:pPr>
      <w:bookmarkStart w:id="15" w:name="_Toc236061637"/>
      <w:r>
        <w:rPr>
          <w:rFonts w:ascii="Raleway" w:hAnsi="Raleway"/>
          <w:b/>
        </w:rPr>
        <w:lastRenderedPageBreak/>
        <w:t>INTRODUCTION</w:t>
      </w:r>
      <w:bookmarkEnd w:id="15"/>
    </w:p>
    <w:p w14:paraId="0BFDE712" w14:textId="0756C437" w:rsidR="006C609B" w:rsidRPr="002E65D8" w:rsidRDefault="006C609B" w:rsidP="004047D5">
      <w:pPr>
        <w:pStyle w:val="Heading2"/>
        <w:numPr>
          <w:ilvl w:val="0"/>
          <w:numId w:val="0"/>
        </w:numPr>
        <w:ind w:left="567"/>
      </w:pPr>
      <w:bookmarkStart w:id="16" w:name="_Toc236061638"/>
      <w:r>
        <w:t>Contexte</w:t>
      </w:r>
      <w:bookmarkEnd w:id="16"/>
    </w:p>
    <w:p w14:paraId="5EE45E1C" w14:textId="5061D164" w:rsidR="00B9780C" w:rsidRPr="002E65D8" w:rsidRDefault="07C3C269" w:rsidP="00EA620E">
      <w:pPr>
        <w:pStyle w:val="PBParagraph"/>
      </w:pPr>
      <w:r>
        <w:t xml:space="preserve">La </w:t>
      </w:r>
      <w:r>
        <w:rPr>
          <w:i/>
          <w:iCs/>
        </w:rPr>
        <w:t>Convention de La Haye du 29 mai 1993 sur la protection des enfants et la coopération en matière d</w:t>
      </w:r>
      <w:r w:rsidR="00715ACD">
        <w:rPr>
          <w:i/>
          <w:iCs/>
        </w:rPr>
        <w:t>’</w:t>
      </w:r>
      <w:r>
        <w:rPr>
          <w:i/>
          <w:iCs/>
        </w:rPr>
        <w:t>adoption internationale</w:t>
      </w:r>
      <w:r>
        <w:t xml:space="preserve"> (ci-après la « Convention Adoption de 1993 » ou la « Convention ») instaure des normes et des garanties afin de protéger les enfants adoptés à l</w:t>
      </w:r>
      <w:r w:rsidR="00715ACD">
        <w:t>’</w:t>
      </w:r>
      <w:r>
        <w:t>étranger. Pour que ces normes soient respectées et ces garanties honorées, plusieurs professionnels doivent intervenir dans la procédure d</w:t>
      </w:r>
      <w:r w:rsidR="00715ACD">
        <w:t>’</w:t>
      </w:r>
      <w:r>
        <w:t>adoption. Il est raisonnable de penser qu</w:t>
      </w:r>
      <w:r w:rsidR="00715ACD">
        <w:t>’</w:t>
      </w:r>
      <w:r>
        <w:t>il faudra payer ces professionnels, qu</w:t>
      </w:r>
      <w:r w:rsidR="00715ACD">
        <w:t>’</w:t>
      </w:r>
      <w:r>
        <w:t>ils travaillent dans le secteur public ou privé. La Convention autorise donc les autorités, les organismes agréés en matière d</w:t>
      </w:r>
      <w:r w:rsidR="00715ACD">
        <w:t>’</w:t>
      </w:r>
      <w:r>
        <w:t>adoption (OAA) et les personnes et organismes autorisés (non agréés)</w:t>
      </w:r>
      <w:bookmarkStart w:id="17" w:name="_Ref142552233"/>
      <w:r w:rsidR="00EA620E" w:rsidRPr="002E65D8">
        <w:rPr>
          <w:rStyle w:val="FootnoteReference"/>
        </w:rPr>
        <w:footnoteReference w:id="7"/>
      </w:r>
      <w:bookmarkEnd w:id="17"/>
      <w:r>
        <w:t xml:space="preserve"> des États d</w:t>
      </w:r>
      <w:r w:rsidR="00715ACD">
        <w:t>’</w:t>
      </w:r>
      <w:r>
        <w:t>accueil et des États d</w:t>
      </w:r>
      <w:r w:rsidR="00715ACD">
        <w:t>’</w:t>
      </w:r>
      <w:r>
        <w:t>origine à demander des droits et honoraires légaux et raisonnables pour les services rendus (art. 32(2))</w:t>
      </w:r>
      <w:r w:rsidR="00EA620E" w:rsidRPr="002E65D8">
        <w:rPr>
          <w:rStyle w:val="FootnoteReference"/>
        </w:rPr>
        <w:footnoteReference w:id="8"/>
      </w:r>
      <w:r>
        <w:t>.</w:t>
      </w:r>
    </w:p>
    <w:p w14:paraId="79FB3DD9" w14:textId="1D9B3075" w:rsidR="00B9780C" w:rsidRPr="002E65D8" w:rsidRDefault="07C3C269" w:rsidP="00EA620E">
      <w:pPr>
        <w:pStyle w:val="PBParagraph"/>
      </w:pPr>
      <w:r>
        <w:t>Cependant, le manque de transparence associé à des critères vagues et incohérents s</w:t>
      </w:r>
      <w:r w:rsidR="00715ACD">
        <w:t>’</w:t>
      </w:r>
      <w:r>
        <w:t>agissant de déterminer ce qui peut être qualifié de « raisonnable » dans ce contexte, engendre des situations dans lesquelles les futurs parents adoptifs (FPA) doivent payer des montants excessifs pour adopter. Bien que la Convention interdise clairement les « gain[s] matériel[s] indu[s] en raison d</w:t>
      </w:r>
      <w:r w:rsidR="00715ACD">
        <w:t>’</w:t>
      </w:r>
      <w:r>
        <w:t>une intervention à l</w:t>
      </w:r>
      <w:r w:rsidR="00715ACD">
        <w:t>’</w:t>
      </w:r>
      <w:r>
        <w:t>occasion d</w:t>
      </w:r>
      <w:r w:rsidR="00715ACD">
        <w:t>’</w:t>
      </w:r>
      <w:r>
        <w:t xml:space="preserve">une adoption internationale » (art. 32(1), voir aussi </w:t>
      </w:r>
      <w:r>
        <w:rPr>
          <w:color w:val="EE0000"/>
          <w:shd w:val="clear" w:color="auto" w:fill="FFFFFF" w:themeFill="background1"/>
        </w:rPr>
        <w:t xml:space="preserve">FS3, </w:t>
      </w:r>
      <w:r w:rsidR="00250381">
        <w:rPr>
          <w:color w:val="EE0000"/>
          <w:shd w:val="clear" w:color="auto" w:fill="FFFFFF" w:themeFill="background1"/>
        </w:rPr>
        <w:t>boîte </w:t>
      </w:r>
      <w:r w:rsidR="0018056B">
        <w:rPr>
          <w:color w:val="EE0000"/>
          <w:shd w:val="clear" w:color="auto" w:fill="FFFFFF" w:themeFill="background1"/>
        </w:rPr>
        <w:t>0</w:t>
      </w:r>
      <w:r>
        <w:rPr>
          <w:color w:val="EE0000"/>
          <w:shd w:val="clear" w:color="auto" w:fill="FFFFFF" w:themeFill="background1"/>
        </w:rPr>
        <w:t>1</w:t>
      </w:r>
      <w:r>
        <w:t>)</w:t>
      </w:r>
      <w:bookmarkStart w:id="18" w:name="_Ref142552392"/>
      <w:r w:rsidR="0054697B" w:rsidRPr="002E65D8">
        <w:rPr>
          <w:rStyle w:val="FootnoteReference"/>
        </w:rPr>
        <w:footnoteReference w:id="9"/>
      </w:r>
      <w:bookmarkEnd w:id="18"/>
      <w:r>
        <w:t>, cette pratique n</w:t>
      </w:r>
      <w:r w:rsidR="00715ACD">
        <w:t>’</w:t>
      </w:r>
      <w:r>
        <w:t>est malheureusement pas encore éradiquée et l</w:t>
      </w:r>
      <w:r w:rsidR="00715ACD">
        <w:t>’</w:t>
      </w:r>
      <w:r>
        <w:t>expérience a montré qu</w:t>
      </w:r>
      <w:r w:rsidR="00715ACD">
        <w:t>’</w:t>
      </w:r>
      <w:r>
        <w:t>elle était souvent liée à l</w:t>
      </w:r>
      <w:r w:rsidR="00715ACD">
        <w:t>’</w:t>
      </w:r>
      <w:r>
        <w:t>obtention d</w:t>
      </w:r>
      <w:r w:rsidR="00715ACD">
        <w:t>’</w:t>
      </w:r>
      <w:r>
        <w:t>enfants aux fins de l</w:t>
      </w:r>
      <w:r w:rsidR="00715ACD">
        <w:t>’</w:t>
      </w:r>
      <w:r>
        <w:t>adoption</w:t>
      </w:r>
      <w:bookmarkStart w:id="19" w:name="_Ref165636177"/>
      <w:r w:rsidR="000A42B4" w:rsidRPr="002E65D8">
        <w:rPr>
          <w:rStyle w:val="FootnoteReference"/>
        </w:rPr>
        <w:footnoteReference w:id="10"/>
      </w:r>
      <w:bookmarkEnd w:id="19"/>
      <w:r w:rsidR="003468CB">
        <w:t>.</w:t>
      </w:r>
      <w:r>
        <w:t xml:space="preserve"> Dans des cas extrêmes, et en général lorsque l</w:t>
      </w:r>
      <w:r w:rsidR="00715ACD">
        <w:t>’</w:t>
      </w:r>
      <w:r>
        <w:t>État d</w:t>
      </w:r>
      <w:r w:rsidR="00715ACD">
        <w:t>’</w:t>
      </w:r>
      <w:r>
        <w:t>origine des enfants adoptés n</w:t>
      </w:r>
      <w:r w:rsidR="00715ACD">
        <w:t>’</w:t>
      </w:r>
      <w:r>
        <w:t>est pas Partie à la Convention, cela peut impliquer l</w:t>
      </w:r>
      <w:r w:rsidR="00715ACD">
        <w:t>’</w:t>
      </w:r>
      <w:r>
        <w:t>enlèvement, la vente et la traite d</w:t>
      </w:r>
      <w:r w:rsidR="00715ACD">
        <w:t>’</w:t>
      </w:r>
      <w:r>
        <w:t>enfants aux fins de l</w:t>
      </w:r>
      <w:r w:rsidR="00715ACD">
        <w:t>’</w:t>
      </w:r>
      <w:r>
        <w:t>adoption internationale.</w:t>
      </w:r>
    </w:p>
    <w:p w14:paraId="6D648177" w14:textId="15C61DAC" w:rsidR="00E71C6B" w:rsidRPr="002E65D8" w:rsidRDefault="5E94B240">
      <w:pPr>
        <w:pStyle w:val="PBParagraph"/>
      </w:pPr>
      <w:r>
        <w:t>Un nombre croissant d</w:t>
      </w:r>
      <w:r w:rsidR="00715ACD">
        <w:t>’</w:t>
      </w:r>
      <w:r>
        <w:t xml:space="preserve">États </w:t>
      </w:r>
      <w:r w:rsidR="0047270D">
        <w:t>est parvenu</w:t>
      </w:r>
      <w:r>
        <w:t xml:space="preserve"> à la conclusion que les pratiques illicites n</w:t>
      </w:r>
      <w:r w:rsidR="00715ACD">
        <w:t>’</w:t>
      </w:r>
      <w:r>
        <w:t>ont pas été éradiquées</w:t>
      </w:r>
      <w:bookmarkStart w:id="20" w:name="_Ref203724733"/>
      <w:r w:rsidR="00DD0053" w:rsidRPr="002E65D8">
        <w:rPr>
          <w:rStyle w:val="FootnoteReference"/>
        </w:rPr>
        <w:footnoteReference w:id="11"/>
      </w:r>
      <w:bookmarkEnd w:id="20"/>
      <w:r>
        <w:t xml:space="preserve">, et ce malgré des efforts </w:t>
      </w:r>
      <w:r w:rsidR="00D25B9C">
        <w:t>considérables</w:t>
      </w:r>
      <w:r>
        <w:t xml:space="preserve"> déployés jusqu</w:t>
      </w:r>
      <w:r w:rsidR="00715ACD">
        <w:t>’</w:t>
      </w:r>
      <w:r>
        <w:t>à présent, en particulier depuis l</w:t>
      </w:r>
      <w:r w:rsidR="00715ACD">
        <w:t>’</w:t>
      </w:r>
      <w:r>
        <w:t>entrée en vigueur de la Convention Adoption de 1993, visant à renforcer de manière constante la réglementation et les contrôles sur les questions financières. Telle qu</w:t>
      </w:r>
      <w:r w:rsidR="00715ACD">
        <w:t>’</w:t>
      </w:r>
      <w:r>
        <w:t>elle fonctionne actuellement, l</w:t>
      </w:r>
      <w:r w:rsidR="00715ACD">
        <w:t>’</w:t>
      </w:r>
      <w:r>
        <w:t>adoption constitue la seule mesure de protection des enfants dans le cadre de laquelle il est demandé aux personnes qui auront potentiellement la charge de l</w:t>
      </w:r>
      <w:r w:rsidR="00715ACD">
        <w:t>’</w:t>
      </w:r>
      <w:r>
        <w:t>enfant de financer, au moins en partie, le dispositif de protection en question</w:t>
      </w:r>
      <w:r w:rsidR="008F0AA6" w:rsidRPr="002E65D8">
        <w:rPr>
          <w:rStyle w:val="FootnoteReference"/>
        </w:rPr>
        <w:footnoteReference w:id="12"/>
      </w:r>
      <w:r>
        <w:t>. Concrètement, cela implique que des sommes considérables continuent à être injectées dans la procédure d</w:t>
      </w:r>
      <w:r w:rsidR="00715ACD">
        <w:t>’</w:t>
      </w:r>
      <w:r>
        <w:t>adoption, quoiqu</w:t>
      </w:r>
      <w:r w:rsidR="00715ACD">
        <w:t>’</w:t>
      </w:r>
      <w:r>
        <w:t>il soit reconnu que les questions financières sont au cœur des principales problématiques</w:t>
      </w:r>
      <w:r w:rsidR="008F0AA6" w:rsidRPr="002E65D8">
        <w:rPr>
          <w:rStyle w:val="FootnoteReference"/>
        </w:rPr>
        <w:footnoteReference w:id="13"/>
      </w:r>
      <w:r>
        <w:t>. Cette Note présente des observations et met en avant des réponses, tout en gardant ce qui précède à l</w:t>
      </w:r>
      <w:r w:rsidR="00715ACD">
        <w:t>’</w:t>
      </w:r>
      <w:r>
        <w:t xml:space="preserve">esprit. </w:t>
      </w:r>
    </w:p>
    <w:p w14:paraId="5BE03BDE" w14:textId="0A2312EA" w:rsidR="00453A3A" w:rsidRPr="002E65D8" w:rsidRDefault="00453A3A" w:rsidP="004047D5">
      <w:pPr>
        <w:pStyle w:val="Heading2"/>
        <w:numPr>
          <w:ilvl w:val="0"/>
          <w:numId w:val="0"/>
        </w:numPr>
        <w:ind w:left="567"/>
      </w:pPr>
      <w:bookmarkStart w:id="21" w:name="_Toc236061639"/>
      <w:r>
        <w:lastRenderedPageBreak/>
        <w:t>Travaux de la HCCH dans ce domaine</w:t>
      </w:r>
      <w:bookmarkEnd w:id="21"/>
    </w:p>
    <w:p w14:paraId="36809A54" w14:textId="7F2915C5" w:rsidR="00B9780C" w:rsidRPr="002E65D8" w:rsidRDefault="07C3C269" w:rsidP="00EA620E">
      <w:pPr>
        <w:pStyle w:val="PBParagraph"/>
      </w:pPr>
      <w:r>
        <w:t>Dans ce contexte, le Conseil sur les affaires générales et la politiqu</w:t>
      </w:r>
      <w:r w:rsidR="00B95F03">
        <w:t>e (CAGP) de la Conférence de La </w:t>
      </w:r>
      <w:r>
        <w:t>Haye de droit international pri</w:t>
      </w:r>
      <w:r w:rsidR="00B95F03">
        <w:t>vé (HCCH) a recommandé en avril </w:t>
      </w:r>
      <w:r>
        <w:t>2011 la mise en place d</w:t>
      </w:r>
      <w:r w:rsidR="00715ACD">
        <w:t>’</w:t>
      </w:r>
      <w:r>
        <w:t>un groupe informel chargé d</w:t>
      </w:r>
      <w:r w:rsidR="00715ACD">
        <w:t>’</w:t>
      </w:r>
      <w:r>
        <w:t>examiner la question des coûts de l</w:t>
      </w:r>
      <w:r w:rsidR="00715ACD">
        <w:t>’</w:t>
      </w:r>
      <w:r>
        <w:t>adoption internationale</w:t>
      </w:r>
      <w:r w:rsidR="0054697B" w:rsidRPr="002E65D8">
        <w:rPr>
          <w:rStyle w:val="FootnoteReference"/>
        </w:rPr>
        <w:footnoteReference w:id="14"/>
      </w:r>
      <w:r>
        <w:t>. Cette recommandation faisait suite aux préoccupations exprimées depuis de nombreuses années</w:t>
      </w:r>
      <w:bookmarkStart w:id="22" w:name="_Ref142552428"/>
      <w:r w:rsidR="0054697B" w:rsidRPr="002E65D8">
        <w:rPr>
          <w:rStyle w:val="FootnoteReference"/>
        </w:rPr>
        <w:footnoteReference w:id="15"/>
      </w:r>
      <w:bookmarkEnd w:id="22"/>
      <w:r>
        <w:t xml:space="preserve"> et plus particulièrement lors de la Commission spéciale sur le fonctionnement </w:t>
      </w:r>
      <w:r w:rsidR="005F369E">
        <w:t xml:space="preserve">pratique </w:t>
      </w:r>
      <w:r>
        <w:t>de la Convention Adoption de 1993 (</w:t>
      </w:r>
      <w:r w:rsidR="00283B34">
        <w:t>CS</w:t>
      </w:r>
      <w:r>
        <w:t xml:space="preserve">) de juin 2010. À cette occasion, la </w:t>
      </w:r>
      <w:r w:rsidR="00283B34">
        <w:t xml:space="preserve">CS </w:t>
      </w:r>
      <w:r>
        <w:t>a pris acte du fait que les normes et pratiques en ce qui concerne les aspects financiers de l</w:t>
      </w:r>
      <w:r w:rsidR="00715ACD">
        <w:t>’</w:t>
      </w:r>
      <w:r>
        <w:t>adoption internationale étaient tellement hétérogènes que cela justifiait de s</w:t>
      </w:r>
      <w:r w:rsidR="00715ACD">
        <w:t>’</w:t>
      </w:r>
      <w:r>
        <w:t>y intéresser tout particulièrement.</w:t>
      </w:r>
    </w:p>
    <w:p w14:paraId="5CBA0DB2" w14:textId="6908866A" w:rsidR="00B9780C" w:rsidRPr="002E65D8" w:rsidRDefault="07C3C269" w:rsidP="00EA620E">
      <w:pPr>
        <w:pStyle w:val="PBParagraph"/>
      </w:pPr>
      <w:r>
        <w:t>Le Groupe d</w:t>
      </w:r>
      <w:r w:rsidR="00715ACD">
        <w:t>’</w:t>
      </w:r>
      <w:r>
        <w:t>experts a été constitué et s</w:t>
      </w:r>
      <w:r w:rsidR="00715ACD">
        <w:t>’</w:t>
      </w:r>
      <w:r>
        <w:t xml:space="preserve">est réuni pour la </w:t>
      </w:r>
      <w:r w:rsidR="00B0021E">
        <w:t>première </w:t>
      </w:r>
      <w:r>
        <w:t>fois en 2012</w:t>
      </w:r>
      <w:bookmarkStart w:id="23" w:name="_Ref142552540"/>
      <w:r w:rsidR="0054697B" w:rsidRPr="002E65D8">
        <w:rPr>
          <w:rStyle w:val="FootnoteReference"/>
        </w:rPr>
        <w:footnoteReference w:id="16"/>
      </w:r>
      <w:bookmarkEnd w:id="23"/>
      <w:r w:rsidR="003468CB">
        <w:t>.</w:t>
      </w:r>
      <w:r>
        <w:t xml:space="preserve"> Afin de préparer cette réunion, l</w:t>
      </w:r>
      <w:r w:rsidR="00715ACD">
        <w:t>’</w:t>
      </w:r>
      <w:r>
        <w:t>Autorité centrale australienne et le Bureau Permanent (BP) de la HCCH ont rédigé un Document de réflexion sur le sujet</w:t>
      </w:r>
      <w:r w:rsidR="002C4DB4" w:rsidRPr="002E65D8">
        <w:rPr>
          <w:rStyle w:val="FootnoteReference"/>
        </w:rPr>
        <w:footnoteReference w:id="17"/>
      </w:r>
      <w:r>
        <w:t xml:space="preserve">, </w:t>
      </w:r>
      <w:r w:rsidR="00BF7EDA">
        <w:t>dont</w:t>
      </w:r>
      <w:r>
        <w:t xml:space="preserve"> la présente </w:t>
      </w:r>
      <w:r>
        <w:rPr>
          <w:i/>
          <w:iCs/>
        </w:rPr>
        <w:t>Note sur les aspects financiers de l</w:t>
      </w:r>
      <w:r w:rsidR="00715ACD">
        <w:rPr>
          <w:i/>
          <w:iCs/>
        </w:rPr>
        <w:t>’</w:t>
      </w:r>
      <w:r>
        <w:rPr>
          <w:i/>
          <w:iCs/>
        </w:rPr>
        <w:t>adoption internationale</w:t>
      </w:r>
      <w:r>
        <w:t xml:space="preserve"> (ci-après la « Note »)</w:t>
      </w:r>
      <w:r w:rsidR="00BF7EDA">
        <w:t xml:space="preserve"> s</w:t>
      </w:r>
      <w:r w:rsidR="00715ACD">
        <w:t>’</w:t>
      </w:r>
      <w:r w:rsidR="00BF7EDA">
        <w:t>inspire</w:t>
      </w:r>
      <w:r>
        <w:t>. Le Groupe a alors travaillé sur cette Note, qui a été approuvée par le CAGP de 2014</w:t>
      </w:r>
      <w:r w:rsidR="00F11E43" w:rsidRPr="002E65D8">
        <w:rPr>
          <w:rStyle w:val="FootnoteReference"/>
        </w:rPr>
        <w:footnoteReference w:id="18"/>
      </w:r>
      <w:r>
        <w:t xml:space="preserve"> et publiée cette même année. </w:t>
      </w:r>
    </w:p>
    <w:p w14:paraId="30F727AB" w14:textId="6C6D1B29" w:rsidR="00EC421E" w:rsidRPr="002E65D8" w:rsidRDefault="07C3C269">
      <w:pPr>
        <w:pStyle w:val="PBParagraph"/>
      </w:pPr>
      <w:r>
        <w:t>Le Groupe d</w:t>
      </w:r>
      <w:r w:rsidR="00715ACD">
        <w:t>’</w:t>
      </w:r>
      <w:r>
        <w:t>experts</w:t>
      </w:r>
      <w:bookmarkStart w:id="24" w:name="_Ref165041454"/>
      <w:r>
        <w:t xml:space="preserve"> a, en outre, rédigé les documents suivants :</w:t>
      </w:r>
    </w:p>
    <w:p w14:paraId="292CAEFC" w14:textId="16B1429C" w:rsidR="008C0382" w:rsidRPr="002E65D8" w:rsidRDefault="00021085" w:rsidP="008C0382">
      <w:pPr>
        <w:pStyle w:val="PBBulletList"/>
      </w:pPr>
      <w:r>
        <w:t>l</w:t>
      </w:r>
      <w:r w:rsidR="48167C2F">
        <w:t>a Terminologie adoptée par le Groupe d</w:t>
      </w:r>
      <w:r w:rsidR="00715ACD">
        <w:t>’</w:t>
      </w:r>
      <w:r w:rsidR="48167C2F">
        <w:t>experts sur les aspects financiers de l</w:t>
      </w:r>
      <w:r w:rsidR="00715ACD">
        <w:t>’</w:t>
      </w:r>
      <w:r w:rsidR="48167C2F">
        <w:t>adoption internationale</w:t>
      </w:r>
      <w:r w:rsidR="001700BF">
        <w:t xml:space="preserve"> </w:t>
      </w:r>
      <w:r w:rsidR="48167C2F">
        <w:t xml:space="preserve">(ci-après la « Terminologie ») ; </w:t>
      </w:r>
    </w:p>
    <w:p w14:paraId="20B3A185" w14:textId="43DA4B1D" w:rsidR="008C0382" w:rsidRPr="002E65D8" w:rsidRDefault="3E2A918C" w:rsidP="008C0382">
      <w:pPr>
        <w:pStyle w:val="PBBulletList"/>
      </w:pPr>
      <w:r>
        <w:t>les Tableaux sur les coûts associés à l</w:t>
      </w:r>
      <w:r w:rsidR="00715ACD">
        <w:t>’</w:t>
      </w:r>
      <w:r>
        <w:t>adoption internationale (ci-après les « Tableaux sur les coûts</w:t>
      </w:r>
      <w:r w:rsidR="0047369A">
        <w:t> »</w:t>
      </w:r>
      <w:r>
        <w:t xml:space="preserve">) ; </w:t>
      </w:r>
    </w:p>
    <w:p w14:paraId="3BAEF6EE" w14:textId="316A2CAF" w:rsidR="008C0382" w:rsidRPr="002E65D8" w:rsidRDefault="4D604C66" w:rsidP="008C0382">
      <w:pPr>
        <w:pStyle w:val="PBBulletList"/>
      </w:pPr>
      <w:r>
        <w:t>la Liste récapitulative de bonnes pratiques concernant les aspects financiers de l</w:t>
      </w:r>
      <w:r w:rsidR="00715ACD">
        <w:t>’</w:t>
      </w:r>
      <w:r>
        <w:t xml:space="preserve">adoption internationale (ci-après la « Liste récapitulative ») ; </w:t>
      </w:r>
    </w:p>
    <w:p w14:paraId="391612EE" w14:textId="75CC9439" w:rsidR="00BE2C5C" w:rsidRPr="002E65D8" w:rsidRDefault="1F60F0C9" w:rsidP="008C0382">
      <w:pPr>
        <w:pStyle w:val="PBBulletList"/>
      </w:pPr>
      <w:r>
        <w:t>le Modèle d</w:t>
      </w:r>
      <w:r w:rsidR="00715ACD">
        <w:t>’</w:t>
      </w:r>
      <w:r>
        <w:t>enquête sur les aspects financiers de l</w:t>
      </w:r>
      <w:r w:rsidR="00715ACD">
        <w:t>’</w:t>
      </w:r>
      <w:r>
        <w:t>adoption internationale à l</w:t>
      </w:r>
      <w:r w:rsidR="00715ACD">
        <w:t>’</w:t>
      </w:r>
      <w:r>
        <w:t>intention des parents adoptifs (ci-après le « Modèle d</w:t>
      </w:r>
      <w:r w:rsidR="00715ACD">
        <w:t>’</w:t>
      </w:r>
      <w:r>
        <w:t xml:space="preserve">enquête »). </w:t>
      </w:r>
    </w:p>
    <w:p w14:paraId="519C7AAB" w14:textId="30B7DF45" w:rsidR="00C65751" w:rsidRPr="002E65D8" w:rsidRDefault="70520ECB">
      <w:pPr>
        <w:pStyle w:val="PBParagraph"/>
      </w:pPr>
      <w:r>
        <w:t xml:space="preserve">La réunion de la </w:t>
      </w:r>
      <w:r w:rsidR="00283B34">
        <w:t>CS</w:t>
      </w:r>
      <w:r>
        <w:t xml:space="preserve"> de 2015 s</w:t>
      </w:r>
      <w:r w:rsidR="00715ACD">
        <w:t>’</w:t>
      </w:r>
      <w:r>
        <w:t>est réjouie de la Note, de la Terminologie, des Tableaux sur les coûts et de la Liste récapitulative et en a reconnu la valeur ajoutée. Elle a également encouragé la poursuite des travaux sur le Modèle d</w:t>
      </w:r>
      <w:r w:rsidR="00715ACD">
        <w:t>’</w:t>
      </w:r>
      <w:r>
        <w:t>enquête</w:t>
      </w:r>
      <w:bookmarkEnd w:id="24"/>
      <w:r w:rsidR="00BE2C5C" w:rsidRPr="002E65D8">
        <w:rPr>
          <w:rStyle w:val="FootnoteReference"/>
        </w:rPr>
        <w:footnoteReference w:id="19"/>
      </w:r>
      <w:r w:rsidR="00B47C25">
        <w:t>, lequel</w:t>
      </w:r>
      <w:r>
        <w:t xml:space="preserve"> a été achevé en 2016</w:t>
      </w:r>
      <w:r w:rsidR="00233E30" w:rsidRPr="002E65D8">
        <w:rPr>
          <w:rStyle w:val="FootnoteReference"/>
        </w:rPr>
        <w:footnoteReference w:id="20"/>
      </w:r>
      <w:r>
        <w:t>.</w:t>
      </w:r>
    </w:p>
    <w:p w14:paraId="42AA5323" w14:textId="18FD18C9" w:rsidR="00D8505F" w:rsidRPr="002E65D8" w:rsidRDefault="204D59E0" w:rsidP="00D8505F">
      <w:pPr>
        <w:pStyle w:val="PBParagraph"/>
      </w:pPr>
      <w:r>
        <w:t xml:space="preserve">En 2016, un Groupe de travail a été créé pour prévenir les pratiques illicites et y remédier. La </w:t>
      </w:r>
      <w:r w:rsidR="00250381">
        <w:rPr>
          <w:i/>
          <w:iCs/>
        </w:rPr>
        <w:t xml:space="preserve">Boîte </w:t>
      </w:r>
      <w:r>
        <w:rPr>
          <w:i/>
          <w:iCs/>
        </w:rPr>
        <w:t>à outils visant à prévenir les pratiques illicites en matière d</w:t>
      </w:r>
      <w:r w:rsidR="00715ACD">
        <w:rPr>
          <w:i/>
          <w:iCs/>
        </w:rPr>
        <w:t>’</w:t>
      </w:r>
      <w:r>
        <w:rPr>
          <w:i/>
          <w:iCs/>
        </w:rPr>
        <w:t>adoption internationale et à y remédier</w:t>
      </w:r>
      <w:r>
        <w:t xml:space="preserve"> (ci-après la « </w:t>
      </w:r>
      <w:r w:rsidR="00250381">
        <w:t xml:space="preserve">Boîte </w:t>
      </w:r>
      <w:r>
        <w:t>à outils sur les pratiques illicites »</w:t>
      </w:r>
      <w:r w:rsidR="001700BF">
        <w:t xml:space="preserve"> ou « </w:t>
      </w:r>
      <w:r w:rsidR="00250381">
        <w:t xml:space="preserve">Boîte </w:t>
      </w:r>
      <w:r w:rsidR="001700BF">
        <w:t>à outils »</w:t>
      </w:r>
      <w:r>
        <w:t>)</w:t>
      </w:r>
      <w:bookmarkStart w:id="25" w:name="_Ref202868531"/>
      <w:r w:rsidR="00641C26" w:rsidRPr="002E65D8">
        <w:rPr>
          <w:rStyle w:val="FootnoteReference"/>
        </w:rPr>
        <w:footnoteReference w:id="21"/>
      </w:r>
      <w:bookmarkEnd w:id="25"/>
      <w:r>
        <w:t xml:space="preserve">, approuvée par la réunion de la </w:t>
      </w:r>
      <w:r w:rsidR="00283B34">
        <w:t>CS</w:t>
      </w:r>
      <w:r>
        <w:t xml:space="preserve"> de 2022 puis par le CAGP de 2023</w:t>
      </w:r>
      <w:r w:rsidR="00D8505F" w:rsidRPr="002E65D8">
        <w:rPr>
          <w:rStyle w:val="FootnoteReference"/>
        </w:rPr>
        <w:footnoteReference w:id="22"/>
      </w:r>
      <w:r>
        <w:t xml:space="preserve">, constitue le dernier produit des travaux du Groupe. La </w:t>
      </w:r>
      <w:r w:rsidR="00250381">
        <w:t xml:space="preserve">Boîte </w:t>
      </w:r>
      <w:r>
        <w:t xml:space="preserve">à outils a été publiée en 2023 et contient des informations sur les gains matériels indus. </w:t>
      </w:r>
    </w:p>
    <w:p w14:paraId="4AFCF71A" w14:textId="40AC8BC5" w:rsidR="006069C8" w:rsidRPr="002E65D8" w:rsidRDefault="204D59E0" w:rsidP="00402617">
      <w:pPr>
        <w:pStyle w:val="PBParagraph"/>
      </w:pPr>
      <w:r>
        <w:t xml:space="preserve">En 2022, la </w:t>
      </w:r>
      <w:r w:rsidR="00283B34">
        <w:t>CS</w:t>
      </w:r>
      <w:r>
        <w:t xml:space="preserve"> a recommandé au CAGP d</w:t>
      </w:r>
      <w:r w:rsidR="00715ACD">
        <w:t>’</w:t>
      </w:r>
      <w:r>
        <w:t>établir un nouveau Groupe chargé de poursuivre les travaux dans le domaine des aspects financiers de l</w:t>
      </w:r>
      <w:r w:rsidR="00715ACD">
        <w:t>’</w:t>
      </w:r>
      <w:r>
        <w:t>adoption internationale et d</w:t>
      </w:r>
      <w:r w:rsidR="00715ACD">
        <w:t>’</w:t>
      </w:r>
      <w:r>
        <w:t>actualiser la Note. Le CAGP a mandaté la création d</w:t>
      </w:r>
      <w:r w:rsidR="00715ACD">
        <w:t>’</w:t>
      </w:r>
      <w:r>
        <w:t>un Groupe de travail chargé de « faire le point sur les pratiques actuelles, [d</w:t>
      </w:r>
      <w:r w:rsidR="00715ACD">
        <w:t>’</w:t>
      </w:r>
      <w:r>
        <w:t>]identifier d</w:t>
      </w:r>
      <w:r w:rsidR="00715ACD">
        <w:t>’</w:t>
      </w:r>
      <w:r>
        <w:t xml:space="preserve">éventuelles approches coordonnées, ciblées et pratiques et [de] les </w:t>
      </w:r>
      <w:r>
        <w:lastRenderedPageBreak/>
        <w:t>classer par ordre de priorité, étant entendu que l</w:t>
      </w:r>
      <w:r w:rsidR="00715ACD">
        <w:t>’</w:t>
      </w:r>
      <w:r>
        <w:t>objectif [était] d</w:t>
      </w:r>
      <w:r w:rsidR="00715ACD">
        <w:t>’</w:t>
      </w:r>
      <w:r>
        <w:t>élever les normes en se fondant sur les Guides de bonnes pratiques de la HCCH et la Note sur les aspects financiers de l</w:t>
      </w:r>
      <w:r w:rsidR="00715ACD">
        <w:t>’</w:t>
      </w:r>
      <w:r>
        <w:t>adoption internationale comme point de départ »</w:t>
      </w:r>
      <w:r w:rsidR="003F3722" w:rsidRPr="002E65D8">
        <w:rPr>
          <w:rStyle w:val="FootnoteReference"/>
        </w:rPr>
        <w:footnoteReference w:id="23"/>
      </w:r>
      <w:r w:rsidR="003468CB">
        <w:t>.</w:t>
      </w:r>
    </w:p>
    <w:p w14:paraId="3A862762" w14:textId="367AD99C" w:rsidR="000043F7" w:rsidRPr="002E65D8" w:rsidRDefault="204D59E0" w:rsidP="00402617">
      <w:pPr>
        <w:pStyle w:val="PBParagraph"/>
      </w:pPr>
      <w:r>
        <w:t>Le nouveau Groupe de travail sur les aspects financiers de l</w:t>
      </w:r>
      <w:r w:rsidR="00715ACD">
        <w:t>’</w:t>
      </w:r>
      <w:r>
        <w:t>adoption internationale a été constitué en 2023 et s</w:t>
      </w:r>
      <w:r w:rsidR="00715ACD">
        <w:t>’</w:t>
      </w:r>
      <w:r>
        <w:t>est réuni à plusieurs reprises entre 2023 et 2026</w:t>
      </w:r>
      <w:r w:rsidR="004B2EBC" w:rsidRPr="002E65D8">
        <w:rPr>
          <w:rStyle w:val="FootnoteReference"/>
        </w:rPr>
        <w:footnoteReference w:id="24"/>
      </w:r>
      <w:r>
        <w:t xml:space="preserve">. </w:t>
      </w:r>
      <w:r w:rsidR="000B0792">
        <w:t>Il</w:t>
      </w:r>
      <w:r>
        <w:t xml:space="preserve"> a :</w:t>
      </w:r>
    </w:p>
    <w:p w14:paraId="1B114106" w14:textId="1B85719E" w:rsidR="000043F7" w:rsidRPr="002E65D8" w:rsidRDefault="26AF6128" w:rsidP="000043F7">
      <w:pPr>
        <w:pStyle w:val="PBBulletList"/>
      </w:pPr>
      <w:r>
        <w:t>actualisé la présente Note. Cette nouvelle version offre une perspective historique des abus relatifs aux aspects financiers de l</w:t>
      </w:r>
      <w:r w:rsidR="00715ACD">
        <w:t>’</w:t>
      </w:r>
      <w:r>
        <w:t>adoption internationale, tout en s</w:t>
      </w:r>
      <w:r w:rsidR="00715ACD">
        <w:t>’</w:t>
      </w:r>
      <w:r>
        <w:t>intéressant à la situation actuelle et en reconnaissant qu</w:t>
      </w:r>
      <w:r w:rsidR="00715ACD">
        <w:t>’</w:t>
      </w:r>
      <w:r>
        <w:t>en 2026, le nombre d</w:t>
      </w:r>
      <w:r w:rsidR="00715ACD">
        <w:t>’</w:t>
      </w:r>
      <w:r>
        <w:t>adoptions internationales a considérablement diminué ;</w:t>
      </w:r>
      <w:r>
        <w:rPr>
          <w:rStyle w:val="CommentReference"/>
          <w:sz w:val="19"/>
        </w:rPr>
        <w:t xml:space="preserve"> </w:t>
      </w:r>
    </w:p>
    <w:p w14:paraId="3A690467" w14:textId="54E863CC" w:rsidR="000043F7" w:rsidRPr="002E65D8" w:rsidRDefault="26AF6128" w:rsidP="000043F7">
      <w:pPr>
        <w:pStyle w:val="PBBulletList"/>
      </w:pPr>
      <w:r>
        <w:t xml:space="preserve">actualisé les Tableaux sur les coûts pour les rendre plus faciles à remplir pour les États fédéraux et les États ayant de nombreux OAA, et les a renommé </w:t>
      </w:r>
      <w:r>
        <w:rPr>
          <w:i/>
          <w:iCs/>
        </w:rPr>
        <w:t>Tableaux sur les aspects financiers de l</w:t>
      </w:r>
      <w:r w:rsidR="00715ACD">
        <w:rPr>
          <w:i/>
          <w:iCs/>
        </w:rPr>
        <w:t>’</w:t>
      </w:r>
      <w:r>
        <w:rPr>
          <w:i/>
          <w:iCs/>
        </w:rPr>
        <w:t>adoption internationale</w:t>
      </w:r>
      <w:r>
        <w:t xml:space="preserve"> (ci-après les « Tableaux </w:t>
      </w:r>
      <w:r w:rsidR="00A27261">
        <w:t xml:space="preserve">sur les aspects financiers </w:t>
      </w:r>
      <w:r>
        <w:t>») ;</w:t>
      </w:r>
    </w:p>
    <w:p w14:paraId="530717DB" w14:textId="7E9276FF" w:rsidR="000043F7" w:rsidRPr="002E65D8" w:rsidRDefault="000043F7" w:rsidP="000043F7">
      <w:pPr>
        <w:pStyle w:val="PBBulletList"/>
      </w:pPr>
      <w:r>
        <w:t xml:space="preserve">rédigé la </w:t>
      </w:r>
      <w:r>
        <w:rPr>
          <w:i/>
          <w:iCs/>
        </w:rPr>
        <w:t>Feuille de route en matière de coopération entre États concernant la transition vers l</w:t>
      </w:r>
      <w:r w:rsidR="00715ACD">
        <w:rPr>
          <w:i/>
          <w:iCs/>
        </w:rPr>
        <w:t>’</w:t>
      </w:r>
      <w:r>
        <w:rPr>
          <w:i/>
          <w:iCs/>
        </w:rPr>
        <w:t>a</w:t>
      </w:r>
      <w:r w:rsidR="00FE5BD4">
        <w:rPr>
          <w:i/>
          <w:iCs/>
        </w:rPr>
        <w:t>bsence</w:t>
      </w:r>
      <w:r>
        <w:rPr>
          <w:i/>
          <w:iCs/>
        </w:rPr>
        <w:t xml:space="preserve"> de contributions, </w:t>
      </w:r>
      <w:r w:rsidR="00FE5BD4">
        <w:rPr>
          <w:i/>
          <w:iCs/>
        </w:rPr>
        <w:t xml:space="preserve">de </w:t>
      </w:r>
      <w:r>
        <w:rPr>
          <w:i/>
          <w:iCs/>
        </w:rPr>
        <w:t xml:space="preserve">dons et </w:t>
      </w:r>
      <w:r w:rsidR="00FE5BD4">
        <w:rPr>
          <w:i/>
          <w:iCs/>
        </w:rPr>
        <w:t>de</w:t>
      </w:r>
      <w:r>
        <w:rPr>
          <w:i/>
          <w:iCs/>
        </w:rPr>
        <w:t xml:space="preserve"> projets de coopération dans le contexte de l</w:t>
      </w:r>
      <w:r w:rsidR="00715ACD">
        <w:rPr>
          <w:i/>
          <w:iCs/>
        </w:rPr>
        <w:t>’</w:t>
      </w:r>
      <w:r>
        <w:rPr>
          <w:i/>
          <w:iCs/>
        </w:rPr>
        <w:t>adoption</w:t>
      </w:r>
      <w:r>
        <w:t xml:space="preserve"> (ci-après la « Feuille de route ») ; et </w:t>
      </w:r>
    </w:p>
    <w:p w14:paraId="2E10FCC6" w14:textId="510CFA3B" w:rsidR="00B9780C" w:rsidRPr="002E65D8" w:rsidRDefault="000043F7" w:rsidP="000043F7">
      <w:pPr>
        <w:pStyle w:val="PBBulletList"/>
      </w:pPr>
      <w:r>
        <w:t xml:space="preserve">préparé un </w:t>
      </w:r>
      <w:r>
        <w:rPr>
          <w:i/>
          <w:iCs/>
        </w:rPr>
        <w:t>Répertoire des études et autres sources d</w:t>
      </w:r>
      <w:r w:rsidR="00715ACD">
        <w:rPr>
          <w:i/>
          <w:iCs/>
        </w:rPr>
        <w:t>’</w:t>
      </w:r>
      <w:r>
        <w:rPr>
          <w:i/>
          <w:iCs/>
        </w:rPr>
        <w:t>information sur les aspects financiers de l</w:t>
      </w:r>
      <w:r w:rsidR="00715ACD">
        <w:rPr>
          <w:i/>
          <w:iCs/>
        </w:rPr>
        <w:t>’</w:t>
      </w:r>
      <w:r>
        <w:rPr>
          <w:i/>
          <w:iCs/>
        </w:rPr>
        <w:t>adoption internationale</w:t>
      </w:r>
      <w:r>
        <w:t xml:space="preserve"> (ci-après le « Répertoire »).</w:t>
      </w:r>
    </w:p>
    <w:p w14:paraId="044CE05B" w14:textId="5FE94515" w:rsidR="00453A3A" w:rsidRPr="002E65D8" w:rsidRDefault="00453A3A" w:rsidP="004047D5">
      <w:pPr>
        <w:pStyle w:val="Heading2"/>
        <w:numPr>
          <w:ilvl w:val="0"/>
          <w:numId w:val="0"/>
        </w:numPr>
        <w:ind w:left="567"/>
        <w:rPr>
          <w:sz w:val="19"/>
          <w:szCs w:val="19"/>
        </w:rPr>
      </w:pPr>
      <w:bookmarkStart w:id="26" w:name="_Toc236061640"/>
      <w:r>
        <w:t>Objectifs</w:t>
      </w:r>
      <w:bookmarkEnd w:id="26"/>
    </w:p>
    <w:p w14:paraId="7C9D9456" w14:textId="7EC94BE0" w:rsidR="00300B91" w:rsidRPr="002E65D8" w:rsidRDefault="51682FB5" w:rsidP="00300B91">
      <w:pPr>
        <w:pStyle w:val="PBParagraph"/>
      </w:pPr>
      <w:r>
        <w:t>La finalité des travaux de la HCCH dans ce domaine est d</w:t>
      </w:r>
      <w:r w:rsidR="00715ACD">
        <w:t>’</w:t>
      </w:r>
      <w:r>
        <w:t>aider les États à réglementer, contrôler et suivre correctement les aspects financiers de l</w:t>
      </w:r>
      <w:r w:rsidR="00715ACD">
        <w:t>’</w:t>
      </w:r>
      <w:r>
        <w:t>adoption internationale, conformément à la Convention Adoption de 1993. La HCCH s</w:t>
      </w:r>
      <w:r w:rsidR="00715ACD">
        <w:t>’</w:t>
      </w:r>
      <w:r>
        <w:t>attendait à ce que cela aide les États à s</w:t>
      </w:r>
      <w:r w:rsidR="00715ACD">
        <w:t>’</w:t>
      </w:r>
      <w:r>
        <w:t>acquitter efficacement de l</w:t>
      </w:r>
      <w:r w:rsidR="00715ACD">
        <w:t>’</w:t>
      </w:r>
      <w:r>
        <w:t>obligation qui leur incombe de « [prendre], soit directement, soit avec le concours d</w:t>
      </w:r>
      <w:r w:rsidR="00715ACD">
        <w:t>’</w:t>
      </w:r>
      <w:r>
        <w:t>autorités publiques, toutes mesures appropriées pour prévenir les gains matériels indus à l</w:t>
      </w:r>
      <w:r w:rsidR="00715ACD">
        <w:t>’</w:t>
      </w:r>
      <w:r>
        <w:t>occasion d</w:t>
      </w:r>
      <w:r w:rsidR="00715ACD">
        <w:t>’</w:t>
      </w:r>
      <w:r>
        <w:t>une adoption et empêcher toute pratique contraire aux objectifs de la Convention » (art. 8).</w:t>
      </w:r>
    </w:p>
    <w:p w14:paraId="02100C00" w14:textId="3E5AC391" w:rsidR="00B9780C" w:rsidRPr="002E65D8" w:rsidRDefault="51682FB5" w:rsidP="00EA620E">
      <w:pPr>
        <w:pStyle w:val="PBParagraph"/>
      </w:pPr>
      <w:bookmarkStart w:id="27" w:name="_Ref174367963"/>
      <w:r>
        <w:t xml:space="preserve">Les aspects financiers posent un problème complexe qui ne trouve pas de solution unique et </w:t>
      </w:r>
      <w:r w:rsidR="00173448">
        <w:t xml:space="preserve">sont </w:t>
      </w:r>
      <w:r>
        <w:t>au cœur de la plupart des problèmes les plus graves liés à l</w:t>
      </w:r>
      <w:r w:rsidR="00715ACD">
        <w:t>’</w:t>
      </w:r>
      <w:r>
        <w:t>adoption internationale</w:t>
      </w:r>
      <w:bookmarkStart w:id="28" w:name="_Ref142552654"/>
      <w:r w:rsidR="0054697B" w:rsidRPr="002E65D8">
        <w:rPr>
          <w:rStyle w:val="FootnoteReference"/>
        </w:rPr>
        <w:footnoteReference w:id="25"/>
      </w:r>
      <w:bookmarkEnd w:id="28"/>
      <w:r w:rsidR="003468CB">
        <w:t>.</w:t>
      </w:r>
      <w:r>
        <w:t xml:space="preserve"> Une approche plurielle est donc nécessaire. Opérer des transformations fondamentales dans les structures sociales des États et éliminer les incitations aux gains matériels indus constituent un défi </w:t>
      </w:r>
      <w:r w:rsidR="00D25B9C">
        <w:t>majeur</w:t>
      </w:r>
      <w:r>
        <w:t>. Bien que cela dépasse le périmètre de travail de la HCCH, il est important de sensibiliser les autorités concernées de tous les États à ces questions.</w:t>
      </w:r>
      <w:bookmarkEnd w:id="27"/>
    </w:p>
    <w:p w14:paraId="386C70FC" w14:textId="60B79137" w:rsidR="00A671F0" w:rsidRPr="002E65D8" w:rsidRDefault="1BE39842" w:rsidP="00EA620E">
      <w:pPr>
        <w:pStyle w:val="PBParagraph"/>
      </w:pPr>
      <w:r>
        <w:t>Chaque partie prenante du système d</w:t>
      </w:r>
      <w:r w:rsidR="00715ACD">
        <w:t>’</w:t>
      </w:r>
      <w:r>
        <w:t>adoption internationale (Autorités centrales, autorités publiques et compétentes, OAA, ainsi que d</w:t>
      </w:r>
      <w:r w:rsidR="00715ACD">
        <w:t>’</w:t>
      </w:r>
      <w:r>
        <w:t xml:space="preserve">autres acteurs, dont les (futurs) parents adoptifs) a un </w:t>
      </w:r>
      <w:r>
        <w:lastRenderedPageBreak/>
        <w:t>rôle à jouer dans la mise en œuvre des bonnes pratiques examinées dans cette Note, en fonction de ses obligations, de ses fonctions et de son expertise</w:t>
      </w:r>
      <w:r w:rsidR="00617460" w:rsidRPr="002E65D8">
        <w:rPr>
          <w:rStyle w:val="FootnoteReference"/>
        </w:rPr>
        <w:footnoteReference w:id="26"/>
      </w:r>
      <w:r>
        <w:t>.</w:t>
      </w:r>
    </w:p>
    <w:p w14:paraId="3CA9201C" w14:textId="09C10462" w:rsidR="00B9780C" w:rsidRPr="002E65D8" w:rsidRDefault="00BB42DF" w:rsidP="00EA620E">
      <w:pPr>
        <w:pStyle w:val="PBParagraph"/>
      </w:pPr>
      <w:r>
        <w:t xml:space="preserve">Cette Note est structurée comme suit : </w:t>
      </w:r>
    </w:p>
    <w:p w14:paraId="5614B064" w14:textId="05105C44" w:rsidR="00B9780C" w:rsidRPr="002E65D8" w:rsidRDefault="00B9780C" w:rsidP="00EA620E">
      <w:pPr>
        <w:pStyle w:val="PBBulletList"/>
      </w:pPr>
      <w:r>
        <w:t>Le chapitre </w:t>
      </w:r>
      <w:r w:rsidR="00E113FE" w:rsidRPr="002E65D8">
        <w:fldChar w:fldCharType="begin"/>
      </w:r>
      <w:r w:rsidR="00E113FE" w:rsidRPr="002E65D8">
        <w:instrText xml:space="preserve"> REF _Ref212145769 \r \h </w:instrText>
      </w:r>
      <w:r w:rsidR="002E65D8">
        <w:instrText xml:space="preserve"> \* MERGEFORMAT </w:instrText>
      </w:r>
      <w:r w:rsidR="00E113FE" w:rsidRPr="002E65D8">
        <w:fldChar w:fldCharType="separate"/>
      </w:r>
      <w:r w:rsidR="00E6549D">
        <w:t>1</w:t>
      </w:r>
      <w:r w:rsidR="00E113FE" w:rsidRPr="002E65D8">
        <w:fldChar w:fldCharType="end"/>
      </w:r>
      <w:r>
        <w:t xml:space="preserve"> rappelle le cadre juridique et les normes en place sur le plan international ;</w:t>
      </w:r>
    </w:p>
    <w:p w14:paraId="72BFDE4B" w14:textId="0862D902" w:rsidR="00B9780C" w:rsidRPr="002E65D8" w:rsidRDefault="00B9780C" w:rsidP="00EA620E">
      <w:pPr>
        <w:pStyle w:val="PBBulletList"/>
      </w:pPr>
      <w:r>
        <w:t>Le chapitre </w:t>
      </w:r>
      <w:r w:rsidR="00E113FE" w:rsidRPr="002E65D8">
        <w:fldChar w:fldCharType="begin"/>
      </w:r>
      <w:r w:rsidR="00E113FE" w:rsidRPr="002E65D8">
        <w:instrText xml:space="preserve"> REF _Ref212145775 \r \h </w:instrText>
      </w:r>
      <w:r w:rsidR="002E65D8">
        <w:instrText xml:space="preserve"> \* MERGEFORMAT </w:instrText>
      </w:r>
      <w:r w:rsidR="00E113FE" w:rsidRPr="002E65D8">
        <w:fldChar w:fldCharType="separate"/>
      </w:r>
      <w:r w:rsidR="00E6549D">
        <w:t>2</w:t>
      </w:r>
      <w:r w:rsidR="00E113FE" w:rsidRPr="002E65D8">
        <w:fldChar w:fldCharType="end"/>
      </w:r>
      <w:r>
        <w:t xml:space="preserve"> recense les principales victimes des abus financiers ;</w:t>
      </w:r>
    </w:p>
    <w:p w14:paraId="45BFC7A6" w14:textId="563F9F4D" w:rsidR="00B9780C" w:rsidRPr="002E65D8" w:rsidRDefault="00B9780C" w:rsidP="00EA620E">
      <w:pPr>
        <w:pStyle w:val="PBBulletList"/>
      </w:pPr>
      <w:r>
        <w:t>Le chapitre </w:t>
      </w:r>
      <w:r w:rsidR="00E113FE" w:rsidRPr="002E65D8">
        <w:fldChar w:fldCharType="begin"/>
      </w:r>
      <w:r w:rsidR="00E113FE" w:rsidRPr="002E65D8">
        <w:instrText xml:space="preserve"> REF _Ref212145780 \r \h </w:instrText>
      </w:r>
      <w:r w:rsidR="002E65D8">
        <w:instrText xml:space="preserve"> \* MERGEFORMAT </w:instrText>
      </w:r>
      <w:r w:rsidR="00E113FE" w:rsidRPr="002E65D8">
        <w:fldChar w:fldCharType="separate"/>
      </w:r>
      <w:r w:rsidR="00E6549D">
        <w:t>3</w:t>
      </w:r>
      <w:r w:rsidR="00E113FE" w:rsidRPr="002E65D8">
        <w:fldChar w:fldCharType="end"/>
      </w:r>
      <w:r>
        <w:t xml:space="preserve"> répertorie les principaux auteurs des abus financiers ;</w:t>
      </w:r>
    </w:p>
    <w:p w14:paraId="695B146D" w14:textId="62365510" w:rsidR="00B9780C" w:rsidRPr="002E65D8" w:rsidRDefault="00B9780C" w:rsidP="00EA620E">
      <w:pPr>
        <w:pStyle w:val="PBBulletList"/>
      </w:pPr>
      <w:r>
        <w:t>Le chapitre </w:t>
      </w:r>
      <w:r w:rsidR="00E113FE" w:rsidRPr="002E65D8">
        <w:fldChar w:fldCharType="begin"/>
      </w:r>
      <w:r w:rsidR="00E113FE" w:rsidRPr="002E65D8">
        <w:instrText xml:space="preserve"> REF _Ref212145785 \r \h </w:instrText>
      </w:r>
      <w:r w:rsidR="002E65D8">
        <w:instrText xml:space="preserve"> \* MERGEFORMAT </w:instrText>
      </w:r>
      <w:r w:rsidR="00E113FE" w:rsidRPr="002E65D8">
        <w:fldChar w:fldCharType="separate"/>
      </w:r>
      <w:r w:rsidR="00E6549D">
        <w:t>4</w:t>
      </w:r>
      <w:r w:rsidR="00E113FE" w:rsidRPr="002E65D8">
        <w:fldChar w:fldCharType="end"/>
      </w:r>
      <w:r>
        <w:t xml:space="preserve"> explique les défis liés au contexte international ;</w:t>
      </w:r>
    </w:p>
    <w:p w14:paraId="662B93BB" w14:textId="5853AE40" w:rsidR="00B9780C" w:rsidRPr="002E65D8" w:rsidRDefault="47A40EF4" w:rsidP="00EA620E">
      <w:pPr>
        <w:pStyle w:val="PBBulletList"/>
      </w:pPr>
      <w:r>
        <w:t>Le chapitre </w:t>
      </w:r>
      <w:r w:rsidR="00E113FE" w:rsidRPr="002E65D8">
        <w:fldChar w:fldCharType="begin"/>
      </w:r>
      <w:r w:rsidR="00E113FE" w:rsidRPr="002E65D8">
        <w:instrText xml:space="preserve"> REF _Ref212145789 \r \h </w:instrText>
      </w:r>
      <w:r w:rsidR="002E65D8">
        <w:instrText xml:space="preserve"> \* MERGEFORMAT </w:instrText>
      </w:r>
      <w:r w:rsidR="00E113FE" w:rsidRPr="002E65D8">
        <w:fldChar w:fldCharType="separate"/>
      </w:r>
      <w:r w:rsidR="00E6549D">
        <w:t>5</w:t>
      </w:r>
      <w:r w:rsidR="00E113FE" w:rsidRPr="002E65D8">
        <w:fldChar w:fldCharType="end"/>
      </w:r>
      <w:r>
        <w:t xml:space="preserve"> se concentre sur la manière de prévenir les gains matériels indus et d</w:t>
      </w:r>
      <w:r w:rsidR="00715ACD">
        <w:t>’</w:t>
      </w:r>
      <w:r>
        <w:t>y remédier.</w:t>
      </w:r>
    </w:p>
    <w:p w14:paraId="30CF499F" w14:textId="3DA7C6AE" w:rsidR="00B9780C" w:rsidRPr="002E65D8" w:rsidRDefault="47A40EF4" w:rsidP="00EA620E">
      <w:pPr>
        <w:pStyle w:val="PBBulletList"/>
      </w:pPr>
      <w:r>
        <w:t>Le chapitre </w:t>
      </w:r>
      <w:r w:rsidR="00E113FE" w:rsidRPr="002E65D8">
        <w:fldChar w:fldCharType="begin"/>
      </w:r>
      <w:r w:rsidR="00E113FE" w:rsidRPr="002E65D8">
        <w:instrText xml:space="preserve"> REF _Ref211003302 \r \h </w:instrText>
      </w:r>
      <w:r w:rsidR="002E65D8">
        <w:instrText xml:space="preserve"> \* MERGEFORMAT </w:instrText>
      </w:r>
      <w:r w:rsidR="00E113FE" w:rsidRPr="002E65D8">
        <w:fldChar w:fldCharType="separate"/>
      </w:r>
      <w:r w:rsidR="00E6549D">
        <w:t>6</w:t>
      </w:r>
      <w:r w:rsidR="00E113FE" w:rsidRPr="002E65D8">
        <w:fldChar w:fldCharType="end"/>
      </w:r>
      <w:r>
        <w:t xml:space="preserve"> a trait à la transparence et au caractère raisonnable de tous les aspects financiers.</w:t>
      </w:r>
    </w:p>
    <w:p w14:paraId="7F3429A5" w14:textId="3C413650" w:rsidR="009616E6" w:rsidRPr="002E65D8" w:rsidRDefault="47A40EF4" w:rsidP="00EA620E">
      <w:pPr>
        <w:pStyle w:val="PBBulletList"/>
      </w:pPr>
      <w:r>
        <w:t>Le chapitre </w:t>
      </w:r>
      <w:r w:rsidR="00045382" w:rsidRPr="002E65D8">
        <w:fldChar w:fldCharType="begin"/>
      </w:r>
      <w:r w:rsidR="00045382" w:rsidRPr="002E65D8">
        <w:instrText xml:space="preserve"> REF _Ref228436428 \r \h </w:instrText>
      </w:r>
      <w:r w:rsidR="002E65D8">
        <w:instrText xml:space="preserve"> \* MERGEFORMAT </w:instrText>
      </w:r>
      <w:r w:rsidR="00045382" w:rsidRPr="002E65D8">
        <w:fldChar w:fldCharType="separate"/>
      </w:r>
      <w:r w:rsidR="00E6549D">
        <w:t>7</w:t>
      </w:r>
      <w:r w:rsidR="00045382" w:rsidRPr="002E65D8">
        <w:fldChar w:fldCharType="end"/>
      </w:r>
      <w:r>
        <w:t xml:space="preserve"> s</w:t>
      </w:r>
      <w:r w:rsidR="00715ACD">
        <w:t>’</w:t>
      </w:r>
      <w:r>
        <w:t xml:space="preserve">intéresse aux contributions, dons et projets de coopération. </w:t>
      </w:r>
    </w:p>
    <w:p w14:paraId="2D64795B" w14:textId="53E4465B" w:rsidR="00720FA4" w:rsidRPr="002E65D8" w:rsidRDefault="00C12D51" w:rsidP="00A87E74">
      <w:pPr>
        <w:pStyle w:val="PBBulletList"/>
      </w:pPr>
      <w:r>
        <w:t>L</w:t>
      </w:r>
      <w:r w:rsidR="00715ACD">
        <w:t>’</w:t>
      </w:r>
      <w:r>
        <w:t xml:space="preserve">annexe énumère les outils pratiques de la HCCH visant à aider les États dans ce domaine. </w:t>
      </w:r>
      <w:r>
        <w:br w:type="page"/>
      </w:r>
    </w:p>
    <w:p w14:paraId="540A352C" w14:textId="33BC0696" w:rsidR="00B9780C" w:rsidRPr="002E65D8" w:rsidRDefault="00B9780C" w:rsidP="008A5252">
      <w:pPr>
        <w:pStyle w:val="Heading1"/>
        <w:rPr>
          <w:rFonts w:ascii="Raleway" w:hAnsi="Raleway"/>
          <w:b/>
        </w:rPr>
      </w:pPr>
      <w:bookmarkStart w:id="29" w:name="_Ref212145769"/>
      <w:bookmarkStart w:id="30" w:name="_Toc236061641"/>
      <w:r>
        <w:rPr>
          <w:rFonts w:ascii="Raleway" w:hAnsi="Raleway"/>
          <w:b/>
        </w:rPr>
        <w:lastRenderedPageBreak/>
        <w:t>DISPOSITIF INTERNATIONAL : CADRE JURIDIQUE ET NORMES</w:t>
      </w:r>
      <w:bookmarkEnd w:id="29"/>
      <w:bookmarkEnd w:id="30"/>
      <w:r>
        <w:rPr>
          <w:rFonts w:ascii="Raleway" w:hAnsi="Raleway"/>
          <w:b/>
        </w:rPr>
        <w:t xml:space="preserve"> </w:t>
      </w:r>
    </w:p>
    <w:p w14:paraId="26A6B85F" w14:textId="026A07DE" w:rsidR="00B9780C" w:rsidRPr="002E65D8" w:rsidRDefault="00B9780C" w:rsidP="004047D5">
      <w:pPr>
        <w:pStyle w:val="Heading2"/>
      </w:pPr>
      <w:bookmarkStart w:id="31" w:name="_Toc236061642"/>
      <w:r>
        <w:t>La CNUDE et son Protocole facultatif de 2000 concernant la vente d</w:t>
      </w:r>
      <w:r w:rsidR="00715ACD">
        <w:t>’</w:t>
      </w:r>
      <w:r>
        <w:t>enfants</w:t>
      </w:r>
      <w:bookmarkEnd w:id="31"/>
    </w:p>
    <w:p w14:paraId="64FBD0C1" w14:textId="07CEA97C" w:rsidR="00B9780C" w:rsidRPr="002E65D8" w:rsidRDefault="68248855" w:rsidP="00EA620E">
      <w:pPr>
        <w:pStyle w:val="PBParagraph"/>
      </w:pPr>
      <w:r>
        <w:t xml:space="preserve">La </w:t>
      </w:r>
      <w:r>
        <w:rPr>
          <w:i/>
          <w:iCs/>
        </w:rPr>
        <w:t>Convention des Nations Unies de 1989 relative aux droits de l</w:t>
      </w:r>
      <w:r w:rsidR="00715ACD">
        <w:rPr>
          <w:i/>
          <w:iCs/>
        </w:rPr>
        <w:t>’</w:t>
      </w:r>
      <w:r>
        <w:rPr>
          <w:i/>
          <w:iCs/>
        </w:rPr>
        <w:t>enfant</w:t>
      </w:r>
      <w:r>
        <w:t xml:space="preserve"> (ci-après, la </w:t>
      </w:r>
      <w:r w:rsidR="006B26FF">
        <w:t>« </w:t>
      </w:r>
      <w:r>
        <w:t>CNUDE</w:t>
      </w:r>
      <w:r w:rsidR="006B26FF">
        <w:t> »</w:t>
      </w:r>
      <w:r>
        <w:t>) instaure certains principes généraux et des normes en matière d</w:t>
      </w:r>
      <w:r w:rsidR="00715ACD">
        <w:t>’</w:t>
      </w:r>
      <w:r>
        <w:t>adoption internationale, au nombre desquels figure l</w:t>
      </w:r>
      <w:r w:rsidR="00715ACD">
        <w:t>’</w:t>
      </w:r>
      <w:r>
        <w:t>obligation qu</w:t>
      </w:r>
      <w:r w:rsidR="00715ACD">
        <w:t>’</w:t>
      </w:r>
      <w:r>
        <w:t>ont les États</w:t>
      </w:r>
      <w:r w:rsidR="00A6082C">
        <w:t xml:space="preserve"> Parties</w:t>
      </w:r>
      <w:r>
        <w:t xml:space="preserve"> de prendre toutes les mesures appropriées pour que les personnes impliquées ne tirent de </w:t>
      </w:r>
      <w:r w:rsidR="007820E7">
        <w:t>l</w:t>
      </w:r>
      <w:r w:rsidR="00715ACD">
        <w:t>’</w:t>
      </w:r>
      <w:r>
        <w:t>adoption internationale aucun gain matériel indu</w:t>
      </w:r>
      <w:r w:rsidR="0054697B" w:rsidRPr="002E65D8">
        <w:rPr>
          <w:rStyle w:val="FootnoteReference"/>
        </w:rPr>
        <w:footnoteReference w:id="27"/>
      </w:r>
      <w:r>
        <w:t>.</w:t>
      </w:r>
    </w:p>
    <w:p w14:paraId="2B845774" w14:textId="37816E2F" w:rsidR="00B9780C" w:rsidRPr="002E65D8" w:rsidRDefault="68248855" w:rsidP="00EA620E">
      <w:pPr>
        <w:pStyle w:val="PBParagraph"/>
      </w:pPr>
      <w:r>
        <w:t xml:space="preserve">Le </w:t>
      </w:r>
      <w:r>
        <w:rPr>
          <w:i/>
          <w:iCs/>
        </w:rPr>
        <w:t>Protocole facultatif à la CNUDE concernant la vente d</w:t>
      </w:r>
      <w:r w:rsidR="00715ACD">
        <w:rPr>
          <w:i/>
          <w:iCs/>
        </w:rPr>
        <w:t>’</w:t>
      </w:r>
      <w:r>
        <w:rPr>
          <w:i/>
          <w:iCs/>
        </w:rPr>
        <w:t>enfants, la prostitution des enfants et la pornographie mettant en scène des enfants</w:t>
      </w:r>
      <w:r>
        <w:t xml:space="preserve"> de 2000, dispose que les États parties doivent veiller à ce que les actes consistant à obtenir indûment le consentement à l</w:t>
      </w:r>
      <w:r w:rsidR="00715ACD">
        <w:t>’</w:t>
      </w:r>
      <w:r>
        <w:t>adoption d</w:t>
      </w:r>
      <w:r w:rsidR="00715ACD">
        <w:t>’</w:t>
      </w:r>
      <w:r>
        <w:t>un enfant soient pleinement couverts par leur droit pénal</w:t>
      </w:r>
      <w:r w:rsidR="0054697B" w:rsidRPr="002E65D8">
        <w:rPr>
          <w:rStyle w:val="FootnoteReference"/>
        </w:rPr>
        <w:footnoteReference w:id="28"/>
      </w:r>
      <w:r>
        <w:t>.</w:t>
      </w:r>
    </w:p>
    <w:p w14:paraId="0F1BC0BB" w14:textId="3003EA64" w:rsidR="00B9780C" w:rsidRPr="002E65D8" w:rsidRDefault="00B9780C" w:rsidP="004047D5">
      <w:pPr>
        <w:pStyle w:val="Heading2"/>
      </w:pPr>
      <w:bookmarkStart w:id="32" w:name="_Toc236061643"/>
      <w:r>
        <w:t>La Convention Adoption de 1993</w:t>
      </w:r>
      <w:bookmarkEnd w:id="32"/>
    </w:p>
    <w:p w14:paraId="36BD7344" w14:textId="3D56AC96" w:rsidR="00B9780C" w:rsidRPr="002E65D8" w:rsidRDefault="68248855" w:rsidP="00EA620E">
      <w:pPr>
        <w:pStyle w:val="PBParagraph"/>
      </w:pPr>
      <w:r>
        <w:t>La Convention Adoption de 1993 affine, renforce et étend les principes et normes prévus par la CNUDE en ajoutant des garanties matérielles et des procédures</w:t>
      </w:r>
      <w:r w:rsidR="0054697B" w:rsidRPr="002E65D8">
        <w:rPr>
          <w:rStyle w:val="FootnoteReference"/>
        </w:rPr>
        <w:footnoteReference w:id="29"/>
      </w:r>
      <w:r>
        <w:t>. S</w:t>
      </w:r>
      <w:r w:rsidR="00715ACD">
        <w:t>’</w:t>
      </w:r>
      <w:r>
        <w:t xml:space="preserve">agissant des aspects financiers, la Convention énonce, entre autres, les règles et obligations suivantes : </w:t>
      </w:r>
    </w:p>
    <w:p w14:paraId="1CFBCD6C" w14:textId="2880AF40" w:rsidR="00B9780C" w:rsidRPr="002E65D8" w:rsidRDefault="01D70BC4" w:rsidP="00EA620E">
      <w:pPr>
        <w:pStyle w:val="PBBulletList"/>
      </w:pPr>
      <w:r>
        <w:t>Les États contractants et les Autorités centrales sont tenus de prendre « toutes mesures appropriées pour prévenir les gains matériels indus à l</w:t>
      </w:r>
      <w:r w:rsidR="00715ACD">
        <w:t>’</w:t>
      </w:r>
      <w:r>
        <w:t>occasion d</w:t>
      </w:r>
      <w:r w:rsidR="00715ACD">
        <w:t>’</w:t>
      </w:r>
      <w:r>
        <w:t>une adoption et empêcher toute pratique contraire aux objectifs de la Convention » (art. 8).</w:t>
      </w:r>
    </w:p>
    <w:p w14:paraId="3082FF7A" w14:textId="7798F2DA" w:rsidR="00DE4D6F" w:rsidRPr="002E65D8" w:rsidRDefault="00047F24" w:rsidP="00EA620E">
      <w:pPr>
        <w:pStyle w:val="PBBulletList"/>
      </w:pPr>
      <w:r>
        <w:t>Les autorités compétentes doivent s</w:t>
      </w:r>
      <w:r w:rsidR="00715ACD">
        <w:t>’</w:t>
      </w:r>
      <w:r>
        <w:t>assurer que 1) l</w:t>
      </w:r>
      <w:r w:rsidR="00715ACD">
        <w:t>’</w:t>
      </w:r>
      <w:r>
        <w:t>enfant est adoptable, 2) les possibilités de placement dans son État d</w:t>
      </w:r>
      <w:r w:rsidR="00715ACD">
        <w:t>’</w:t>
      </w:r>
      <w:r>
        <w:t>origine ont été dûment examinées, 3) le consentement à l</w:t>
      </w:r>
      <w:r w:rsidR="00715ACD">
        <w:t>’</w:t>
      </w:r>
      <w:r>
        <w:t>adoption n</w:t>
      </w:r>
      <w:r w:rsidR="00715ACD">
        <w:t>’</w:t>
      </w:r>
      <w:r>
        <w:t>a pas été obtenu moyennant paiement ou contrepartie d</w:t>
      </w:r>
      <w:r w:rsidR="00715ACD">
        <w:t>’</w:t>
      </w:r>
      <w:r>
        <w:t>aucune sorte (art. 4).</w:t>
      </w:r>
    </w:p>
    <w:p w14:paraId="03047A49" w14:textId="378DE507" w:rsidR="00B9780C" w:rsidRPr="002E65D8" w:rsidRDefault="00A0578A" w:rsidP="00EA620E">
      <w:pPr>
        <w:pStyle w:val="PBBulletList"/>
      </w:pPr>
      <w:r>
        <w:t>Les autorités compétentes de l</w:t>
      </w:r>
      <w:r w:rsidR="00715ACD">
        <w:t>’</w:t>
      </w:r>
      <w:r>
        <w:t>État d</w:t>
      </w:r>
      <w:r w:rsidR="00715ACD">
        <w:t>’</w:t>
      </w:r>
      <w:r>
        <w:t>origine doivent également s</w:t>
      </w:r>
      <w:r w:rsidR="00715ACD">
        <w:t>’</w:t>
      </w:r>
      <w:r>
        <w:t>assurer que le consentement de l</w:t>
      </w:r>
      <w:r w:rsidR="00715ACD">
        <w:t>’</w:t>
      </w:r>
      <w:r>
        <w:t>enfant (eu égard à son âge et à sa maturité) et celui des personnes, institutions et autorités dont le consentement est requis pour l</w:t>
      </w:r>
      <w:r w:rsidR="00715ACD">
        <w:t>’</w:t>
      </w:r>
      <w:r>
        <w:t>adoption « n</w:t>
      </w:r>
      <w:r w:rsidR="00715ACD">
        <w:t>’</w:t>
      </w:r>
      <w:r>
        <w:t>ont pas été obtenus moyennant paiement ou contrep</w:t>
      </w:r>
      <w:r w:rsidR="00B3442B">
        <w:t>artie d</w:t>
      </w:r>
      <w:r w:rsidR="00715ACD">
        <w:t>’</w:t>
      </w:r>
      <w:r w:rsidR="00B3442B">
        <w:t>aucune sorte » (art. 4(d</w:t>
      </w:r>
      <w:r>
        <w:t xml:space="preserve">)(4) et 4(c)(3)). </w:t>
      </w:r>
      <w:r w:rsidR="0075027B">
        <w:t>Dès lors</w:t>
      </w:r>
      <w:r>
        <w:t>, « [a]ucun contact entre les [FPA] et les parents [d</w:t>
      </w:r>
      <w:r w:rsidR="00715ACD">
        <w:t>’</w:t>
      </w:r>
      <w:r>
        <w:t>origine] de l</w:t>
      </w:r>
      <w:r w:rsidR="00715ACD">
        <w:t>’</w:t>
      </w:r>
      <w:r>
        <w:t>enfant ou toute autre personne qui a la gard</w:t>
      </w:r>
      <w:r w:rsidR="003468CB">
        <w:t>e</w:t>
      </w:r>
      <w:r>
        <w:t xml:space="preserve"> de celui-ci ne peut avoir lieu tant que les dispositions de l</w:t>
      </w:r>
      <w:r w:rsidR="00715ACD">
        <w:t>’</w:t>
      </w:r>
      <w:r>
        <w:t>article 4 [...] et de l</w:t>
      </w:r>
      <w:r w:rsidR="00715ACD">
        <w:t>’</w:t>
      </w:r>
      <w:r>
        <w:t>article 5 [...] n</w:t>
      </w:r>
      <w:r w:rsidR="00715ACD">
        <w:t>’</w:t>
      </w:r>
      <w:r>
        <w:t xml:space="preserve">ont </w:t>
      </w:r>
      <w:r w:rsidR="00B149F3">
        <w:t xml:space="preserve">pas </w:t>
      </w:r>
      <w:r>
        <w:t>été respectées », sous réserve des exceptions visées à l</w:t>
      </w:r>
      <w:r w:rsidR="00715ACD">
        <w:t>’</w:t>
      </w:r>
      <w:r>
        <w:t>article 29 (art. 29)</w:t>
      </w:r>
      <w:r w:rsidR="0054697B" w:rsidRPr="002E65D8">
        <w:rPr>
          <w:rStyle w:val="FootnoteReference"/>
        </w:rPr>
        <w:footnoteReference w:id="30"/>
      </w:r>
      <w:r>
        <w:t>.</w:t>
      </w:r>
    </w:p>
    <w:p w14:paraId="5DD3F206" w14:textId="51DB0F04" w:rsidR="00B9780C" w:rsidRPr="002E65D8" w:rsidRDefault="00C62F51" w:rsidP="00EA620E">
      <w:pPr>
        <w:pStyle w:val="PBBulletList"/>
      </w:pPr>
      <w:r>
        <w:t>« Seuls peuvent être demandés et payés les frais et dépenses, y compris les honoraires raisonnables des personnes qui sont intervenues dans l</w:t>
      </w:r>
      <w:r w:rsidR="00715ACD">
        <w:t>’</w:t>
      </w:r>
      <w:r>
        <w:t>adoption » (art. 32(2)).</w:t>
      </w:r>
    </w:p>
    <w:p w14:paraId="26F8B02B" w14:textId="1D625389" w:rsidR="00B9780C" w:rsidRPr="002E65D8" w:rsidRDefault="00C62F51" w:rsidP="00EA620E">
      <w:pPr>
        <w:pStyle w:val="PBBulletList"/>
      </w:pPr>
      <w:r>
        <w:t>« Nul ne peut tirer un gain matériel indu en raison d</w:t>
      </w:r>
      <w:r w:rsidR="00715ACD">
        <w:t>’</w:t>
      </w:r>
      <w:r>
        <w:t>une intervention à l</w:t>
      </w:r>
      <w:r w:rsidR="00715ACD">
        <w:t>’</w:t>
      </w:r>
      <w:r>
        <w:t>occasion d</w:t>
      </w:r>
      <w:r w:rsidR="00715ACD">
        <w:t>’</w:t>
      </w:r>
      <w:r>
        <w:t>une adoption internationale » (art. 32(1)).</w:t>
      </w:r>
    </w:p>
    <w:p w14:paraId="2D8B1FE3" w14:textId="41F7EA7F" w:rsidR="00B9780C" w:rsidRPr="002E65D8" w:rsidRDefault="3A09F73E" w:rsidP="00EA620E">
      <w:pPr>
        <w:pStyle w:val="PBBulletList"/>
      </w:pPr>
      <w:r>
        <w:t>Les Autorités centrales doivent coopérer les unes avec les autres pour s</w:t>
      </w:r>
      <w:r w:rsidR="00715ACD">
        <w:t>’</w:t>
      </w:r>
      <w:r>
        <w:t>acquitter de leurs obligations (art. 7), notamment celles susmentionnées relatives aux aspects financiers de l</w:t>
      </w:r>
      <w:r w:rsidR="00715ACD">
        <w:t>’</w:t>
      </w:r>
      <w:r>
        <w:t>adoption internationale. Cette coopération peut prendre la forme d</w:t>
      </w:r>
      <w:r w:rsidR="00715ACD">
        <w:t>’</w:t>
      </w:r>
      <w:r>
        <w:t>un échange d</w:t>
      </w:r>
      <w:r w:rsidR="00715ACD">
        <w:t>’</w:t>
      </w:r>
      <w:r>
        <w:t>informations sur une situation particulière ou sur les modalités optimales de mise en œuvre des n</w:t>
      </w:r>
      <w:r w:rsidR="00531C1A">
        <w:t>ormes de la Convention (art. 9(a</w:t>
      </w:r>
      <w:r>
        <w:t>) et (e)).</w:t>
      </w:r>
    </w:p>
    <w:p w14:paraId="4D531F21" w14:textId="43900F92" w:rsidR="00B9780C" w:rsidRPr="002E65D8" w:rsidRDefault="187358A9" w:rsidP="00EA620E">
      <w:pPr>
        <w:pStyle w:val="PBBulletList"/>
      </w:pPr>
      <w:r>
        <w:t xml:space="preserve">Les OAA 1) doivent exclusivement poursuivre des buts non lucratifs (art. 11(a)), 2) leur situation financière doit être supervisée par les autorités compétentes de leur État (art. 11(c)) </w:t>
      </w:r>
      <w:r>
        <w:lastRenderedPageBreak/>
        <w:t>et 3) ils ne doivent pas rémunérer leur personnel de manière disproportionnée par rapport aux services rendus (art. 32(3)</w:t>
      </w:r>
      <w:r w:rsidR="00312F30">
        <w:t>)</w:t>
      </w:r>
      <w:r w:rsidR="0054697B" w:rsidRPr="002E65D8">
        <w:rPr>
          <w:rStyle w:val="FootnoteReference"/>
        </w:rPr>
        <w:footnoteReference w:id="31"/>
      </w:r>
      <w:r>
        <w:t xml:space="preserve">. </w:t>
      </w:r>
    </w:p>
    <w:p w14:paraId="08DE22C3" w14:textId="0CFD7214" w:rsidR="00B9780C" w:rsidRPr="002E65D8" w:rsidRDefault="00A0578A" w:rsidP="00EA620E">
      <w:pPr>
        <w:pStyle w:val="PBBulletList"/>
      </w:pPr>
      <w:r>
        <w:t xml:space="preserve">Les personnes et organismes autorisés (non agréés) devraient respecter les mêmes normes que les OAA. Toutefois, contrairement </w:t>
      </w:r>
      <w:r w:rsidR="00312F30">
        <w:t>à ces derniers</w:t>
      </w:r>
      <w:r>
        <w:t>, ils sont en droit de fournir des services d</w:t>
      </w:r>
      <w:r w:rsidR="00715ACD">
        <w:t>’</w:t>
      </w:r>
      <w:r>
        <w:t>adoption à des fins lucratives. Ils sont également soumis à l</w:t>
      </w:r>
      <w:r w:rsidR="00715ACD">
        <w:t>’</w:t>
      </w:r>
      <w:r>
        <w:t>interdiction générale des gains matériels indus dans une adoption internationale (art. 32(1)), au même titre que toute personne intervenant dans une adoption internationale en vertu de la Convention. Ils ne peuvent demander que les frais et dépenses réels associés à l</w:t>
      </w:r>
      <w:r w:rsidR="00715ACD">
        <w:t>’</w:t>
      </w:r>
      <w:r>
        <w:t>adoption internationale, notamment des honoraires raisonnables</w:t>
      </w:r>
      <w:r w:rsidR="0054697B" w:rsidRPr="002E65D8">
        <w:rPr>
          <w:rStyle w:val="FootnoteReference"/>
        </w:rPr>
        <w:footnoteReference w:id="32"/>
      </w:r>
      <w:r>
        <w:t>.</w:t>
      </w:r>
    </w:p>
    <w:p w14:paraId="694919A5" w14:textId="25E11D80" w:rsidR="00637B3F" w:rsidRPr="002E65D8" w:rsidRDefault="00C74E8E" w:rsidP="00EA620E">
      <w:pPr>
        <w:pStyle w:val="PBBulletList"/>
      </w:pPr>
      <w:r>
        <w:t>Les États contractants devraient recueillir et conserver les informations relatives aux origines de l</w:t>
      </w:r>
      <w:r w:rsidR="00715ACD">
        <w:t>’</w:t>
      </w:r>
      <w:r>
        <w:t xml:space="preserve">enfant (art. 9(a) et 30). Dans la mesure du possible, les adoptés </w:t>
      </w:r>
      <w:r w:rsidR="000752A8">
        <w:t>devraient</w:t>
      </w:r>
      <w:r>
        <w:t xml:space="preserve"> y avoir accès (art. 30), y compris lorsque ces informations sont susceptibles de révéler des pratiques illicites quant aux aspects financiers de leur adoption.</w:t>
      </w:r>
    </w:p>
    <w:p w14:paraId="4CE84A49" w14:textId="03FF5A26" w:rsidR="00B9780C" w:rsidRPr="002E65D8" w:rsidRDefault="00B9780C" w:rsidP="004047D5">
      <w:pPr>
        <w:pStyle w:val="Heading2"/>
      </w:pPr>
      <w:bookmarkStart w:id="33" w:name="_Ref165452166"/>
      <w:bookmarkStart w:id="34" w:name="_Toc236061644"/>
      <w:r>
        <w:t>Commission spéciale sur le fonctionnement pratique de la Convention Adoption de 1993</w:t>
      </w:r>
      <w:bookmarkEnd w:id="33"/>
      <w:bookmarkEnd w:id="34"/>
    </w:p>
    <w:p w14:paraId="0676BC3F" w14:textId="25CD62BE" w:rsidR="00B9780C" w:rsidRPr="002E65D8" w:rsidRDefault="00720FA4" w:rsidP="00EA620E">
      <w:pPr>
        <w:pStyle w:val="PBParagraph"/>
      </w:pPr>
      <w:r>
        <w:t>Les aspects financiers de l</w:t>
      </w:r>
      <w:r w:rsidR="00715ACD">
        <w:t>’</w:t>
      </w:r>
      <w:r>
        <w:t xml:space="preserve">adoption internationale ont été longuement discutés à chaque réunion de la </w:t>
      </w:r>
      <w:r w:rsidR="00283B34">
        <w:t>CS</w:t>
      </w:r>
      <w:r>
        <w:t xml:space="preserve"> sur le fonctionnement pratique de la Convention. </w:t>
      </w:r>
    </w:p>
    <w:p w14:paraId="14207BAE" w14:textId="358C2BB5" w:rsidR="00B9780C" w:rsidRPr="002E65D8" w:rsidRDefault="00720FA4" w:rsidP="00EA620E">
      <w:pPr>
        <w:pStyle w:val="PBParagraph"/>
      </w:pPr>
      <w:r>
        <w:t xml:space="preserve">En 2000, les réponses des États contractants à un questionnaire sur le fonctionnement pratique de la Convention ont fait apparaître des écarts importants dans les coûts à la charge des parents adoptifs, notamment des frais excessifs pour certains services rendus par des OAA. En ce qui concerne les aspects financiers, la </w:t>
      </w:r>
      <w:r w:rsidR="00283B34">
        <w:t>CS</w:t>
      </w:r>
      <w:r>
        <w:t xml:space="preserve"> de 2000 a recommandé ce qui suit</w:t>
      </w:r>
      <w:bookmarkStart w:id="35" w:name="_Ref142552740"/>
      <w:r w:rsidR="003468CB" w:rsidRPr="002E65D8">
        <w:rPr>
          <w:rStyle w:val="FootnoteReference"/>
        </w:rPr>
        <w:footnoteReference w:id="33"/>
      </w:r>
      <w:bookmarkEnd w:id="35"/>
      <w:r>
        <w:t> :</w:t>
      </w:r>
    </w:p>
    <w:p w14:paraId="3D357DEE" w14:textId="50118087" w:rsidR="00B9780C" w:rsidRPr="002E65D8" w:rsidRDefault="00B9780C" w:rsidP="00EA620E">
      <w:pPr>
        <w:pStyle w:val="PBBulletList"/>
      </w:pPr>
      <w:r>
        <w:t xml:space="preserve">une liste détaillée des </w:t>
      </w:r>
      <w:r w:rsidR="00F9548F">
        <w:t>coûts</w:t>
      </w:r>
      <w:r>
        <w:t xml:space="preserve"> et dépenses pouvant être engendrés par la procédure d</w:t>
      </w:r>
      <w:r w:rsidR="00715ACD">
        <w:t>’</w:t>
      </w:r>
      <w:r>
        <w:t xml:space="preserve">adoption devrait être présentée </w:t>
      </w:r>
      <w:r w:rsidR="006F0630">
        <w:t xml:space="preserve">en amont </w:t>
      </w:r>
      <w:r>
        <w:t>aux FPA</w:t>
      </w:r>
      <w:r w:rsidR="006F0630">
        <w:t> </w:t>
      </w:r>
      <w:r>
        <w:t>;</w:t>
      </w:r>
    </w:p>
    <w:p w14:paraId="482CE462" w14:textId="176ABF75" w:rsidR="00B9780C" w:rsidRPr="002E65D8" w:rsidRDefault="00B9780C" w:rsidP="00EA620E">
      <w:pPr>
        <w:pStyle w:val="PBBulletList"/>
      </w:pPr>
      <w:r>
        <w:t xml:space="preserve">il faudrait rendre publiques les informations relatives aux </w:t>
      </w:r>
      <w:r w:rsidR="0072416D">
        <w:t>coûts</w:t>
      </w:r>
      <w:r>
        <w:t>, dépenses et honoraires demandés par les OAA ;</w:t>
      </w:r>
    </w:p>
    <w:p w14:paraId="7D426408" w14:textId="2B8D4F90" w:rsidR="00B9780C" w:rsidRPr="002E65D8" w:rsidRDefault="00B9780C" w:rsidP="00EA620E">
      <w:pPr>
        <w:pStyle w:val="PBBulletList"/>
      </w:pPr>
      <w:r>
        <w:t>les dons des FPA à des organismes impliqués dans la procédure d</w:t>
      </w:r>
      <w:r w:rsidR="00715ACD">
        <w:t>’</w:t>
      </w:r>
      <w:r>
        <w:t>adoption ne sauraient être requis, offerts ou faits.</w:t>
      </w:r>
    </w:p>
    <w:p w14:paraId="77047E57" w14:textId="243F446A" w:rsidR="00B9780C" w:rsidRPr="002E65D8" w:rsidRDefault="00EF49A8" w:rsidP="00EA620E">
      <w:pPr>
        <w:pStyle w:val="PBBulletList"/>
      </w:pPr>
      <w:r>
        <w:t>pour obtenir l</w:t>
      </w:r>
      <w:r w:rsidR="00715ACD">
        <w:t>’</w:t>
      </w:r>
      <w:r>
        <w:t>agrément, les OAA devraient avoir une base financière solide et un système de contrôle financier interne efficace, ils devraient aussi faire l</w:t>
      </w:r>
      <w:r w:rsidR="00715ACD">
        <w:t>’</w:t>
      </w:r>
      <w:r>
        <w:t>objet d</w:t>
      </w:r>
      <w:r w:rsidR="00715ACD">
        <w:t>’</w:t>
      </w:r>
      <w:r>
        <w:t xml:space="preserve">un audit extérieur et tenir une comptabilité ; et </w:t>
      </w:r>
    </w:p>
    <w:p w14:paraId="026FBE21" w14:textId="1E63F160" w:rsidR="00B9780C" w:rsidRPr="002E65D8" w:rsidRDefault="00EA620E" w:rsidP="00EA620E">
      <w:pPr>
        <w:pStyle w:val="PBBulletList"/>
      </w:pPr>
      <w:r>
        <w:t>les États d</w:t>
      </w:r>
      <w:r w:rsidR="00715ACD">
        <w:t>’</w:t>
      </w:r>
      <w:r>
        <w:t>accueil devraient être encouragés à apporter leur soutien aux efforts fournis par les États d</w:t>
      </w:r>
      <w:r w:rsidR="00715ACD">
        <w:t>’</w:t>
      </w:r>
      <w:r>
        <w:t>origine afin d</w:t>
      </w:r>
      <w:r w:rsidR="00715ACD">
        <w:t>’</w:t>
      </w:r>
      <w:r>
        <w:t>améliorer les services nationaux de protection des enfants, y compris dans le cadre des programmes de prévention de l</w:t>
      </w:r>
      <w:r w:rsidR="00715ACD">
        <w:t>’</w:t>
      </w:r>
      <w:r>
        <w:t>abandon. Ce soutien ne devrait toutefois pas être donné ou demandé d</w:t>
      </w:r>
      <w:r w:rsidR="00715ACD">
        <w:t>’</w:t>
      </w:r>
      <w:r>
        <w:t>une manière qui compromette l</w:t>
      </w:r>
      <w:r w:rsidR="00715ACD">
        <w:t>’</w:t>
      </w:r>
      <w:r>
        <w:t>intégrité de la procédure d</w:t>
      </w:r>
      <w:r w:rsidR="00715ACD">
        <w:t>’</w:t>
      </w:r>
      <w:r>
        <w:t xml:space="preserve">adoption internationale, ou qui créé une dépendance aux revenus </w:t>
      </w:r>
      <w:r w:rsidR="00E76920">
        <w:t>qui en découle</w:t>
      </w:r>
      <w:r w:rsidR="00B2402E">
        <w:t>nt</w:t>
      </w:r>
      <w:r>
        <w:t>.</w:t>
      </w:r>
    </w:p>
    <w:p w14:paraId="13DDA878" w14:textId="53756F03" w:rsidR="00B9780C" w:rsidRPr="002E65D8" w:rsidRDefault="00720FA4" w:rsidP="00EA620E">
      <w:pPr>
        <w:pStyle w:val="PBParagraph"/>
      </w:pPr>
      <w:r>
        <w:t xml:space="preserve">En 2005, la </w:t>
      </w:r>
      <w:r w:rsidR="00283B34">
        <w:t>CS</w:t>
      </w:r>
      <w:r>
        <w:t xml:space="preserve"> a réaffirmé les quatre premières recommandations ci-dessus. Elle a également recommandé au BP, en consultation avec les États contractants et les ONG, de rassembler des informations sur des questions comprenant notamment les aspects financiers de l</w:t>
      </w:r>
      <w:r w:rsidR="00715ACD">
        <w:t>’</w:t>
      </w:r>
      <w:r>
        <w:t>adoption internationale en vue de l</w:t>
      </w:r>
      <w:r w:rsidR="00715ACD">
        <w:t>’</w:t>
      </w:r>
      <w:r>
        <w:t>éventuelle rédaction de nouvelles parties du Guide de bonnes pratiques</w:t>
      </w:r>
      <w:bookmarkStart w:id="36" w:name="_Ref142552766"/>
      <w:r w:rsidR="0054697B" w:rsidRPr="002E65D8">
        <w:rPr>
          <w:rStyle w:val="FootnoteReference"/>
        </w:rPr>
        <w:footnoteReference w:id="34"/>
      </w:r>
      <w:bookmarkEnd w:id="36"/>
      <w:r w:rsidR="003468CB">
        <w:t>.</w:t>
      </w:r>
    </w:p>
    <w:p w14:paraId="3994CB14" w14:textId="264AE3A9" w:rsidR="00B9780C" w:rsidRPr="002E65D8" w:rsidRDefault="00720FA4" w:rsidP="00EA620E">
      <w:pPr>
        <w:pStyle w:val="PBParagraph"/>
      </w:pPr>
      <w:r>
        <w:t xml:space="preserve">Lors de la réunion de la </w:t>
      </w:r>
      <w:r w:rsidR="00283B34">
        <w:t>CS</w:t>
      </w:r>
      <w:r>
        <w:t xml:space="preserve"> de 2010, une journée a été consacrée à l</w:t>
      </w:r>
      <w:r w:rsidR="00715ACD">
        <w:t>’</w:t>
      </w:r>
      <w:r>
        <w:t>enlèvement, à la vente, à la traite et à l</w:t>
      </w:r>
      <w:r w:rsidR="00715ACD">
        <w:t>’</w:t>
      </w:r>
      <w:r>
        <w:t>obtention illicite d</w:t>
      </w:r>
      <w:r w:rsidR="00715ACD">
        <w:t>’</w:t>
      </w:r>
      <w:r>
        <w:t>enfants aux fins de l</w:t>
      </w:r>
      <w:r w:rsidR="00715ACD">
        <w:t>’</w:t>
      </w:r>
      <w:r>
        <w:t xml:space="preserve">adoption internationale. Il a été reconnu que des frais et honoraires réglementés, raisonnables et transparents sont des caractéristiques </w:t>
      </w:r>
      <w:r>
        <w:lastRenderedPageBreak/>
        <w:t>essentielles d</w:t>
      </w:r>
      <w:r w:rsidR="00715ACD">
        <w:t>’</w:t>
      </w:r>
      <w:r>
        <w:t>un système correctement régulé et aideront à prévenir l</w:t>
      </w:r>
      <w:r w:rsidR="00715ACD">
        <w:t>’</w:t>
      </w:r>
      <w:r>
        <w:t>enlèvement, la vente, la traite et l</w:t>
      </w:r>
      <w:r w:rsidR="00715ACD">
        <w:t>’</w:t>
      </w:r>
      <w:r>
        <w:t>obtention d</w:t>
      </w:r>
      <w:r w:rsidR="00715ACD">
        <w:t>’</w:t>
      </w:r>
      <w:r>
        <w:t>enfants aux fins de l</w:t>
      </w:r>
      <w:r w:rsidR="00715ACD">
        <w:t>’</w:t>
      </w:r>
      <w:r>
        <w:t>adoption internationale</w:t>
      </w:r>
      <w:bookmarkStart w:id="37" w:name="_Ref142552784"/>
      <w:r w:rsidR="0054697B" w:rsidRPr="002E65D8">
        <w:rPr>
          <w:rStyle w:val="FootnoteReference"/>
        </w:rPr>
        <w:footnoteReference w:id="35"/>
      </w:r>
      <w:bookmarkEnd w:id="37"/>
      <w:r w:rsidR="003468CB">
        <w:t>.</w:t>
      </w:r>
    </w:p>
    <w:p w14:paraId="1C3F93B0" w14:textId="603D15C4" w:rsidR="00B9780C" w:rsidRPr="002E65D8" w:rsidRDefault="00720FA4" w:rsidP="00EA620E">
      <w:pPr>
        <w:pStyle w:val="PBParagraph"/>
      </w:pPr>
      <w:r>
        <w:t xml:space="preserve">Afin de contribuer à des frais réglementés, raisonnables et transparents, la </w:t>
      </w:r>
      <w:r w:rsidR="00283B34">
        <w:t>CS</w:t>
      </w:r>
      <w:r>
        <w:t xml:space="preserve"> a recommandé au BP d</w:t>
      </w:r>
      <w:r w:rsidR="00715ACD">
        <w:t>’</w:t>
      </w:r>
      <w:r>
        <w:t>étudier la possibilité de publier sur son site web des tableaux indiquant, pour chaque État contractant, les dépenses associées à l</w:t>
      </w:r>
      <w:r w:rsidR="00715ACD">
        <w:t>’</w:t>
      </w:r>
      <w:r>
        <w:t>adoption internationale et les frais à la charge des FPA</w:t>
      </w:r>
      <w:r w:rsidR="0054697B" w:rsidRPr="002E65D8">
        <w:rPr>
          <w:rStyle w:val="FootnoteReference"/>
        </w:rPr>
        <w:footnoteReference w:id="36"/>
      </w:r>
      <w:r>
        <w:t xml:space="preserve">. </w:t>
      </w:r>
    </w:p>
    <w:p w14:paraId="4E117D1C" w14:textId="00553157" w:rsidR="00B9780C" w:rsidRPr="002E65D8" w:rsidRDefault="00720FA4" w:rsidP="00EA620E">
      <w:pPr>
        <w:pStyle w:val="PBParagraph"/>
      </w:pPr>
      <w:r>
        <w:t xml:space="preserve">La </w:t>
      </w:r>
      <w:r w:rsidR="00283B34">
        <w:t>CS</w:t>
      </w:r>
      <w:r>
        <w:t xml:space="preserve"> de 2010 a adopté un point de vue plus restrictif qu</w:t>
      </w:r>
      <w:r w:rsidR="00715ACD">
        <w:t>’</w:t>
      </w:r>
      <w:r>
        <w:t>en 2000 sur la question des contributions, des dons et de l</w:t>
      </w:r>
      <w:r w:rsidR="00715ACD">
        <w:t>’</w:t>
      </w:r>
      <w:r>
        <w:t>aide au développement visant à soutenir les efforts des États d</w:t>
      </w:r>
      <w:r w:rsidR="00715ACD">
        <w:t>’</w:t>
      </w:r>
      <w:r>
        <w:t xml:space="preserve">origine pour améliorer les services nationaux de protection des enfants. Elle a </w:t>
      </w:r>
      <w:r w:rsidR="00BF5D99">
        <w:t>insisté sur</w:t>
      </w:r>
      <w:r>
        <w:t xml:space="preserve"> la nécessité d</w:t>
      </w:r>
      <w:r w:rsidR="00715ACD">
        <w:t>’</w:t>
      </w:r>
      <w:r>
        <w:t>opérer une distinction claire et systématique entre l</w:t>
      </w:r>
      <w:r w:rsidR="00715ACD">
        <w:t>’</w:t>
      </w:r>
      <w:r>
        <w:t>adoption internationale, d</w:t>
      </w:r>
      <w:r w:rsidR="00715ACD">
        <w:t>’</w:t>
      </w:r>
      <w:r>
        <w:t>une part, et les contributions, les dons et l</w:t>
      </w:r>
      <w:r w:rsidR="00715ACD">
        <w:t>’</w:t>
      </w:r>
      <w:r>
        <w:t>aide au développement, d</w:t>
      </w:r>
      <w:r w:rsidR="00715ACD">
        <w:t>’</w:t>
      </w:r>
      <w:r>
        <w:t>autre part</w:t>
      </w:r>
      <w:r w:rsidR="0054697B" w:rsidRPr="002E65D8">
        <w:rPr>
          <w:rStyle w:val="FootnoteReference"/>
        </w:rPr>
        <w:footnoteReference w:id="37"/>
      </w:r>
      <w:r>
        <w:t>.</w:t>
      </w:r>
    </w:p>
    <w:p w14:paraId="4E05DC92" w14:textId="534F61E2" w:rsidR="00720FA4" w:rsidRPr="002E65D8" w:rsidRDefault="00720FA4" w:rsidP="00720FA4">
      <w:pPr>
        <w:pStyle w:val="PBParagraph"/>
      </w:pPr>
      <w:r>
        <w:t xml:space="preserve">Ces trois réunions de la </w:t>
      </w:r>
      <w:r w:rsidR="00283B34">
        <w:t>CS</w:t>
      </w:r>
      <w:r>
        <w:t xml:space="preserve"> ont recommandé que, dans leurs relations avec des États non contractants, les États contractants appliquent autant que possible les garanties et normes de la Convention. En 2010, il a, à cet égard, précisément été fait mention des exigences relatives à la prévention des gains matériels indus</w:t>
      </w:r>
      <w:r w:rsidR="0054697B" w:rsidRPr="002E65D8">
        <w:rPr>
          <w:rStyle w:val="FootnoteReference"/>
        </w:rPr>
        <w:footnoteReference w:id="38"/>
      </w:r>
      <w:r>
        <w:t>.</w:t>
      </w:r>
    </w:p>
    <w:p w14:paraId="3A0748CF" w14:textId="21FB15BB" w:rsidR="00720FA4" w:rsidRPr="002E65D8" w:rsidRDefault="00720FA4" w:rsidP="00720FA4">
      <w:pPr>
        <w:pStyle w:val="PBParagraph"/>
      </w:pPr>
      <w:r>
        <w:t xml:space="preserve">En 2015, la </w:t>
      </w:r>
      <w:r w:rsidR="00283B34">
        <w:t>CS</w:t>
      </w:r>
      <w:r>
        <w:t xml:space="preserve"> s</w:t>
      </w:r>
      <w:r w:rsidR="00715ACD">
        <w:t>’</w:t>
      </w:r>
      <w:r>
        <w:t xml:space="preserve">est félicitée des outils conçus par le Groupe de travail et a enjoint aux États contractants de remplir les </w:t>
      </w:r>
      <w:r w:rsidR="0047369A">
        <w:t>Tableaux sur les coûts </w:t>
      </w:r>
      <w:r>
        <w:t>aux fins de publication sur le site web de la HCCH.</w:t>
      </w:r>
    </w:p>
    <w:p w14:paraId="7D19DCFA" w14:textId="387D7B87" w:rsidR="00B0016C" w:rsidRPr="002E65D8" w:rsidRDefault="2BB4BC79" w:rsidP="00720FA4">
      <w:pPr>
        <w:pStyle w:val="PBParagraph"/>
      </w:pPr>
      <w:r>
        <w:t xml:space="preserve">En 2022, la </w:t>
      </w:r>
      <w:r w:rsidR="00283B34">
        <w:t>CS</w:t>
      </w:r>
      <w:r>
        <w:t xml:space="preserve"> a consacré plusieurs jours aux discussions relatives aux pratiques illicites, y compris dans le domaine financier. Elle a « réit</w:t>
      </w:r>
      <w:r w:rsidR="00CA0880">
        <w:t>[</w:t>
      </w:r>
      <w:r>
        <w:t>éré] l</w:t>
      </w:r>
      <w:r w:rsidR="00715ACD">
        <w:t>’</w:t>
      </w:r>
      <w:r>
        <w:t>importance d</w:t>
      </w:r>
      <w:r w:rsidR="00715ACD">
        <w:t>’</w:t>
      </w:r>
      <w:r>
        <w:t>empêcher les gains matériels indus et de remédier à ce problème, dans la mesure où les aspects financiers sont l</w:t>
      </w:r>
      <w:r w:rsidR="00715ACD">
        <w:t>’</w:t>
      </w:r>
      <w:r>
        <w:t>une des principales sources de pratiques illicites en matière d</w:t>
      </w:r>
      <w:r w:rsidR="00715ACD">
        <w:t>’</w:t>
      </w:r>
      <w:r>
        <w:t>adoption internationale »</w:t>
      </w:r>
      <w:r w:rsidR="007A3AB7" w:rsidRPr="002E65D8">
        <w:rPr>
          <w:rStyle w:val="FootnoteReference"/>
        </w:rPr>
        <w:footnoteReference w:id="39"/>
      </w:r>
      <w:r>
        <w:t xml:space="preserve"> et qu</w:t>
      </w:r>
      <w:r w:rsidR="00715ACD">
        <w:t>’</w:t>
      </w:r>
      <w:r>
        <w:t>« une distinction claire devrait être opérée entre, d</w:t>
      </w:r>
      <w:r w:rsidR="00715ACD">
        <w:t>’</w:t>
      </w:r>
      <w:r>
        <w:t>une part, les coûts et les frais éventuels de la procédure d</w:t>
      </w:r>
      <w:r w:rsidR="00715ACD">
        <w:t>’</w:t>
      </w:r>
      <w:r>
        <w:t>adoption et, d</w:t>
      </w:r>
      <w:r w:rsidR="00715ACD">
        <w:t>’</w:t>
      </w:r>
      <w:r>
        <w:t>autre part, les contributions, les dons et les projets de coopération »</w:t>
      </w:r>
      <w:r w:rsidR="00055A02" w:rsidRPr="002E65D8">
        <w:rPr>
          <w:rStyle w:val="FootnoteReference"/>
        </w:rPr>
        <w:footnoteReference w:id="40"/>
      </w:r>
      <w:r>
        <w:t>. À l</w:t>
      </w:r>
      <w:r w:rsidR="00715ACD">
        <w:t>’</w:t>
      </w:r>
      <w:r>
        <w:t>occasion de cette réunion, les contributions, dons et projets de coopération ont fait l</w:t>
      </w:r>
      <w:r w:rsidR="00715ACD">
        <w:t>’</w:t>
      </w:r>
      <w:r>
        <w:t>objet de longues discussions, précisément compte tenu du « risque élevé d</w:t>
      </w:r>
      <w:r w:rsidR="00715ACD">
        <w:t>’</w:t>
      </w:r>
      <w:r>
        <w:t>influencer la procédure d</w:t>
      </w:r>
      <w:r w:rsidR="00715ACD">
        <w:t>’</w:t>
      </w:r>
      <w:r>
        <w:t>adoption »</w:t>
      </w:r>
      <w:r w:rsidR="002D7AD0" w:rsidRPr="002E65D8">
        <w:rPr>
          <w:rStyle w:val="FootnoteReference"/>
        </w:rPr>
        <w:footnoteReference w:id="41"/>
      </w:r>
      <w:r>
        <w:t>. « La plupart des délégations soutiennent fermement l</w:t>
      </w:r>
      <w:r w:rsidR="00715ACD">
        <w:t>’</w:t>
      </w:r>
      <w:r>
        <w:t>idée de s</w:t>
      </w:r>
      <w:r w:rsidR="00715ACD">
        <w:t>’</w:t>
      </w:r>
      <w:r>
        <w:t xml:space="preserve">assurer que seuls les frais et dépenses </w:t>
      </w:r>
      <w:r w:rsidR="00B777EE">
        <w:t>[</w:t>
      </w:r>
      <w:r>
        <w:t>s</w:t>
      </w:r>
      <w:r w:rsidR="00B777EE">
        <w:t>o</w:t>
      </w:r>
      <w:r>
        <w:t>nt</w:t>
      </w:r>
      <w:r w:rsidR="00B777EE">
        <w:t>]</w:t>
      </w:r>
      <w:r>
        <w:t xml:space="preserve"> demandés ou payés, conformément à l</w:t>
      </w:r>
      <w:r w:rsidR="00715ACD">
        <w:t>’</w:t>
      </w:r>
      <w:r>
        <w:t>article 32(2) de la Convention [...] insist[ant] sur le fait que les États devraient s</w:t>
      </w:r>
      <w:r w:rsidR="00715ACD">
        <w:t>’</w:t>
      </w:r>
      <w:r>
        <w:t>efforcer de se rapprocher de cette logique »</w:t>
      </w:r>
      <w:r w:rsidR="002E16FD" w:rsidRPr="002E65D8">
        <w:rPr>
          <w:rStyle w:val="FootnoteReference"/>
        </w:rPr>
        <w:footnoteReference w:id="42"/>
      </w:r>
      <w:r>
        <w:t>. Toutefois,</w:t>
      </w:r>
      <w:r w:rsidR="00C55323">
        <w:t xml:space="preserve"> d</w:t>
      </w:r>
      <w:r w:rsidR="00715ACD">
        <w:t>’</w:t>
      </w:r>
      <w:r w:rsidR="00C55323">
        <w:t>autres</w:t>
      </w:r>
      <w:r>
        <w:t xml:space="preserve"> « délégations sont d</w:t>
      </w:r>
      <w:r w:rsidR="00715ACD">
        <w:t>’</w:t>
      </w:r>
      <w:r>
        <w:t>avis que le fait de fixer et de respecter des garanties solides [et complètes] concernant les contributions, les dons et les projets de coopération est une autre manière de veiller à empêcher toute influence indue dans la procédure d</w:t>
      </w:r>
      <w:r w:rsidR="00715ACD">
        <w:t>’</w:t>
      </w:r>
      <w:r>
        <w:t>adoption »</w:t>
      </w:r>
      <w:r w:rsidR="00BB5492" w:rsidRPr="002E65D8">
        <w:rPr>
          <w:rStyle w:val="FootnoteReference"/>
        </w:rPr>
        <w:footnoteReference w:id="43"/>
      </w:r>
      <w:r>
        <w:t>. Le chapitre </w:t>
      </w:r>
      <w:r w:rsidR="00CE2434" w:rsidRPr="002E65D8">
        <w:fldChar w:fldCharType="begin"/>
      </w:r>
      <w:r w:rsidR="00CE2434" w:rsidRPr="002E65D8">
        <w:instrText xml:space="preserve"> REF _Ref228436428 \r \h </w:instrText>
      </w:r>
      <w:r w:rsidR="002E65D8">
        <w:instrText xml:space="preserve"> \* MERGEFORMAT </w:instrText>
      </w:r>
      <w:r w:rsidR="00CE2434" w:rsidRPr="002E65D8">
        <w:fldChar w:fldCharType="separate"/>
      </w:r>
      <w:r w:rsidR="00E6549D">
        <w:t>7</w:t>
      </w:r>
      <w:r w:rsidR="00CE2434" w:rsidRPr="002E65D8">
        <w:fldChar w:fldCharType="end"/>
      </w:r>
      <w:r>
        <w:t xml:space="preserve"> ci-après rend compte, dans le détail, de ces discussions. Sur le fondement de celles</w:t>
      </w:r>
      <w:r w:rsidR="00283B34">
        <w:noBreakHyphen/>
      </w:r>
      <w:r>
        <w:t xml:space="preserve">ci, la </w:t>
      </w:r>
      <w:r w:rsidR="00283B34">
        <w:t xml:space="preserve">CS </w:t>
      </w:r>
      <w:r>
        <w:t>a recommandé que le CAGP créé un nouveau Groupe de travail charg</w:t>
      </w:r>
      <w:r w:rsidR="003E07BC">
        <w:t>é</w:t>
      </w:r>
      <w:r>
        <w:t xml:space="preserve"> de poursuivre les travaux dans ce domaine, d</w:t>
      </w:r>
      <w:r w:rsidR="00715ACD">
        <w:t>’</w:t>
      </w:r>
      <w:r>
        <w:t xml:space="preserve">actualiser la Note et de se pencher sur les diverses perspectives </w:t>
      </w:r>
      <w:r w:rsidR="008D4B07">
        <w:t xml:space="preserve">quant à la manière </w:t>
      </w:r>
      <w:r>
        <w:t>d</w:t>
      </w:r>
      <w:r w:rsidR="00715ACD">
        <w:t>’</w:t>
      </w:r>
      <w:r>
        <w:t xml:space="preserve">éliminer ce risque. </w:t>
      </w:r>
    </w:p>
    <w:p w14:paraId="2F72AA8D" w14:textId="40F8C6A8" w:rsidR="00B02796" w:rsidRPr="002E65D8" w:rsidDel="00B0016C" w:rsidRDefault="009736B0" w:rsidP="00720FA4">
      <w:pPr>
        <w:pStyle w:val="PBParagraph"/>
      </w:pPr>
      <w:r>
        <w:t>Le Groupe de travail tient également à insister sur le fait qu</w:t>
      </w:r>
      <w:r w:rsidR="00715ACD">
        <w:t>’</w:t>
      </w:r>
      <w:r>
        <w:t>il importe d</w:t>
      </w:r>
      <w:r w:rsidR="00715ACD">
        <w:t>’</w:t>
      </w:r>
      <w:r>
        <w:t xml:space="preserve">aborder régulièrement ce sujet lors des réunions de la </w:t>
      </w:r>
      <w:r w:rsidR="00283B34">
        <w:t>CS</w:t>
      </w:r>
      <w:r>
        <w:t>.</w:t>
      </w:r>
    </w:p>
    <w:p w14:paraId="7ECD38AC" w14:textId="117EC713" w:rsidR="009F5A35" w:rsidRPr="002E65D8" w:rsidRDefault="009F5A35" w:rsidP="004047D5">
      <w:pPr>
        <w:pStyle w:val="Heading2"/>
      </w:pPr>
      <w:bookmarkStart w:id="38" w:name="_Toc236061645"/>
      <w:r>
        <w:t>Publications de la HCCH</w:t>
      </w:r>
      <w:bookmarkEnd w:id="38"/>
    </w:p>
    <w:p w14:paraId="16EA93C2" w14:textId="22E9E1FE" w:rsidR="009E65D5" w:rsidRPr="002E65D8" w:rsidRDefault="00720FA4" w:rsidP="00720FA4">
      <w:pPr>
        <w:pStyle w:val="PBParagraph"/>
      </w:pPr>
      <w:r>
        <w:t xml:space="preserve">La </w:t>
      </w:r>
      <w:r w:rsidR="00250381">
        <w:t xml:space="preserve">Boîte </w:t>
      </w:r>
      <w:r>
        <w:t>à outils sur les pratiques illicites</w:t>
      </w:r>
      <w:r w:rsidR="00744CD7" w:rsidRPr="002E65D8">
        <w:rPr>
          <w:rStyle w:val="FootnoteReference"/>
        </w:rPr>
        <w:footnoteReference w:id="44"/>
      </w:r>
      <w:r>
        <w:t xml:space="preserve"> contient également des informations sur les aspects financiers, en particulier la Fiche de synthèse No 3 consacrée aux « Gains matériels indus ». </w:t>
      </w:r>
    </w:p>
    <w:p w14:paraId="10A392E5" w14:textId="5B408C9D" w:rsidR="00B0016C" w:rsidRPr="002E65D8" w:rsidRDefault="00720FA4" w:rsidP="00720FA4">
      <w:pPr>
        <w:pStyle w:val="PBParagraph"/>
      </w:pPr>
      <w:r>
        <w:lastRenderedPageBreak/>
        <w:t xml:space="preserve">Le </w:t>
      </w:r>
      <w:r>
        <w:rPr>
          <w:i/>
          <w:iCs/>
        </w:rPr>
        <w:t>Guide de bonnes pratiques No 1 sur la mise en œuvre et le fonctionnement de la Convention Adoption de 1993</w:t>
      </w:r>
      <w:r>
        <w:t xml:space="preserve"> énonce des principes directeurs concernant les coûts, les contributions et les dons liés aux adoptions internationales. Le </w:t>
      </w:r>
      <w:r>
        <w:rPr>
          <w:i/>
          <w:iCs/>
        </w:rPr>
        <w:t>Guide de bonnes pratiques No 2 sur l</w:t>
      </w:r>
      <w:r w:rsidR="00715ACD">
        <w:rPr>
          <w:i/>
          <w:iCs/>
        </w:rPr>
        <w:t>’</w:t>
      </w:r>
      <w:r>
        <w:rPr>
          <w:i/>
          <w:iCs/>
        </w:rPr>
        <w:t>agrément et les organismes agréés en matière d</w:t>
      </w:r>
      <w:r w:rsidR="00715ACD">
        <w:rPr>
          <w:i/>
          <w:iCs/>
        </w:rPr>
        <w:t>’</w:t>
      </w:r>
      <w:r>
        <w:rPr>
          <w:i/>
          <w:iCs/>
        </w:rPr>
        <w:t>adoption</w:t>
      </w:r>
      <w:r>
        <w:t xml:space="preserve"> complète l</w:t>
      </w:r>
      <w:r w:rsidR="00715ACD">
        <w:t>’</w:t>
      </w:r>
      <w:r>
        <w:t>analyse des bonnes pratiques dans ces domaines en s</w:t>
      </w:r>
      <w:r w:rsidR="00715ACD">
        <w:t>’</w:t>
      </w:r>
      <w:r>
        <w:t>attachant plus particulièrement aux normes applicables aux OAA</w:t>
      </w:r>
      <w:r w:rsidR="00B0016C" w:rsidRPr="002E65D8">
        <w:rPr>
          <w:rStyle w:val="FootnoteReference"/>
        </w:rPr>
        <w:footnoteReference w:id="45"/>
      </w:r>
      <w:r>
        <w:t>. Les parties pertinentes de ces deux Guides sont mentionnées dans cette Note, le cas échéant.</w:t>
      </w:r>
    </w:p>
    <w:p w14:paraId="14642744" w14:textId="018F8147" w:rsidR="00886F84" w:rsidRPr="002E65D8" w:rsidRDefault="00886F84" w:rsidP="00720FA4">
      <w:pPr>
        <w:pStyle w:val="PBParagraph"/>
      </w:pPr>
      <w:r>
        <w:t>Pour une liste complète de toutes les publications de la HCCH relatives aux aspects financiers de l</w:t>
      </w:r>
      <w:r w:rsidR="00715ACD">
        <w:t>’</w:t>
      </w:r>
      <w:r>
        <w:t>adoption internationale, veuillez consulter l</w:t>
      </w:r>
      <w:r w:rsidR="00715ACD">
        <w:t>’</w:t>
      </w:r>
      <w:r>
        <w:t>annexe à la présente Note. Les États sont encouragés à utiliser ces différents outils pour toute question liée aux aspects financiers de l</w:t>
      </w:r>
      <w:r w:rsidR="00715ACD">
        <w:t>’</w:t>
      </w:r>
      <w:r>
        <w:t>adoption internationale.</w:t>
      </w:r>
    </w:p>
    <w:p w14:paraId="71EAD029" w14:textId="6FA5C4C0" w:rsidR="00B9780C" w:rsidRPr="002E65D8" w:rsidRDefault="00B9780C" w:rsidP="004047D5">
      <w:pPr>
        <w:pStyle w:val="Heading2"/>
      </w:pPr>
      <w:bookmarkStart w:id="39" w:name="_Toc236061646"/>
      <w:r>
        <w:t xml:space="preserve">Autres normes et </w:t>
      </w:r>
      <w:r w:rsidR="0072341A">
        <w:t xml:space="preserve">lignes </w:t>
      </w:r>
      <w:r>
        <w:t>directrices internationales</w:t>
      </w:r>
      <w:bookmarkEnd w:id="39"/>
      <w:r>
        <w:t xml:space="preserve"> </w:t>
      </w:r>
    </w:p>
    <w:p w14:paraId="5840B6F8" w14:textId="37290520" w:rsidR="00B9780C" w:rsidRPr="002E65D8" w:rsidRDefault="00720FA4" w:rsidP="00EA620E">
      <w:pPr>
        <w:pStyle w:val="PBParagraph"/>
      </w:pPr>
      <w:r>
        <w:t xml:space="preserve">Lors de la réunion de la </w:t>
      </w:r>
      <w:r w:rsidR="00283B34">
        <w:t>CS</w:t>
      </w:r>
      <w:r>
        <w:t xml:space="preserve"> de 2005, EurAdopt et le </w:t>
      </w:r>
      <w:r>
        <w:rPr>
          <w:i/>
          <w:iCs/>
        </w:rPr>
        <w:t>Nordic Adoption Council</w:t>
      </w:r>
      <w:r>
        <w:t xml:space="preserve"> ont présenté un document intitulé </w:t>
      </w:r>
      <w:r>
        <w:rPr>
          <w:i/>
          <w:iCs/>
        </w:rPr>
        <w:t>La bonne pratique en ce qui concerne les aspects financiers de l</w:t>
      </w:r>
      <w:r w:rsidR="00715ACD">
        <w:rPr>
          <w:i/>
          <w:iCs/>
        </w:rPr>
        <w:t>’</w:t>
      </w:r>
      <w:r>
        <w:rPr>
          <w:i/>
          <w:iCs/>
        </w:rPr>
        <w:t>adoption internationale</w:t>
      </w:r>
      <w:bookmarkStart w:id="40" w:name="_Ref174714396"/>
      <w:r w:rsidR="0054697B" w:rsidRPr="002E65D8">
        <w:rPr>
          <w:rStyle w:val="FootnoteReference"/>
        </w:rPr>
        <w:footnoteReference w:id="46"/>
      </w:r>
      <w:bookmarkEnd w:id="40"/>
      <w:r w:rsidR="003468CB">
        <w:t>.</w:t>
      </w:r>
      <w:r>
        <w:t xml:space="preserve"> L</w:t>
      </w:r>
      <w:r w:rsidR="00715ACD">
        <w:t>’</w:t>
      </w:r>
      <w:r w:rsidRPr="00424A8C">
        <w:rPr>
          <w:i/>
          <w:iCs/>
        </w:rPr>
        <w:t>African Child Policy Forum</w:t>
      </w:r>
      <w:r>
        <w:t xml:space="preserve"> a publié ses </w:t>
      </w:r>
      <w:r w:rsidR="00740162">
        <w:rPr>
          <w:i/>
          <w:iCs/>
        </w:rPr>
        <w:t xml:space="preserve">Boîtes </w:t>
      </w:r>
      <w:r>
        <w:rPr>
          <w:i/>
          <w:iCs/>
        </w:rPr>
        <w:t>directrices en matière d</w:t>
      </w:r>
      <w:r w:rsidR="00715ACD">
        <w:rPr>
          <w:i/>
          <w:iCs/>
        </w:rPr>
        <w:t>’</w:t>
      </w:r>
      <w:r>
        <w:rPr>
          <w:i/>
          <w:iCs/>
        </w:rPr>
        <w:t>adoption internationale en Afrique</w:t>
      </w:r>
      <w:bookmarkStart w:id="41" w:name="_Ref142552817"/>
      <w:r>
        <w:t xml:space="preserve"> (2012)</w:t>
      </w:r>
      <w:r w:rsidR="0054697B" w:rsidRPr="002E65D8">
        <w:rPr>
          <w:rStyle w:val="FootnoteReference"/>
        </w:rPr>
        <w:footnoteReference w:id="47"/>
      </w:r>
      <w:bookmarkEnd w:id="41"/>
      <w:r>
        <w:t>, qui abordent également les aspects financiers. Ces documents ont été des sources utiles pour rédiger la première version de cette Note en 2014.</w:t>
      </w:r>
    </w:p>
    <w:p w14:paraId="537A5A90" w14:textId="795F3683" w:rsidR="00DF0ED6" w:rsidRPr="002E65D8" w:rsidRDefault="00E86E16" w:rsidP="00472E2D">
      <w:pPr>
        <w:pStyle w:val="PBParagraph"/>
      </w:pPr>
      <w:r>
        <w:t>Cette version actualisée de la Note tient également compte de différents rapports sur l</w:t>
      </w:r>
      <w:r w:rsidR="00715ACD">
        <w:t>’</w:t>
      </w:r>
      <w:r>
        <w:t>adoption internationale produits par des États, des organisations internationales et des ONG, qui évoquent les aspects financiers de l</w:t>
      </w:r>
      <w:r w:rsidR="00715ACD">
        <w:t>’</w:t>
      </w:r>
      <w:r>
        <w:t>adoption internationale</w:t>
      </w:r>
      <w:bookmarkStart w:id="42" w:name="_Ref195694920"/>
      <w:r w:rsidR="00021C07" w:rsidRPr="002E65D8">
        <w:rPr>
          <w:rStyle w:val="FootnoteReference"/>
        </w:rPr>
        <w:footnoteReference w:id="48"/>
      </w:r>
      <w:bookmarkEnd w:id="42"/>
      <w:r w:rsidR="003468CB">
        <w:t>.</w:t>
      </w:r>
      <w:r>
        <w:t xml:space="preserve"> Vous trouverez une liste plus complète de ces rapports et documents dans le Répertoire. </w:t>
      </w:r>
    </w:p>
    <w:p w14:paraId="4F3FA9F0" w14:textId="77777777" w:rsidR="00720FA4" w:rsidRPr="002E65D8" w:rsidRDefault="00720FA4">
      <w:pPr>
        <w:spacing w:after="160" w:line="276" w:lineRule="auto"/>
        <w:rPr>
          <w:rFonts w:ascii="Raleway" w:eastAsiaTheme="majorEastAsia" w:hAnsi="Raleway" w:cstheme="majorBidi"/>
          <w:color w:val="03295A" w:themeColor="accent4"/>
          <w:sz w:val="19"/>
          <w:szCs w:val="19"/>
        </w:rPr>
      </w:pPr>
      <w:r>
        <w:br w:type="page"/>
      </w:r>
    </w:p>
    <w:p w14:paraId="45DD89C5" w14:textId="3DE07B3F" w:rsidR="00B9780C" w:rsidRPr="002E65D8" w:rsidRDefault="00B9780C" w:rsidP="00EA620E">
      <w:pPr>
        <w:pStyle w:val="Heading1"/>
        <w:rPr>
          <w:rFonts w:ascii="Raleway" w:hAnsi="Raleway"/>
          <w:b/>
        </w:rPr>
      </w:pPr>
      <w:bookmarkStart w:id="43" w:name="_Ref212145775"/>
      <w:bookmarkStart w:id="44" w:name="_Toc236061647"/>
      <w:r>
        <w:rPr>
          <w:rFonts w:ascii="Raleway" w:hAnsi="Raleway"/>
          <w:b/>
        </w:rPr>
        <w:lastRenderedPageBreak/>
        <w:t>LES VICTIMES DES ABUS FINANCIERS</w:t>
      </w:r>
      <w:bookmarkEnd w:id="43"/>
      <w:bookmarkEnd w:id="44"/>
    </w:p>
    <w:p w14:paraId="5EFB2228" w14:textId="3E08901F" w:rsidR="00B9780C" w:rsidRPr="002E65D8" w:rsidRDefault="00720FA4" w:rsidP="00EA620E">
      <w:pPr>
        <w:pStyle w:val="PBParagraph"/>
      </w:pPr>
      <w:r>
        <w:t>Les problèmes qui entourent les aspects financiers de l</w:t>
      </w:r>
      <w:r w:rsidR="00715ACD">
        <w:t>’</w:t>
      </w:r>
      <w:r>
        <w:t>adoption internationale affectent directement les enfants adoptables et les adoptés, les parents d</w:t>
      </w:r>
      <w:r w:rsidR="00715ACD">
        <w:t>’</w:t>
      </w:r>
      <w:r>
        <w:t>origines et les (futurs) parents adoptifs</w:t>
      </w:r>
      <w:bookmarkStart w:id="45" w:name="_Ref142552859"/>
      <w:r w:rsidR="008C65D5" w:rsidRPr="002E65D8">
        <w:rPr>
          <w:rStyle w:val="FootnoteReference"/>
        </w:rPr>
        <w:footnoteReference w:id="49"/>
      </w:r>
      <w:bookmarkEnd w:id="45"/>
      <w:r w:rsidR="00D651B8">
        <w:t>.</w:t>
      </w:r>
    </w:p>
    <w:p w14:paraId="183C81D0" w14:textId="57B171CE" w:rsidR="00B9780C" w:rsidRPr="002E65D8" w:rsidRDefault="00B9780C" w:rsidP="004047D5">
      <w:pPr>
        <w:pStyle w:val="Heading2"/>
        <w:numPr>
          <w:ilvl w:val="1"/>
          <w:numId w:val="2"/>
        </w:numPr>
      </w:pPr>
      <w:bookmarkStart w:id="46" w:name="_Toc236061648"/>
      <w:r>
        <w:t>Enfants adoptables et adoptés</w:t>
      </w:r>
      <w:bookmarkEnd w:id="46"/>
    </w:p>
    <w:p w14:paraId="644CCB8C" w14:textId="1A688EEF" w:rsidR="00B9780C" w:rsidRPr="002E65D8" w:rsidRDefault="00720FA4" w:rsidP="00091BAE">
      <w:pPr>
        <w:pStyle w:val="PBParagraph"/>
      </w:pPr>
      <w:r>
        <w:t>Les abus liés aux aspects financiers de l</w:t>
      </w:r>
      <w:r w:rsidR="00715ACD">
        <w:t>’</w:t>
      </w:r>
      <w:r>
        <w:t>adoption internationale portent avant tout atteinte à l</w:t>
      </w:r>
      <w:r w:rsidR="00715ACD">
        <w:t>’</w:t>
      </w:r>
      <w:r>
        <w:t>intérêt supérieur et aux droits des enfants adoptables et des adoptés. Les enfants risquent d</w:t>
      </w:r>
      <w:r w:rsidR="00715ACD">
        <w:t>’</w:t>
      </w:r>
      <w:r>
        <w:t>être placés aux fins de l</w:t>
      </w:r>
      <w:r w:rsidR="00715ACD">
        <w:t>’</w:t>
      </w:r>
      <w:r>
        <w:t>adoption internationale – ou retirés à leur famille à cette fin – eu égard à leur vulnérabilité générale face à la pauvreté, aux catastrophes</w:t>
      </w:r>
      <w:r w:rsidR="00856C98">
        <w:t xml:space="preserve"> naturelles</w:t>
      </w:r>
      <w:r>
        <w:t>, à la guerre (civile), aux conflits armés, à l</w:t>
      </w:r>
      <w:r w:rsidR="00715ACD">
        <w:t>’</w:t>
      </w:r>
      <w:r>
        <w:t>impuissance des systèmes juridiques et à l</w:t>
      </w:r>
      <w:r w:rsidR="00715ACD">
        <w:t>’</w:t>
      </w:r>
      <w:r>
        <w:t>absence d</w:t>
      </w:r>
      <w:r w:rsidR="00715ACD">
        <w:t>’</w:t>
      </w:r>
      <w:r>
        <w:t>infrastructures sociales, entre autres. Dans les cas où le principe de subsidiarité n</w:t>
      </w:r>
      <w:r w:rsidR="00715ACD">
        <w:t>’</w:t>
      </w:r>
      <w:r>
        <w:t>est pas dûment pris en considération, les enfants peuvent avoir été placés aux fins de l</w:t>
      </w:r>
      <w:r w:rsidR="00715ACD">
        <w:t>’</w:t>
      </w:r>
      <w:r>
        <w:t>adoption internationale alors qu</w:t>
      </w:r>
      <w:r w:rsidR="00715ACD">
        <w:t>’</w:t>
      </w:r>
      <w:r>
        <w:t>avec le soutien approprié, ils auraient pu rester avec leur famille d</w:t>
      </w:r>
      <w:r w:rsidR="00715ACD">
        <w:t>’</w:t>
      </w:r>
      <w:r>
        <w:t xml:space="preserve">origine. </w:t>
      </w:r>
    </w:p>
    <w:p w14:paraId="7129A288" w14:textId="6E6DD765" w:rsidR="00B9780C" w:rsidRPr="002E65D8" w:rsidRDefault="00720FA4">
      <w:pPr>
        <w:pStyle w:val="PBParagraph"/>
      </w:pPr>
      <w:r>
        <w:t>Des tendances passées ont montré que des enfants qui n</w:t>
      </w:r>
      <w:r w:rsidR="00715ACD">
        <w:t>’</w:t>
      </w:r>
      <w:r>
        <w:t>avaient pas forcément besoin d</w:t>
      </w:r>
      <w:r w:rsidR="00715ACD">
        <w:t>’</w:t>
      </w:r>
      <w:r>
        <w:t>une adoption internationale – des bébés en bonne santé qui pouvaient notamment être placés à l</w:t>
      </w:r>
      <w:r w:rsidR="00715ACD">
        <w:t>’</w:t>
      </w:r>
      <w:r>
        <w:t>échelle nationale – avaient néanmoins été adoptés à l</w:t>
      </w:r>
      <w:r w:rsidR="00715ACD">
        <w:t>’</w:t>
      </w:r>
      <w:r>
        <w:t>étranger. C</w:t>
      </w:r>
      <w:r w:rsidR="00856C98">
        <w:t>ela s</w:t>
      </w:r>
      <w:r w:rsidR="00715ACD">
        <w:t>’</w:t>
      </w:r>
      <w:r w:rsidR="00856C98">
        <w:t xml:space="preserve">explique </w:t>
      </w:r>
      <w:r>
        <w:t xml:space="preserve">souvent </w:t>
      </w:r>
      <w:r w:rsidR="00A17140">
        <w:t xml:space="preserve">parce </w:t>
      </w:r>
      <w:r>
        <w:t>qu</w:t>
      </w:r>
      <w:r w:rsidR="00715ACD">
        <w:t>’</w:t>
      </w:r>
      <w:r>
        <w:t xml:space="preserve">ils correspondent aux préférences de FPA étrangers, dont certains sont prêts à payer </w:t>
      </w:r>
      <w:r w:rsidR="00A17140">
        <w:t xml:space="preserve">plus </w:t>
      </w:r>
      <w:r>
        <w:t>pour être apparentés avec de tels enfants</w:t>
      </w:r>
      <w:r w:rsidR="008C65D5" w:rsidRPr="002E65D8">
        <w:rPr>
          <w:rStyle w:val="FootnoteReference"/>
        </w:rPr>
        <w:footnoteReference w:id="50"/>
      </w:r>
      <w:r>
        <w:t>. Il est clair que les incitations financières à l</w:t>
      </w:r>
      <w:r w:rsidR="00715ACD">
        <w:t>’</w:t>
      </w:r>
      <w:r>
        <w:t>adoption internationale peuvent conduire inutilement au placement des enfants en institution</w:t>
      </w:r>
      <w:bookmarkStart w:id="47" w:name="_Ref142552871"/>
      <w:r w:rsidR="008C65D5" w:rsidRPr="002E65D8">
        <w:rPr>
          <w:rStyle w:val="FootnoteReference"/>
        </w:rPr>
        <w:footnoteReference w:id="51"/>
      </w:r>
      <w:bookmarkEnd w:id="47"/>
      <w:r w:rsidR="00D651B8">
        <w:t>.</w:t>
      </w:r>
    </w:p>
    <w:p w14:paraId="5A8B0E89" w14:textId="77321F2D" w:rsidR="00AE2F85" w:rsidRPr="002E65D8" w:rsidRDefault="00720FA4" w:rsidP="00C2463D">
      <w:pPr>
        <w:pStyle w:val="PBParagraph"/>
      </w:pPr>
      <w:r>
        <w:t>Les personnes adoptées au moyen de procédures qui ne respectent pas la Convention peuvent perdre confiance dans le système d</w:t>
      </w:r>
      <w:r w:rsidR="00715ACD">
        <w:t>’</w:t>
      </w:r>
      <w:r>
        <w:t>adoption de manière générale. Elles peuvent également avoir des problèmes plus tard au cours de leur vie lorsqu</w:t>
      </w:r>
      <w:r w:rsidR="00715ACD">
        <w:t>’</w:t>
      </w:r>
      <w:r>
        <w:t>elles réalisent ou découvrent les circonstances de leur adoption. C</w:t>
      </w:r>
      <w:r w:rsidR="00715ACD">
        <w:t>’</w:t>
      </w:r>
      <w:r>
        <w:t>est particulièrement le cas s</w:t>
      </w:r>
      <w:r w:rsidR="00715ACD">
        <w:t>’</w:t>
      </w:r>
      <w:r>
        <w:t>il apparaît que toute personne impliquée dans leur adoption (par ex., Autorité centrale, organismes, avocats) connaissait leurs origines ou n</w:t>
      </w:r>
      <w:r w:rsidR="00715ACD">
        <w:t>’</w:t>
      </w:r>
      <w:r>
        <w:t xml:space="preserve">a pas fait tout ce qui était en </w:t>
      </w:r>
      <w:r w:rsidDel="006E7003">
        <w:t xml:space="preserve">son </w:t>
      </w:r>
      <w:r>
        <w:t>pouvoir pour les vérifier et pour veiller à ce que la procédure d</w:t>
      </w:r>
      <w:r w:rsidR="00715ACD">
        <w:t>’</w:t>
      </w:r>
      <w:r>
        <w:t>adoption soit légale et éthique. Si elles s</w:t>
      </w:r>
      <w:r w:rsidR="00715ACD">
        <w:t>’</w:t>
      </w:r>
      <w:r>
        <w:t>aperçoivent ou découvrent que leurs parents adoptifs avaient conscience du caractère illégal ou contraire à l</w:t>
      </w:r>
      <w:r w:rsidR="00715ACD">
        <w:t>’</w:t>
      </w:r>
      <w:r>
        <w:t>éthique de ces circonstances, cela peut susciter des souffrances supplémentaires. Les mauvaises pratiques peuvent également susciter, chez les adoptés dont l</w:t>
      </w:r>
      <w:r w:rsidR="00715ACD">
        <w:t>’</w:t>
      </w:r>
      <w:r>
        <w:t>adoption a été réalisée en application de la Convention et dans le respect de ses garanties, une remise en question des procédures utilisées dans l</w:t>
      </w:r>
      <w:r w:rsidR="00995980">
        <w:t>e cadre de leur propre adoption.</w:t>
      </w:r>
    </w:p>
    <w:p w14:paraId="5D8791C4" w14:textId="5D019EB1" w:rsidR="00B9780C" w:rsidRPr="002E65D8" w:rsidRDefault="00355CAC" w:rsidP="004047D5">
      <w:pPr>
        <w:pStyle w:val="Heading2"/>
        <w:numPr>
          <w:ilvl w:val="1"/>
          <w:numId w:val="2"/>
        </w:numPr>
      </w:pPr>
      <w:bookmarkStart w:id="48" w:name="_Toc236061649"/>
      <w:r>
        <w:t>Parents d</w:t>
      </w:r>
      <w:r w:rsidR="00715ACD">
        <w:t>’</w:t>
      </w:r>
      <w:r>
        <w:t>origine</w:t>
      </w:r>
      <w:bookmarkEnd w:id="48"/>
    </w:p>
    <w:p w14:paraId="34EFFE3F" w14:textId="5188BEEA" w:rsidR="00B9780C" w:rsidRPr="002E65D8" w:rsidRDefault="00720FA4" w:rsidP="00091BAE">
      <w:pPr>
        <w:pStyle w:val="PBParagraph"/>
      </w:pPr>
      <w:r>
        <w:t>Certains parents d</w:t>
      </w:r>
      <w:r w:rsidR="00715ACD">
        <w:t>’</w:t>
      </w:r>
      <w:r>
        <w:t>origine, en particulier les mères, sont victimes d</w:t>
      </w:r>
      <w:r w:rsidR="00715ACD">
        <w:t>’</w:t>
      </w:r>
      <w:r>
        <w:t>abus financiers et de mauvaises pratiques. Cela s</w:t>
      </w:r>
      <w:r w:rsidR="00715ACD">
        <w:t>’</w:t>
      </w:r>
      <w:r>
        <w:t>explique en partie par l</w:t>
      </w:r>
      <w:r w:rsidR="00715ACD">
        <w:t>’</w:t>
      </w:r>
      <w:r>
        <w:t>absence ou l</w:t>
      </w:r>
      <w:r w:rsidR="00715ACD">
        <w:t>’</w:t>
      </w:r>
      <w:r>
        <w:t>insuffisance de services de préservation et de réunification de la famille dans les États d</w:t>
      </w:r>
      <w:r w:rsidR="00715ACD">
        <w:t>’</w:t>
      </w:r>
      <w:r>
        <w:t>origine. Des familles d</w:t>
      </w:r>
      <w:r w:rsidR="00715ACD">
        <w:t>’</w:t>
      </w:r>
      <w:r>
        <w:t>origine peuvent ainsi être séparées de leurs enfants faute d</w:t>
      </w:r>
      <w:r w:rsidR="00715ACD">
        <w:t>’</w:t>
      </w:r>
      <w:r>
        <w:t xml:space="preserve">informations et de conseils appropriés, ou </w:t>
      </w:r>
      <w:r>
        <w:lastRenderedPageBreak/>
        <w:t>encore parce qu</w:t>
      </w:r>
      <w:r w:rsidR="00715ACD">
        <w:t>’</w:t>
      </w:r>
      <w:r>
        <w:t>il n</w:t>
      </w:r>
      <w:r w:rsidR="00715ACD">
        <w:t>’</w:t>
      </w:r>
      <w:r>
        <w:t xml:space="preserve">y a pas de services adéquats </w:t>
      </w:r>
      <w:r w:rsidR="00946311">
        <w:t>en faveur</w:t>
      </w:r>
      <w:r>
        <w:t xml:space="preserve"> de la préservation de la famille à long terme</w:t>
      </w:r>
      <w:r w:rsidR="003F47CE" w:rsidRPr="002E65D8">
        <w:rPr>
          <w:rStyle w:val="FootnoteReference"/>
        </w:rPr>
        <w:footnoteReference w:id="52"/>
      </w:r>
      <w:r>
        <w:t xml:space="preserve">. </w:t>
      </w:r>
    </w:p>
    <w:p w14:paraId="75F97BE5" w14:textId="17E993DD" w:rsidR="00B9780C" w:rsidRPr="002E65D8" w:rsidRDefault="00720FA4" w:rsidP="00091BAE">
      <w:pPr>
        <w:pStyle w:val="PBParagraph"/>
      </w:pPr>
      <w:r>
        <w:t>En outre, certaines familles d</w:t>
      </w:r>
      <w:r w:rsidR="00715ACD">
        <w:t>’</w:t>
      </w:r>
      <w:r>
        <w:t>origine (des mères isolées et des familles pauvres) sont incitées, par des paiements ou d</w:t>
      </w:r>
      <w:r w:rsidR="00715ACD">
        <w:t>’</w:t>
      </w:r>
      <w:r>
        <w:t>autres contreparties, à donner leur consentement à l</w:t>
      </w:r>
      <w:r w:rsidR="00715ACD">
        <w:t>’</w:t>
      </w:r>
      <w:r>
        <w:t>adoption ou même à concevoir ou porter des enfants en vue de l</w:t>
      </w:r>
      <w:r w:rsidR="00715ACD">
        <w:t>’</w:t>
      </w:r>
      <w:r>
        <w:t>adoption internationale</w:t>
      </w:r>
      <w:r w:rsidR="008C65D5" w:rsidRPr="002E65D8">
        <w:rPr>
          <w:rStyle w:val="FootnoteReference"/>
        </w:rPr>
        <w:footnoteReference w:id="53"/>
      </w:r>
      <w:r>
        <w:t>. Des familles d</w:t>
      </w:r>
      <w:r w:rsidR="00715ACD">
        <w:t>’</w:t>
      </w:r>
      <w:r>
        <w:t>origine en difficulté peuvent accepter, voire solliciter, dans certains cas, des paiements ou des contreparties pour pourvoir à leurs besoins immédiats. Ils n</w:t>
      </w:r>
      <w:r w:rsidR="00715ACD">
        <w:t>’</w:t>
      </w:r>
      <w:r>
        <w:t>ont souvent pas conscience des conséquences à long terme de cette décision et ne bénéficient pas de l</w:t>
      </w:r>
      <w:r w:rsidR="00715ACD">
        <w:t>’</w:t>
      </w:r>
      <w:r>
        <w:t xml:space="preserve">accompagnement approprié pour faire face aux effets </w:t>
      </w:r>
      <w:r w:rsidR="00D651B8">
        <w:t>psychologiques qui en résultent</w:t>
      </w:r>
      <w:r w:rsidR="00BB6B12" w:rsidRPr="002E65D8">
        <w:rPr>
          <w:rStyle w:val="FootnoteReference"/>
        </w:rPr>
        <w:footnoteReference w:id="54"/>
      </w:r>
      <w:r w:rsidR="00D651B8">
        <w:t>.</w:t>
      </w:r>
    </w:p>
    <w:p w14:paraId="7F12E531" w14:textId="2A9F1897" w:rsidR="00B9780C" w:rsidRPr="002E65D8" w:rsidRDefault="00720FA4" w:rsidP="00091BAE">
      <w:pPr>
        <w:pStyle w:val="PBParagraph"/>
      </w:pPr>
      <w:r>
        <w:t>Même après l</w:t>
      </w:r>
      <w:r w:rsidR="00715ACD">
        <w:t>’</w:t>
      </w:r>
      <w:r>
        <w:t>aboutissement d</w:t>
      </w:r>
      <w:r w:rsidR="00715ACD">
        <w:t>’</w:t>
      </w:r>
      <w:r>
        <w:t>une adoption, si les parents adoptifs et d</w:t>
      </w:r>
      <w:r w:rsidR="00715ACD">
        <w:t>’</w:t>
      </w:r>
      <w:r>
        <w:t>origine se rencontrent et que ces derniers font des dons – qu</w:t>
      </w:r>
      <w:r w:rsidR="00715ACD">
        <w:t>’</w:t>
      </w:r>
      <w:r>
        <w:t>ils soient en argent ou en nature – aux parents d</w:t>
      </w:r>
      <w:r w:rsidR="00715ACD">
        <w:t>’</w:t>
      </w:r>
      <w:r>
        <w:t>origine, ils doivent avoir conscience que cela peut créer des attentes. Cela pourrait inciter d</w:t>
      </w:r>
      <w:r w:rsidR="00715ACD">
        <w:t>’</w:t>
      </w:r>
      <w:r>
        <w:t>autres parents d</w:t>
      </w:r>
      <w:r w:rsidR="00715ACD">
        <w:t>’</w:t>
      </w:r>
      <w:r>
        <w:t>origine à envisager l</w:t>
      </w:r>
      <w:r w:rsidR="00715ACD">
        <w:t>’</w:t>
      </w:r>
      <w:r>
        <w:t>adoption dans l</w:t>
      </w:r>
      <w:r w:rsidR="00715ACD">
        <w:t>’</w:t>
      </w:r>
      <w:r>
        <w:t>espoir de recevoir une compensation similaire après l</w:t>
      </w:r>
      <w:r w:rsidR="00715ACD">
        <w:t>’</w:t>
      </w:r>
      <w:r>
        <w:t xml:space="preserve">adoption. </w:t>
      </w:r>
    </w:p>
    <w:p w14:paraId="12EF8350" w14:textId="36569CCC" w:rsidR="00B9780C" w:rsidRPr="002E65D8" w:rsidRDefault="00720FA4" w:rsidP="00091BAE">
      <w:pPr>
        <w:pStyle w:val="PBParagraph"/>
      </w:pPr>
      <w:bookmarkStart w:id="49" w:name="_Ref174367876"/>
      <w:r>
        <w:t>Les familles d</w:t>
      </w:r>
      <w:r w:rsidR="00715ACD">
        <w:t>’</w:t>
      </w:r>
      <w:r>
        <w:t>origine peuvent être également amenées à croire que l</w:t>
      </w:r>
      <w:r w:rsidR="00715ACD">
        <w:t>’</w:t>
      </w:r>
      <w:r>
        <w:t>enfant qu</w:t>
      </w:r>
      <w:r w:rsidR="00715ACD">
        <w:t>’</w:t>
      </w:r>
      <w:r>
        <w:t>elles confient pour être adopté reviendra lorsqu</w:t>
      </w:r>
      <w:r w:rsidR="00715ACD">
        <w:t>’</w:t>
      </w:r>
      <w:r>
        <w:t>il aura grandi et pourra même contribuer au revenu familial. Des familles d</w:t>
      </w:r>
      <w:r w:rsidR="00715ACD">
        <w:t>’</w:t>
      </w:r>
      <w:r>
        <w:t>origine désespérées vont jusqu</w:t>
      </w:r>
      <w:r w:rsidR="00715ACD">
        <w:t>’</w:t>
      </w:r>
      <w:r>
        <w:t>à payer un intermédiaire qui prétend emmener l</w:t>
      </w:r>
      <w:r w:rsidR="00715ACD">
        <w:t>’</w:t>
      </w:r>
      <w:r>
        <w:t>enfant dans un établissement scolaire en internat alors qu</w:t>
      </w:r>
      <w:r w:rsidR="00715ACD">
        <w:t>’</w:t>
      </w:r>
      <w:r>
        <w:t>il facilite une adoption internationale</w:t>
      </w:r>
      <w:bookmarkStart w:id="50" w:name="_Ref165642737"/>
      <w:r w:rsidR="008C65D5" w:rsidRPr="002E65D8">
        <w:rPr>
          <w:rStyle w:val="FootnoteReference"/>
        </w:rPr>
        <w:footnoteReference w:id="55"/>
      </w:r>
      <w:bookmarkEnd w:id="49"/>
      <w:bookmarkEnd w:id="50"/>
      <w:r w:rsidR="00D651B8">
        <w:t>.</w:t>
      </w:r>
    </w:p>
    <w:p w14:paraId="098D46F1" w14:textId="2FC49C40" w:rsidR="00B9780C" w:rsidRPr="002E65D8" w:rsidRDefault="00B9780C" w:rsidP="004047D5">
      <w:pPr>
        <w:pStyle w:val="Heading2"/>
        <w:numPr>
          <w:ilvl w:val="1"/>
          <w:numId w:val="2"/>
        </w:numPr>
      </w:pPr>
      <w:bookmarkStart w:id="51" w:name="_Toc236061650"/>
      <w:r>
        <w:t>FPA et parents adoptifs</w:t>
      </w:r>
      <w:bookmarkEnd w:id="51"/>
    </w:p>
    <w:p w14:paraId="43554B1A" w14:textId="74284460" w:rsidR="00B9780C" w:rsidRPr="002E65D8" w:rsidRDefault="00720FA4">
      <w:pPr>
        <w:pStyle w:val="PBParagraph"/>
      </w:pPr>
      <w:bookmarkStart w:id="52" w:name="_Ref174367925"/>
      <w:bookmarkStart w:id="53" w:name="_Ref202957870"/>
      <w:r>
        <w:t>Les (futurs) parents adoptifs assument la majorité des dépenses découlant de la procédure d</w:t>
      </w:r>
      <w:r w:rsidR="00715ACD">
        <w:t>’</w:t>
      </w:r>
      <w:r>
        <w:t>adoption internationale, du début de celle-ci jusqu</w:t>
      </w:r>
      <w:r w:rsidR="00715ACD">
        <w:t>’</w:t>
      </w:r>
      <w:r>
        <w:t>aux services post-adoption. C</w:t>
      </w:r>
      <w:r w:rsidR="00715ACD">
        <w:t>’</w:t>
      </w:r>
      <w:r>
        <w:t>est pourquoi</w:t>
      </w:r>
      <w:bookmarkEnd w:id="52"/>
      <w:r>
        <w:t xml:space="preserve"> ils peuvent aussi être victimes de l</w:t>
      </w:r>
      <w:r w:rsidR="00715ACD">
        <w:t>’</w:t>
      </w:r>
      <w:r>
        <w:t>absence de réglementation des aspects financiers de l</w:t>
      </w:r>
      <w:r w:rsidR="00715ACD">
        <w:t>’</w:t>
      </w:r>
      <w:r>
        <w:t>adoption internationale ou de sa mise en œuvre défectueuse. Ils sont en particulier victimes lorsque, agissant de bonne foi, ils n</w:t>
      </w:r>
      <w:r w:rsidR="00715ACD">
        <w:t>’</w:t>
      </w:r>
      <w:r>
        <w:t>ont pas connaissance des abus que cache la déclaration d</w:t>
      </w:r>
      <w:r w:rsidR="00715ACD">
        <w:t>’</w:t>
      </w:r>
      <w:r>
        <w:t>adoptabilité de l</w:t>
      </w:r>
      <w:r w:rsidR="00715ACD">
        <w:t>’</w:t>
      </w:r>
      <w:r>
        <w:t>enfant et sont conduits à adopter un enfant ayant indûment été déclaré adoptable.</w:t>
      </w:r>
      <w:bookmarkEnd w:id="53"/>
      <w:r>
        <w:t xml:space="preserve"> </w:t>
      </w:r>
    </w:p>
    <w:p w14:paraId="3A2EEFAD" w14:textId="7F830C52" w:rsidR="00B9780C" w:rsidRPr="002E65D8" w:rsidRDefault="00720FA4" w:rsidP="00091BAE">
      <w:pPr>
        <w:pStyle w:val="PBParagraph"/>
      </w:pPr>
      <w:r>
        <w:t>En outre, les FPA ont besoin de savoir que les frais qu</w:t>
      </w:r>
      <w:r w:rsidR="00715ACD">
        <w:t>’</w:t>
      </w:r>
      <w:r>
        <w:t>on leur facture ne sont pas exagérés, que le moindre paiement qu</w:t>
      </w:r>
      <w:r w:rsidR="00715ACD">
        <w:t>’</w:t>
      </w:r>
      <w:r>
        <w:t>ils effectuent est justifié et ne contribue pas à l</w:t>
      </w:r>
      <w:r w:rsidR="00715ACD">
        <w:t>’</w:t>
      </w:r>
      <w:r>
        <w:t>« achat d</w:t>
      </w:r>
      <w:r w:rsidR="00715ACD">
        <w:t>’</w:t>
      </w:r>
      <w:r>
        <w:t>un enfant ». Le moindre doute ou la moindre préoccupation qu</w:t>
      </w:r>
      <w:r w:rsidR="00715ACD">
        <w:t>’</w:t>
      </w:r>
      <w:r>
        <w:t>ils peuvent avoir concernant les aspects financiers d</w:t>
      </w:r>
      <w:r w:rsidR="00715ACD">
        <w:t>’</w:t>
      </w:r>
      <w:r>
        <w:t>une adoption peut affecter leur relation avec leur enfant adoptif et leur attache</w:t>
      </w:r>
      <w:r w:rsidR="00D651B8">
        <w:t>ment à celui-ci (et vice versa)</w:t>
      </w:r>
      <w:r w:rsidR="002E25EA" w:rsidRPr="002E65D8">
        <w:rPr>
          <w:rStyle w:val="FootnoteReference"/>
        </w:rPr>
        <w:footnoteReference w:id="56"/>
      </w:r>
      <w:r w:rsidR="00D651B8">
        <w:t>.</w:t>
      </w:r>
    </w:p>
    <w:p w14:paraId="35AD8169" w14:textId="4D29E7D6" w:rsidR="00B9780C" w:rsidRPr="002E65D8" w:rsidRDefault="00720FA4" w:rsidP="00091BAE">
      <w:pPr>
        <w:pStyle w:val="PBParagraph"/>
      </w:pPr>
      <w:r>
        <w:t>Les FPA peuvent être également victimes de discrimination fondée sur le revenu. Un niveau minimum approprié de stabilité financière devrait être un critère parmi d</w:t>
      </w:r>
      <w:r w:rsidR="00715ACD">
        <w:t>’</w:t>
      </w:r>
      <w:r>
        <w:t>autres pour évaluer leur aptitude à adopter, mais il arrive (surtout lorsque l</w:t>
      </w:r>
      <w:r w:rsidR="00715ACD">
        <w:t>’</w:t>
      </w:r>
      <w:r>
        <w:t>apparentement n</w:t>
      </w:r>
      <w:r w:rsidR="00715ACD">
        <w:t>’</w:t>
      </w:r>
      <w:r>
        <w:t>est pas effectué par une équipe professionnelle et pluridisciplinaire dans l</w:t>
      </w:r>
      <w:r w:rsidR="00715ACD">
        <w:t>’</w:t>
      </w:r>
      <w:r>
        <w:t>État d</w:t>
      </w:r>
      <w:r w:rsidR="00715ACD">
        <w:t>’</w:t>
      </w:r>
      <w:r>
        <w:t>origine) que la préférence soit donnée à des FPA qui ont un revenu plus élevé</w:t>
      </w:r>
      <w:r w:rsidR="00B430D3" w:rsidRPr="002E65D8">
        <w:rPr>
          <w:rStyle w:val="FootnoteReference"/>
        </w:rPr>
        <w:footnoteReference w:id="57"/>
      </w:r>
      <w:r>
        <w:t>.</w:t>
      </w:r>
    </w:p>
    <w:p w14:paraId="5C4A7082" w14:textId="2722B0BB" w:rsidR="00B9780C" w:rsidRPr="002E65D8" w:rsidRDefault="00720FA4" w:rsidP="00091BAE">
      <w:pPr>
        <w:pStyle w:val="PBParagraph"/>
      </w:pPr>
      <w:r>
        <w:lastRenderedPageBreak/>
        <w:t>Dans certains cas, des pressions sont exercées sur les (futurs) parents adoptifs pour qu</w:t>
      </w:r>
      <w:r w:rsidR="00715ACD">
        <w:t>’</w:t>
      </w:r>
      <w:r>
        <w:t>ils effectuent des paiements qui n</w:t>
      </w:r>
      <w:r w:rsidR="00715ACD">
        <w:t>’</w:t>
      </w:r>
      <w:r>
        <w:t>étaient pas prévus initialement, par exemple sous l</w:t>
      </w:r>
      <w:r w:rsidR="00715ACD">
        <w:t>’</w:t>
      </w:r>
      <w:r>
        <w:t>apparence de dons à une institution pour enfants. Aux derniers stades de la procédure, ils sont parfois contraints de payer plus d</w:t>
      </w:r>
      <w:r w:rsidR="00715ACD">
        <w:t>’</w:t>
      </w:r>
      <w:r>
        <w:t>argent pour ne pas risquer un blocage ou une interruption de l</w:t>
      </w:r>
      <w:r w:rsidR="00715ACD">
        <w:t>’</w:t>
      </w:r>
      <w:r>
        <w:t>adoption.</w:t>
      </w:r>
    </w:p>
    <w:p w14:paraId="2ECB237D" w14:textId="65E45D7B" w:rsidR="00B9780C" w:rsidRPr="002E65D8" w:rsidRDefault="00B9780C" w:rsidP="004047D5">
      <w:pPr>
        <w:pStyle w:val="Heading2"/>
        <w:numPr>
          <w:ilvl w:val="1"/>
          <w:numId w:val="2"/>
        </w:numPr>
      </w:pPr>
      <w:bookmarkStart w:id="54" w:name="_Toc236061651"/>
      <w:r>
        <w:t>Réputation et légitimité de l</w:t>
      </w:r>
      <w:r w:rsidR="00715ACD">
        <w:t>’</w:t>
      </w:r>
      <w:r>
        <w:t xml:space="preserve">adoption internationale en tant que solution de prise en charge de </w:t>
      </w:r>
      <w:r w:rsidR="00BC3591">
        <w:t>remplacement</w:t>
      </w:r>
      <w:bookmarkEnd w:id="54"/>
    </w:p>
    <w:p w14:paraId="421D3A57" w14:textId="0B38B16F" w:rsidR="00B9780C" w:rsidRPr="002E65D8" w:rsidRDefault="00720FA4" w:rsidP="00091BAE">
      <w:pPr>
        <w:pStyle w:val="PBParagraph"/>
      </w:pPr>
      <w:r>
        <w:t>La réputation de l</w:t>
      </w:r>
      <w:r w:rsidR="00715ACD">
        <w:t>’</w:t>
      </w:r>
      <w:r>
        <w:t>adoption internationale elle-même est une autre victime des abus financiers dans ce domaine</w:t>
      </w:r>
      <w:bookmarkStart w:id="55" w:name="_Ref165642859"/>
      <w:r w:rsidR="0095569F" w:rsidRPr="002E65D8">
        <w:rPr>
          <w:rStyle w:val="FootnoteReference"/>
        </w:rPr>
        <w:footnoteReference w:id="58"/>
      </w:r>
      <w:bookmarkEnd w:id="55"/>
      <w:r w:rsidR="00D651B8">
        <w:t>.</w:t>
      </w:r>
      <w:r>
        <w:t xml:space="preserve"> Certains États interdisent l</w:t>
      </w:r>
      <w:r w:rsidR="00715ACD">
        <w:t>’</w:t>
      </w:r>
      <w:r>
        <w:t>adoption internationale ou instaurent des moratoires de fait après avoir décelé des abus, comme l</w:t>
      </w:r>
      <w:r w:rsidR="00715ACD">
        <w:t>’</w:t>
      </w:r>
      <w:r>
        <w:t>enlèvement, la vente ou la traite d</w:t>
      </w:r>
      <w:r w:rsidR="00715ACD">
        <w:t>’</w:t>
      </w:r>
      <w:r>
        <w:t>enfants en vue de l</w:t>
      </w:r>
      <w:r w:rsidR="00715ACD">
        <w:t>’</w:t>
      </w:r>
      <w:r>
        <w:t>adoption. Dans certains cas, les interdictions ou moratoires sont inévitables et constituent la seule réponse adaptée à des violations d</w:t>
      </w:r>
      <w:r w:rsidR="00715ACD">
        <w:t>’</w:t>
      </w:r>
      <w:r>
        <w:t>une telle gravité</w:t>
      </w:r>
      <w:r w:rsidR="00865CB1" w:rsidRPr="002E65D8">
        <w:rPr>
          <w:rStyle w:val="FootnoteReference"/>
        </w:rPr>
        <w:footnoteReference w:id="59"/>
      </w:r>
      <w:r>
        <w:t xml:space="preserve">. </w:t>
      </w:r>
    </w:p>
    <w:p w14:paraId="765403D4" w14:textId="57C9A757" w:rsidR="00B9780C" w:rsidRPr="002E65D8" w:rsidRDefault="00720FA4" w:rsidP="00091BAE">
      <w:pPr>
        <w:pStyle w:val="PBParagraph"/>
      </w:pPr>
      <w:r>
        <w:t>Sous l</w:t>
      </w:r>
      <w:r w:rsidR="00715ACD">
        <w:t>’</w:t>
      </w:r>
      <w:r>
        <w:t>effet de scandales et d</w:t>
      </w:r>
      <w:r w:rsidR="00715ACD">
        <w:t>’</w:t>
      </w:r>
      <w:r>
        <w:t>abus de ce type, l</w:t>
      </w:r>
      <w:r w:rsidR="00715ACD">
        <w:t>’</w:t>
      </w:r>
      <w:r>
        <w:t>adoption internationale a pu ne plus être perçue comme une mesure légitime de protection des enfants, en conséquence de quoi, certains États y ont mis fin</w:t>
      </w:r>
      <w:r w:rsidR="0080337D" w:rsidRPr="002E65D8">
        <w:rPr>
          <w:rStyle w:val="FootnoteReference"/>
        </w:rPr>
        <w:footnoteReference w:id="60"/>
      </w:r>
      <w:r>
        <w:t>. Pour les États qui ont fait ce choix, les mauvaises pratiques et les activités illicites ne peuvent être évitées et il faut donc mettre un terme à la pratique dans son ensemble</w:t>
      </w:r>
      <w:r w:rsidR="004538E6" w:rsidRPr="002E65D8">
        <w:rPr>
          <w:rStyle w:val="FootnoteReference"/>
        </w:rPr>
        <w:footnoteReference w:id="61"/>
      </w:r>
      <w:r>
        <w:t>. Pourtant, certains enfants ne peuvent pas être réunis avec leur famille d</w:t>
      </w:r>
      <w:r w:rsidR="00715ACD">
        <w:t>’</w:t>
      </w:r>
      <w:r>
        <w:t>origine ou élargie et une solution familiale permanente appropriée ne peut pas être trouvée pour eux dans leur État d</w:t>
      </w:r>
      <w:r w:rsidR="00715ACD">
        <w:t>’</w:t>
      </w:r>
      <w:r>
        <w:t>origine. Dans ces cas-là, l</w:t>
      </w:r>
      <w:r w:rsidR="00715ACD">
        <w:t>’</w:t>
      </w:r>
      <w:r>
        <w:t xml:space="preserve">adoption internationale pourrait constituer la meilleure solution. </w:t>
      </w:r>
    </w:p>
    <w:p w14:paraId="24DC5117" w14:textId="77777777" w:rsidR="00720FA4" w:rsidRPr="002E65D8" w:rsidRDefault="00720FA4">
      <w:pPr>
        <w:spacing w:after="160" w:line="276" w:lineRule="auto"/>
        <w:rPr>
          <w:rFonts w:ascii="Raleway" w:eastAsiaTheme="majorEastAsia" w:hAnsi="Raleway" w:cstheme="majorBidi"/>
          <w:color w:val="03295A" w:themeColor="accent4"/>
          <w:sz w:val="19"/>
          <w:szCs w:val="19"/>
        </w:rPr>
      </w:pPr>
      <w:r>
        <w:br w:type="page"/>
      </w:r>
    </w:p>
    <w:p w14:paraId="1023CF42" w14:textId="304E1FFE" w:rsidR="00B9780C" w:rsidRPr="002E65D8" w:rsidRDefault="00B9780C" w:rsidP="00091BAE">
      <w:pPr>
        <w:pStyle w:val="Heading1"/>
        <w:rPr>
          <w:rFonts w:ascii="Raleway" w:hAnsi="Raleway"/>
          <w:b/>
        </w:rPr>
      </w:pPr>
      <w:bookmarkStart w:id="56" w:name="_Ref212145573"/>
      <w:bookmarkStart w:id="57" w:name="_Ref212145780"/>
      <w:bookmarkStart w:id="58" w:name="_Toc236061652"/>
      <w:r>
        <w:rPr>
          <w:rFonts w:ascii="Raleway" w:hAnsi="Raleway"/>
          <w:b/>
        </w:rPr>
        <w:lastRenderedPageBreak/>
        <w:t>DIVERSITÉ DES AUTEURS D</w:t>
      </w:r>
      <w:r w:rsidR="00715ACD">
        <w:rPr>
          <w:rFonts w:ascii="Raleway" w:hAnsi="Raleway"/>
          <w:b/>
        </w:rPr>
        <w:t>’</w:t>
      </w:r>
      <w:r>
        <w:rPr>
          <w:rFonts w:ascii="Raleway" w:hAnsi="Raleway"/>
          <w:b/>
        </w:rPr>
        <w:t>ABUS</w:t>
      </w:r>
      <w:bookmarkEnd w:id="56"/>
      <w:bookmarkEnd w:id="57"/>
      <w:bookmarkEnd w:id="58"/>
    </w:p>
    <w:p w14:paraId="48D2D88A" w14:textId="4483CDB7" w:rsidR="00B9780C" w:rsidRPr="002E65D8" w:rsidRDefault="00720FA4">
      <w:pPr>
        <w:pStyle w:val="PBParagraph"/>
      </w:pPr>
      <w:r>
        <w:t>Des personnes motivées par des gains pécuniaires peuvent intervenir aux différents stades d</w:t>
      </w:r>
      <w:r w:rsidR="00715ACD">
        <w:t>’</w:t>
      </w:r>
      <w:r>
        <w:t>une adoption internationale. Les auteurs d</w:t>
      </w:r>
      <w:r w:rsidR="00715ACD">
        <w:t>’</w:t>
      </w:r>
      <w:r>
        <w:t>abus sont potentiellement nombreux. Certains opèrent dans l</w:t>
      </w:r>
      <w:r w:rsidR="00715ACD">
        <w:t>’</w:t>
      </w:r>
      <w:r>
        <w:t>ombre tandis que d</w:t>
      </w:r>
      <w:r w:rsidR="00715ACD">
        <w:t>’</w:t>
      </w:r>
      <w:r>
        <w:t>autres usent de leurs fonctions ou de leur titre pour profiter du système. Dans la plupart des cas, ce sont les intermédiaires qui tirent profit de l</w:t>
      </w:r>
      <w:r w:rsidR="00715ACD">
        <w:t>’</w:t>
      </w:r>
      <w:r>
        <w:t>adoption internationale, et non les parents d</w:t>
      </w:r>
      <w:r w:rsidR="00715ACD">
        <w:t>’</w:t>
      </w:r>
      <w:r>
        <w:t>origine ou les (futurs) parents adoptifs</w:t>
      </w:r>
      <w:r w:rsidR="008C65D5" w:rsidRPr="002E65D8">
        <w:rPr>
          <w:rStyle w:val="FootnoteReference"/>
        </w:rPr>
        <w:footnoteReference w:id="62"/>
      </w:r>
      <w:r>
        <w:t>.</w:t>
      </w:r>
    </w:p>
    <w:p w14:paraId="5BC9FD7F" w14:textId="330F206E" w:rsidR="00B9780C" w:rsidRPr="002E65D8" w:rsidRDefault="00720FA4" w:rsidP="00091BAE">
      <w:pPr>
        <w:pStyle w:val="PBParagraph"/>
      </w:pPr>
      <w:r>
        <w:t>Les auteurs d</w:t>
      </w:r>
      <w:r w:rsidR="00715ACD">
        <w:t>’</w:t>
      </w:r>
      <w:r>
        <w:t>abus peuvent agir de manière indépendante ou fournir des services à des OAA. On peut citer comme exemples, bien que la liste ne soit pas exhaustive, les personnes et situations suivantes : 1) des avocats agissant en qualité d</w:t>
      </w:r>
      <w:r w:rsidR="00715ACD">
        <w:t>’</w:t>
      </w:r>
      <w:r>
        <w:t>intermédiaires qui demandent des honoraires excessifs</w:t>
      </w:r>
      <w:r w:rsidR="008C65D5" w:rsidRPr="002E65D8">
        <w:rPr>
          <w:rStyle w:val="FootnoteReference"/>
        </w:rPr>
        <w:footnoteReference w:id="63"/>
      </w:r>
      <w:r>
        <w:t> ; 2) des notaires qui prononcent l</w:t>
      </w:r>
      <w:r w:rsidR="00715ACD">
        <w:t>’</w:t>
      </w:r>
      <w:r>
        <w:t xml:space="preserve">adoption </w:t>
      </w:r>
      <w:r w:rsidR="005A5C20">
        <w:t>(</w:t>
      </w:r>
      <w:r>
        <w:t>même si leurs systèmes autorisent ces procédures</w:t>
      </w:r>
      <w:r w:rsidR="005A5C20">
        <w:t>)</w:t>
      </w:r>
      <w:r w:rsidR="008C65D5" w:rsidRPr="002E65D8">
        <w:rPr>
          <w:rStyle w:val="FootnoteReference"/>
        </w:rPr>
        <w:footnoteReference w:id="64"/>
      </w:r>
      <w:r>
        <w:t> ; 3) des travailleurs sociaux chargés de l</w:t>
      </w:r>
      <w:r w:rsidR="00715ACD">
        <w:t>’</w:t>
      </w:r>
      <w:r>
        <w:t>enquête sur l</w:t>
      </w:r>
      <w:r w:rsidR="00715ACD">
        <w:t>’</w:t>
      </w:r>
      <w:r>
        <w:t>adoptabilité d</w:t>
      </w:r>
      <w:r w:rsidR="00715ACD">
        <w:t>’</w:t>
      </w:r>
      <w:r>
        <w:t>un enfant qui ne mènent pas correctement cette enquête ; 4) des professionnels de santé qui ne soutiennent pas la mère à la naissance de l</w:t>
      </w:r>
      <w:r w:rsidR="00715ACD">
        <w:t>’</w:t>
      </w:r>
      <w:r>
        <w:t>enfant et qui l</w:t>
      </w:r>
      <w:r w:rsidR="00715ACD">
        <w:t>’</w:t>
      </w:r>
      <w:r>
        <w:t>encouragent, au contraire, à l</w:t>
      </w:r>
      <w:r w:rsidR="00715ACD">
        <w:t>’</w:t>
      </w:r>
      <w:r>
        <w:t>abandonner ; 5) des personnes au sein d</w:t>
      </w:r>
      <w:r w:rsidR="00715ACD">
        <w:t>’</w:t>
      </w:r>
      <w:r>
        <w:t>institutions pour enfants, en particulier si elles sont impliquées dans la procédure d</w:t>
      </w:r>
      <w:r w:rsidR="00715ACD">
        <w:t>’</w:t>
      </w:r>
      <w:r>
        <w:t>apparentement ou sont susceptibles de l</w:t>
      </w:r>
      <w:r w:rsidR="00715ACD">
        <w:t>’</w:t>
      </w:r>
      <w:r>
        <w:t>influencer ; 6) des fonctionnaires qui acceptent des pots-de-vin pour falsifier des documents ou pour accélérer la procédure d</w:t>
      </w:r>
      <w:r w:rsidR="00715ACD">
        <w:t>’</w:t>
      </w:r>
      <w:r>
        <w:t>une manière qui favorise indûment les personnes ayant des moyens plus importants, au détriment des autres</w:t>
      </w:r>
      <w:r w:rsidR="008C65D5" w:rsidRPr="002E65D8">
        <w:rPr>
          <w:rStyle w:val="FootnoteReference"/>
        </w:rPr>
        <w:footnoteReference w:id="65"/>
      </w:r>
      <w:r>
        <w:t xml:space="preserve">. </w:t>
      </w:r>
    </w:p>
    <w:p w14:paraId="6F0EE965" w14:textId="448327D5" w:rsidR="00B9780C" w:rsidRPr="002E65D8" w:rsidRDefault="00720FA4" w:rsidP="00091BAE">
      <w:pPr>
        <w:pStyle w:val="PBParagraph"/>
      </w:pPr>
      <w:bookmarkStart w:id="59" w:name="_Ref165550188"/>
      <w:r>
        <w:t>Pour ce qui est de l</w:t>
      </w:r>
      <w:r w:rsidR="00715ACD">
        <w:t>’</w:t>
      </w:r>
      <w:r>
        <w:t>implication des OAA dans les adoptions internationales, leur agrément et les autorisations dont ils disposent sont reconnus comme faisant partie des garanties importantes introduites par la Convention</w:t>
      </w:r>
      <w:r w:rsidR="008C65D5" w:rsidRPr="002E65D8">
        <w:rPr>
          <w:rStyle w:val="FootnoteReference"/>
        </w:rPr>
        <w:footnoteReference w:id="66"/>
      </w:r>
      <w:r>
        <w:t>. Malgré tout, l</w:t>
      </w:r>
      <w:r w:rsidR="00715ACD">
        <w:t>’</w:t>
      </w:r>
      <w:r>
        <w:t xml:space="preserve">OAA </w:t>
      </w:r>
      <w:r w:rsidR="00C92B8B">
        <w:t>en lui-même peut parfois être géré</w:t>
      </w:r>
      <w:r>
        <w:t xml:space="preserve"> par des personnes peu scrupuleuses et peu soucieuses de l</w:t>
      </w:r>
      <w:r w:rsidR="00715ACD">
        <w:t>’</w:t>
      </w:r>
      <w:r>
        <w:t>éthique ou faire l</w:t>
      </w:r>
      <w:r w:rsidR="00715ACD">
        <w:t>’</w:t>
      </w:r>
      <w:r>
        <w:t>objet d</w:t>
      </w:r>
      <w:r w:rsidR="00715ACD">
        <w:t>’</w:t>
      </w:r>
      <w:r>
        <w:t>une surveillance i</w:t>
      </w:r>
      <w:r w:rsidR="00C92B8B">
        <w:t>nadaptée et / ou être influencé</w:t>
      </w:r>
      <w:r>
        <w:t xml:space="preserve"> par la loi de l</w:t>
      </w:r>
      <w:r w:rsidR="00715ACD">
        <w:t>’</w:t>
      </w:r>
      <w:r>
        <w:t>offre et de la demande pour ce qui est d</w:t>
      </w:r>
      <w:r w:rsidR="00715ACD">
        <w:t>’</w:t>
      </w:r>
      <w:r>
        <w:t>encourager des adoptions internationales qui ne sont pas nécessaires. En l</w:t>
      </w:r>
      <w:r w:rsidR="00715ACD">
        <w:t>’</w:t>
      </w:r>
      <w:r>
        <w:t>occurrence, l</w:t>
      </w:r>
      <w:r w:rsidR="00715ACD">
        <w:t>’</w:t>
      </w:r>
      <w:r>
        <w:t>OAA peut soit être convaincu que l</w:t>
      </w:r>
      <w:r w:rsidR="00715ACD">
        <w:t>’</w:t>
      </w:r>
      <w:r>
        <w:t>adoption répond à l</w:t>
      </w:r>
      <w:r w:rsidR="00715ACD">
        <w:t>’</w:t>
      </w:r>
      <w:r>
        <w:t>intérêt supérieur des enfants concernés, soit être motivée par des considérations d</w:t>
      </w:r>
      <w:r w:rsidR="00715ACD">
        <w:t>’</w:t>
      </w:r>
      <w:r>
        <w:t xml:space="preserve">enrichissement personnel. </w:t>
      </w:r>
      <w:bookmarkEnd w:id="59"/>
    </w:p>
    <w:p w14:paraId="2A1CB5FD" w14:textId="273ADFBC" w:rsidR="00B9780C" w:rsidRPr="002E65D8" w:rsidRDefault="00720FA4" w:rsidP="0007371B">
      <w:pPr>
        <w:pStyle w:val="PBParagraph"/>
      </w:pPr>
      <w:r>
        <w:t>Il est également problématique que les OAA ne surveillent pas correctement le travail de leurs représentants dans l</w:t>
      </w:r>
      <w:r w:rsidR="00715ACD">
        <w:t>’</w:t>
      </w:r>
      <w:r>
        <w:t>État d</w:t>
      </w:r>
      <w:r w:rsidR="00715ACD">
        <w:t>’</w:t>
      </w:r>
      <w:r>
        <w:t>origine ou ne leur dispensent pas une formation suffisante, ce qui peut mener à des pratiques contraires à l</w:t>
      </w:r>
      <w:r w:rsidR="00715ACD">
        <w:t>’</w:t>
      </w:r>
      <w:r>
        <w:t>éthique. Dans d</w:t>
      </w:r>
      <w:r w:rsidR="00715ACD">
        <w:t>’</w:t>
      </w:r>
      <w:r>
        <w:t>autres cas, mû par le désir d</w:t>
      </w:r>
      <w:r w:rsidR="00715ACD">
        <w:t>’</w:t>
      </w:r>
      <w:r>
        <w:t>obtenir des enfants à adopter par tous les moyens, l</w:t>
      </w:r>
      <w:r w:rsidR="00715ACD">
        <w:t>’</w:t>
      </w:r>
      <w:r>
        <w:t>OAA peut fermer les yeux sur des activités illicites ou contraires à l</w:t>
      </w:r>
      <w:r w:rsidR="00715ACD">
        <w:t>’</w:t>
      </w:r>
      <w:r>
        <w:t>éthique. Il risque alors de perdre son agrément et / ou l</w:t>
      </w:r>
      <w:r w:rsidR="00715ACD">
        <w:t>’</w:t>
      </w:r>
      <w:r>
        <w:t>autorisation de continuer à prêter des services d</w:t>
      </w:r>
      <w:r w:rsidR="00715ACD">
        <w:t>’</w:t>
      </w:r>
      <w:r>
        <w:t>adoption.</w:t>
      </w:r>
    </w:p>
    <w:p w14:paraId="2A7E6CC6" w14:textId="7896CB54" w:rsidR="00B9780C" w:rsidRPr="002E65D8" w:rsidRDefault="00720FA4" w:rsidP="00091BAE">
      <w:pPr>
        <w:pStyle w:val="PBParagraph"/>
      </w:pPr>
      <w:r>
        <w:t>Plusieurs États pensent que ces préoccupations peuvent être aggravées dans le cas des personnes et organismes autorisés (non agréés), qui ne sont pas tenus de poursuivre exclusivement des objectifs non lucratifs</w:t>
      </w:r>
      <w:r w:rsidR="008C65D5" w:rsidRPr="002E65D8">
        <w:rPr>
          <w:rStyle w:val="FootnoteReference"/>
        </w:rPr>
        <w:footnoteReference w:id="67"/>
      </w:r>
      <w:r>
        <w:t>.</w:t>
      </w:r>
    </w:p>
    <w:p w14:paraId="2E215134" w14:textId="3CE0DA76" w:rsidR="00261E8F" w:rsidRPr="002E65D8" w:rsidRDefault="00720FA4" w:rsidP="00261E8F">
      <w:pPr>
        <w:pStyle w:val="PBParagraph"/>
      </w:pPr>
      <w:r>
        <w:t>Le fait que des dirigeants d</w:t>
      </w:r>
      <w:r w:rsidR="00715ACD">
        <w:t>’</w:t>
      </w:r>
      <w:r>
        <w:t>institutions pour enfants soient motivés par le profit peut les conduire à donner un « prix » à certaines catégories d</w:t>
      </w:r>
      <w:r w:rsidR="00715ACD">
        <w:t>’</w:t>
      </w:r>
      <w:r>
        <w:t xml:space="preserve">enfants. Cela mène, par voie de conséquence, à une recherche des enfants </w:t>
      </w:r>
      <w:r w:rsidR="00FB755B">
        <w:t>« </w:t>
      </w:r>
      <w:r>
        <w:t>les plus rémunérateurs</w:t>
      </w:r>
      <w:r w:rsidR="00FB755B">
        <w:t> »</w:t>
      </w:r>
      <w:r>
        <w:t xml:space="preserve"> pour le marché mondial de l</w:t>
      </w:r>
      <w:r w:rsidR="00715ACD">
        <w:t>’</w:t>
      </w:r>
      <w:r>
        <w:t xml:space="preserve">adoption </w:t>
      </w:r>
      <w:r>
        <w:lastRenderedPageBreak/>
        <w:t>internationale</w:t>
      </w:r>
      <w:r w:rsidR="008C65D5" w:rsidRPr="002E65D8">
        <w:rPr>
          <w:rStyle w:val="FootnoteReference"/>
        </w:rPr>
        <w:footnoteReference w:id="68"/>
      </w:r>
      <w:r>
        <w:t>. C</w:t>
      </w:r>
      <w:r w:rsidR="00715ACD">
        <w:t>’</w:t>
      </w:r>
      <w:r>
        <w:t>est encore davantage accentué par le fait qu</w:t>
      </w:r>
      <w:r w:rsidR="00715ACD">
        <w:t>’</w:t>
      </w:r>
      <w:r>
        <w:t>une institution pour enfants recevra plus d</w:t>
      </w:r>
      <w:r w:rsidR="00715ACD">
        <w:t>’</w:t>
      </w:r>
      <w:r>
        <w:t>argent pour une adoption internationale que pour une adoption nationale. La pratique consistant à rechercher les enfants qui ont le plus de chances d</w:t>
      </w:r>
      <w:r w:rsidR="00715ACD">
        <w:t>’</w:t>
      </w:r>
      <w:r>
        <w:t>être adoptés à l</w:t>
      </w:r>
      <w:r w:rsidR="00715ACD">
        <w:t>’</w:t>
      </w:r>
      <w:r>
        <w:t>étranger est contraire aux principes de la Convention</w:t>
      </w:r>
      <w:r w:rsidR="003203A1" w:rsidRPr="002E65D8">
        <w:rPr>
          <w:rStyle w:val="FootnoteReference"/>
        </w:rPr>
        <w:footnoteReference w:id="69"/>
      </w:r>
      <w:r>
        <w:t xml:space="preserve">. </w:t>
      </w:r>
    </w:p>
    <w:p w14:paraId="4C31C108" w14:textId="33B862A2" w:rsidR="001C3165" w:rsidRPr="002E65D8" w:rsidRDefault="001C3165" w:rsidP="00261E8F">
      <w:pPr>
        <w:pStyle w:val="PBParagraph"/>
      </w:pPr>
      <w:r>
        <w:t>Certains (futurs) parents adoptifs sont prêts à consentir des investissements personnels et des ressources matérielles considérables pour adopter un enfant. Aussi, ils peuvent ne pas être particulièrement enclins à passer au crible tout ce qu</w:t>
      </w:r>
      <w:r w:rsidR="00715ACD">
        <w:t>’</w:t>
      </w:r>
      <w:r>
        <w:t>ils dépensent, ni même à vérifier si les frais, contributions et dons sont justifiés, arguant qu</w:t>
      </w:r>
      <w:r w:rsidR="00715ACD">
        <w:t>’</w:t>
      </w:r>
      <w:r>
        <w:t>« un enfant n</w:t>
      </w:r>
      <w:r w:rsidR="00715ACD">
        <w:t>’</w:t>
      </w:r>
      <w:r>
        <w:t>a pas de prix ». D</w:t>
      </w:r>
      <w:r w:rsidR="00715ACD">
        <w:t>’</w:t>
      </w:r>
      <w:r>
        <w:t>autres peuvent volontairement fermer les yeux sur le côté sombre de l</w:t>
      </w:r>
      <w:r w:rsidR="00715ACD">
        <w:t>’</w:t>
      </w:r>
      <w:r>
        <w:t>adoption et préfèrent ne pas savoir exactement comment leur enfant adopté est devenu adoptable. Cela peut résulter de pressions exercées ou d</w:t>
      </w:r>
      <w:r w:rsidR="00715ACD">
        <w:t>’</w:t>
      </w:r>
      <w:r>
        <w:t>une méconnaissance des risques et des conséquences que cela peut avoir sur leur relati</w:t>
      </w:r>
      <w:r w:rsidR="00053C53">
        <w:t>on</w:t>
      </w:r>
      <w:r>
        <w:t xml:space="preserve"> avec leur (futur) enfant adopté</w:t>
      </w:r>
      <w:r w:rsidR="00B06A2F" w:rsidRPr="002E65D8">
        <w:rPr>
          <w:rStyle w:val="FootnoteReference"/>
        </w:rPr>
        <w:footnoteReference w:id="70"/>
      </w:r>
      <w:r>
        <w:t xml:space="preserve">. </w:t>
      </w:r>
    </w:p>
    <w:p w14:paraId="0E682A9D" w14:textId="16A04875" w:rsidR="00B9780C" w:rsidRPr="002E65D8" w:rsidRDefault="009B0766" w:rsidP="00091BAE">
      <w:pPr>
        <w:pStyle w:val="PBParagraph"/>
      </w:pPr>
      <w:r>
        <w:t>Parmi les auteurs d</w:t>
      </w:r>
      <w:r w:rsidR="00715ACD">
        <w:t>’</w:t>
      </w:r>
      <w:r>
        <w:t>abus, outre ceux qui sont directement impliqués dans la procédure d</w:t>
      </w:r>
      <w:r w:rsidR="00715ACD">
        <w:t>’</w:t>
      </w:r>
      <w:r>
        <w:t>adoption, il y a aussi d</w:t>
      </w:r>
      <w:r w:rsidR="00715ACD">
        <w:t>’</w:t>
      </w:r>
      <w:r>
        <w:t>autres personnes et entreprises qui sont associées au « marché de l</w:t>
      </w:r>
      <w:r w:rsidR="00715ACD">
        <w:t>’</w:t>
      </w:r>
      <w:r>
        <w:t>adoption » (voir chapitre </w:t>
      </w:r>
      <w:r w:rsidR="00F84C7E" w:rsidRPr="002E65D8">
        <w:fldChar w:fldCharType="begin"/>
      </w:r>
      <w:r w:rsidR="00F84C7E" w:rsidRPr="002E65D8">
        <w:instrText xml:space="preserve"> REF _Ref212145538 \r \h </w:instrText>
      </w:r>
      <w:r w:rsidR="002E65D8">
        <w:instrText xml:space="preserve"> \* MERGEFORMAT </w:instrText>
      </w:r>
      <w:r w:rsidR="00F84C7E" w:rsidRPr="002E65D8">
        <w:fldChar w:fldCharType="separate"/>
      </w:r>
      <w:r w:rsidR="00E6549D">
        <w:t>4.6</w:t>
      </w:r>
      <w:r w:rsidR="00F84C7E" w:rsidRPr="002E65D8">
        <w:fldChar w:fldCharType="end"/>
      </w:r>
      <w:r>
        <w:t xml:space="preserve"> pour quelques exemples). Si ces dernières ne sont pas directement impliquées dans la procédure d</w:t>
      </w:r>
      <w:r w:rsidR="00715ACD">
        <w:t>’</w:t>
      </w:r>
      <w:r>
        <w:t>adoption, elles peuvent influencer les acteurs de celle-ci – étant entendu qu</w:t>
      </w:r>
      <w:r w:rsidR="00715ACD">
        <w:t>’</w:t>
      </w:r>
      <w:r>
        <w:t>il est dans leur intérêt que le « marché de l</w:t>
      </w:r>
      <w:r w:rsidR="00715ACD">
        <w:t>’</w:t>
      </w:r>
      <w:r>
        <w:t>adoption » continue à exister. D</w:t>
      </w:r>
      <w:r w:rsidR="00715ACD">
        <w:t>’</w:t>
      </w:r>
      <w:r>
        <w:t>autre part, elles ne font bien souvent pas l</w:t>
      </w:r>
      <w:r w:rsidR="00715ACD">
        <w:t>’</w:t>
      </w:r>
      <w:r>
        <w:t>objet d</w:t>
      </w:r>
      <w:r w:rsidR="00715ACD">
        <w:t>’</w:t>
      </w:r>
      <w:r>
        <w:t>une surveillance aussi étroite que les acteurs directement impliqués dans la procédure d</w:t>
      </w:r>
      <w:r w:rsidR="00715ACD">
        <w:t>’</w:t>
      </w:r>
      <w:r>
        <w:t>adoption, bien que leurs services soient, dans une certaine mesure, indispensables à l</w:t>
      </w:r>
      <w:r w:rsidR="00715ACD">
        <w:t>’</w:t>
      </w:r>
      <w:r>
        <w:t>adoption.</w:t>
      </w:r>
    </w:p>
    <w:p w14:paraId="1556D53F" w14:textId="77777777" w:rsidR="005442F1" w:rsidRPr="002E65D8" w:rsidRDefault="005442F1" w:rsidP="0007371B">
      <w:pPr>
        <w:pStyle w:val="PBParagraph"/>
        <w:numPr>
          <w:ilvl w:val="0"/>
          <w:numId w:val="0"/>
        </w:numPr>
        <w:ind w:left="567"/>
      </w:pPr>
    </w:p>
    <w:p w14:paraId="50DFAB38" w14:textId="77777777" w:rsidR="00720FA4" w:rsidRPr="002E65D8" w:rsidRDefault="00720FA4">
      <w:pPr>
        <w:spacing w:after="160" w:line="276" w:lineRule="auto"/>
        <w:rPr>
          <w:rFonts w:ascii="Raleway" w:eastAsiaTheme="majorEastAsia" w:hAnsi="Raleway" w:cstheme="majorBidi"/>
          <w:color w:val="03295A" w:themeColor="accent4"/>
          <w:sz w:val="19"/>
          <w:szCs w:val="19"/>
        </w:rPr>
      </w:pPr>
      <w:r>
        <w:br w:type="page"/>
      </w:r>
    </w:p>
    <w:p w14:paraId="67FAB95E" w14:textId="55175872" w:rsidR="00B9780C" w:rsidRPr="002E65D8" w:rsidRDefault="00B9780C" w:rsidP="00091BAE">
      <w:pPr>
        <w:pStyle w:val="Heading1"/>
        <w:rPr>
          <w:rFonts w:ascii="Raleway" w:hAnsi="Raleway"/>
          <w:b/>
        </w:rPr>
      </w:pPr>
      <w:bookmarkStart w:id="60" w:name="_Ref212145785"/>
      <w:bookmarkStart w:id="61" w:name="_Toc236061653"/>
      <w:r>
        <w:rPr>
          <w:rFonts w:ascii="Raleway" w:hAnsi="Raleway"/>
          <w:b/>
        </w:rPr>
        <w:lastRenderedPageBreak/>
        <w:t>DÉFIS DANS LE CONTEXTE MONDIAL</w:t>
      </w:r>
      <w:bookmarkEnd w:id="60"/>
      <w:bookmarkEnd w:id="61"/>
      <w:r>
        <w:rPr>
          <w:rFonts w:ascii="Raleway" w:hAnsi="Raleway"/>
          <w:b/>
        </w:rPr>
        <w:t xml:space="preserve"> </w:t>
      </w:r>
    </w:p>
    <w:p w14:paraId="18A638B2" w14:textId="49788888" w:rsidR="00B9780C" w:rsidRPr="002E65D8" w:rsidRDefault="00720FA4" w:rsidP="00091BAE">
      <w:pPr>
        <w:pStyle w:val="PBParagraph"/>
      </w:pPr>
      <w:r>
        <w:t>Ce chapitre expose les défis liés aux aspects financiers de l</w:t>
      </w:r>
      <w:r w:rsidR="00715ACD">
        <w:t>’</w:t>
      </w:r>
      <w:r>
        <w:t>adoption internationale dans le contexte mondial, qui concernent la majorité des États, étant entendu que chaque État peut rencontrer d</w:t>
      </w:r>
      <w:r w:rsidR="00715ACD">
        <w:t>’</w:t>
      </w:r>
      <w:r>
        <w:t>autres difficultés.</w:t>
      </w:r>
    </w:p>
    <w:p w14:paraId="3BD9CD92" w14:textId="4D300574" w:rsidR="00B9780C" w:rsidRPr="002E65D8" w:rsidRDefault="00B9780C" w:rsidP="004047D5">
      <w:pPr>
        <w:pStyle w:val="Heading2"/>
        <w:numPr>
          <w:ilvl w:val="1"/>
          <w:numId w:val="11"/>
        </w:numPr>
      </w:pPr>
      <w:bookmarkStart w:id="62" w:name="_Toc236061654"/>
      <w:r>
        <w:t>Le déséquilibre général de richesse</w:t>
      </w:r>
      <w:bookmarkEnd w:id="62"/>
    </w:p>
    <w:p w14:paraId="2DB029C4" w14:textId="3FA7D9C5" w:rsidR="00B9780C" w:rsidRPr="002E65D8" w:rsidRDefault="00720FA4" w:rsidP="00091BAE">
      <w:pPr>
        <w:pStyle w:val="PBParagraph"/>
      </w:pPr>
      <w:r>
        <w:t>L</w:t>
      </w:r>
      <w:r w:rsidR="00715ACD">
        <w:t>’</w:t>
      </w:r>
      <w:r>
        <w:t>adoption internationale met en jeu des sommes d</w:t>
      </w:r>
      <w:r w:rsidR="00715ACD">
        <w:t>’</w:t>
      </w:r>
      <w:r>
        <w:t>argent qui peuvent être sans proportion avec les économies des pays en développement</w:t>
      </w:r>
      <w:r w:rsidR="008C65D5" w:rsidRPr="002E65D8">
        <w:rPr>
          <w:rStyle w:val="FootnoteReference"/>
        </w:rPr>
        <w:footnoteReference w:id="71"/>
      </w:r>
      <w:r>
        <w:t>. Comme l</w:t>
      </w:r>
      <w:r w:rsidR="00715ACD">
        <w:t>’</w:t>
      </w:r>
      <w:r>
        <w:t>explique N. Cantwell, « le formidable pouvoir potentiel des futurs adoptants du “Nord”, dont le revenu peut être aisément 100 fois supérieur à celui des fonctionnaires et d</w:t>
      </w:r>
      <w:r w:rsidR="00715ACD">
        <w:t>’</w:t>
      </w:r>
      <w:r>
        <w:t xml:space="preserve">autres personnes dans le “Sud”, est un terreau fertile pour les manipulations et la corruption si ces adoptants ou leurs agences décident de profiter de ce pouvoir ou consentent à des contreparties financières additionnelles pour </w:t>
      </w:r>
      <w:bookmarkStart w:id="63" w:name="_Ref142552904"/>
      <w:r w:rsidR="00D651B8">
        <w:t>réaliser leur rêve d</w:t>
      </w:r>
      <w:r w:rsidR="00715ACD">
        <w:t>’</w:t>
      </w:r>
      <w:r w:rsidR="00D651B8">
        <w:t>adoption »</w:t>
      </w:r>
      <w:r w:rsidR="008C65D5" w:rsidRPr="002E65D8">
        <w:rPr>
          <w:rStyle w:val="FootnoteReference"/>
        </w:rPr>
        <w:footnoteReference w:id="72"/>
      </w:r>
      <w:bookmarkEnd w:id="63"/>
      <w:r w:rsidR="00D651B8">
        <w:t>.</w:t>
      </w:r>
      <w:r>
        <w:t xml:space="preserve"> Le Professeur Smolin estime par exemple qu</w:t>
      </w:r>
      <w:r w:rsidR="00715ACD">
        <w:t>’</w:t>
      </w:r>
      <w:r>
        <w:t>entre 2002 et 2008, 371 à 495 millions de dollars américains au moins ont été transférés au Guatemala aux fins de l</w:t>
      </w:r>
      <w:r w:rsidR="00715ACD">
        <w:t>’</w:t>
      </w:r>
      <w:r>
        <w:t>adoption internationale d</w:t>
      </w:r>
      <w:r w:rsidR="00715ACD">
        <w:t>’</w:t>
      </w:r>
      <w:r>
        <w:t>enfants aux États-Unis</w:t>
      </w:r>
      <w:r w:rsidR="008C65D5" w:rsidRPr="002E65D8">
        <w:rPr>
          <w:rStyle w:val="FootnoteReference"/>
        </w:rPr>
        <w:footnoteReference w:id="73"/>
      </w:r>
      <w:r>
        <w:t>.</w:t>
      </w:r>
    </w:p>
    <w:p w14:paraId="45B70E0A" w14:textId="66CAF29B" w:rsidR="00127835" w:rsidRPr="002E65D8" w:rsidRDefault="00720FA4" w:rsidP="00091BAE">
      <w:pPr>
        <w:pStyle w:val="PBParagraph"/>
      </w:pPr>
      <w:r>
        <w:t>Les abus, notamment l</w:t>
      </w:r>
      <w:r w:rsidR="00715ACD">
        <w:t>’</w:t>
      </w:r>
      <w:r>
        <w:t>enlèvement, la vente et la traite d</w:t>
      </w:r>
      <w:r w:rsidR="00715ACD">
        <w:t>’</w:t>
      </w:r>
      <w:r>
        <w:t>enfants, ont plus de chances de se produire dans des États en proie à la pauvreté. Dans ce contexte, la promesse de sommes d</w:t>
      </w:r>
      <w:r w:rsidR="00715ACD">
        <w:t>’</w:t>
      </w:r>
      <w:r>
        <w:t xml:space="preserve">argent peut notamment inciter des criminels ou des personnes peu scrupuleuses à retirer des enfants à leur famille, à falsifier des documents, à placer ces enfants dans des institutions ou à procéder à leur apparentement avec des familles étrangères. </w:t>
      </w:r>
    </w:p>
    <w:p w14:paraId="3E378E4B" w14:textId="3B15167E" w:rsidR="00B9780C" w:rsidRPr="002E65D8" w:rsidRDefault="00720FA4" w:rsidP="00091BAE">
      <w:pPr>
        <w:pStyle w:val="PBParagraph"/>
      </w:pPr>
      <w:r>
        <w:t>Les inégalités mondiales engendrent des situations dans lesquelles des familles se trouvent dans l</w:t>
      </w:r>
      <w:r w:rsidR="00715ACD">
        <w:t>’</w:t>
      </w:r>
      <w:r>
        <w:t xml:space="preserve">incapacité de subvenir financièrement aux besoins de leurs enfants. Aussi, bien que ces familles aient la volonté </w:t>
      </w:r>
      <w:r w:rsidR="00FB50C8">
        <w:t xml:space="preserve">de </w:t>
      </w:r>
      <w:r>
        <w:t>s</w:t>
      </w:r>
      <w:r w:rsidR="00715ACD">
        <w:t>’</w:t>
      </w:r>
      <w:r>
        <w:t>occuper de leurs enfants, ils se les voient retirés pour être placés en vue d</w:t>
      </w:r>
      <w:r w:rsidR="00715ACD">
        <w:t>’</w:t>
      </w:r>
      <w:r>
        <w:t>une adoption internationale. Certains États d</w:t>
      </w:r>
      <w:r w:rsidR="00715ACD">
        <w:t>’</w:t>
      </w:r>
      <w:r>
        <w:t>origine font également face à des difficultés pour soutenir les familles du fait, entre autres, de systèmes de protection des enfants peu efficaces, dotés de très maigres ressources. Cependant, la pauvreté ne doit pas en soi être une raison pour déclarer un enfant adoptable et le faire adopter dans un État matériellement plus riche</w:t>
      </w:r>
      <w:r w:rsidR="008C65D5" w:rsidRPr="002E65D8">
        <w:rPr>
          <w:rStyle w:val="FootnoteReference"/>
        </w:rPr>
        <w:footnoteReference w:id="74"/>
      </w:r>
      <w:r>
        <w:t>.</w:t>
      </w:r>
    </w:p>
    <w:p w14:paraId="745ABB9E" w14:textId="6446F01F" w:rsidR="00B9780C" w:rsidRPr="002E65D8" w:rsidRDefault="00B9780C" w:rsidP="004047D5">
      <w:pPr>
        <w:pStyle w:val="Heading2"/>
        <w:numPr>
          <w:ilvl w:val="1"/>
          <w:numId w:val="2"/>
        </w:numPr>
      </w:pPr>
      <w:bookmarkStart w:id="64" w:name="_Ref165564642"/>
      <w:bookmarkStart w:id="65" w:name="_Toc236061655"/>
      <w:r>
        <w:t>Pressions et concurrence pour trouver des enfants</w:t>
      </w:r>
      <w:bookmarkEnd w:id="64"/>
      <w:bookmarkEnd w:id="65"/>
    </w:p>
    <w:p w14:paraId="57DC9D93" w14:textId="44B89CED" w:rsidR="00B9780C" w:rsidRPr="002E65D8" w:rsidRDefault="00720FA4" w:rsidP="00091BAE">
      <w:pPr>
        <w:pStyle w:val="PBParagraph"/>
      </w:pPr>
      <w:r>
        <w:t>Les problèmes financiers sont également liés aux pressions exercées sur les États d</w:t>
      </w:r>
      <w:r w:rsidR="00715ACD">
        <w:t>’</w:t>
      </w:r>
      <w:r>
        <w:t>origine par les États d</w:t>
      </w:r>
      <w:r w:rsidR="00715ACD">
        <w:t>’</w:t>
      </w:r>
      <w:r>
        <w:t xml:space="preserve">accueil, dont les FPA </w:t>
      </w:r>
      <w:r w:rsidR="000E1A37">
        <w:t>brûlent d</w:t>
      </w:r>
      <w:r w:rsidR="00715ACD">
        <w:t>’</w:t>
      </w:r>
      <w:r w:rsidR="000E1A37">
        <w:t>envie</w:t>
      </w:r>
      <w:r>
        <w:t xml:space="preserve"> d</w:t>
      </w:r>
      <w:r w:rsidR="00715ACD">
        <w:t>’</w:t>
      </w:r>
      <w:r>
        <w:t>adopter</w:t>
      </w:r>
      <w:r w:rsidR="00914499" w:rsidRPr="002E65D8">
        <w:rPr>
          <w:rStyle w:val="FootnoteReference"/>
        </w:rPr>
        <w:footnoteReference w:id="75"/>
      </w:r>
      <w:r>
        <w:t>. Le fait qu</w:t>
      </w:r>
      <w:r w:rsidR="00715ACD">
        <w:t>’</w:t>
      </w:r>
      <w:r>
        <w:t>une somme d</w:t>
      </w:r>
      <w:r w:rsidR="00715ACD">
        <w:t>’</w:t>
      </w:r>
      <w:r>
        <w:t>argent a été ou sera versée conduit de façon inévitable et compréhensible les FPA à penser qu</w:t>
      </w:r>
      <w:r w:rsidR="00715ACD">
        <w:t>’</w:t>
      </w:r>
      <w:r>
        <w:t>ils recevront un enfant</w:t>
      </w:r>
      <w:r w:rsidR="008C65D5" w:rsidRPr="002E65D8">
        <w:rPr>
          <w:rStyle w:val="FootnoteReference"/>
        </w:rPr>
        <w:footnoteReference w:id="76"/>
      </w:r>
      <w:r>
        <w:t>.</w:t>
      </w:r>
    </w:p>
    <w:p w14:paraId="5E41D7E2" w14:textId="4E395DBF" w:rsidR="0035048F" w:rsidRPr="002E65D8" w:rsidRDefault="00720FA4" w:rsidP="00091BAE">
      <w:pPr>
        <w:pStyle w:val="PBParagraph"/>
      </w:pPr>
      <w:r>
        <w:t>Certains États d</w:t>
      </w:r>
      <w:r w:rsidR="00715ACD">
        <w:t>’</w:t>
      </w:r>
      <w:r>
        <w:t>accueil font également face à des difficultés pour gérer efficacement cette demande. Ces dernières années, nombre d</w:t>
      </w:r>
      <w:r w:rsidR="00715ACD">
        <w:t>’</w:t>
      </w:r>
      <w:r>
        <w:t>entre eux ont réduit leur nombre d</w:t>
      </w:r>
      <w:r w:rsidR="00715ACD">
        <w:t>’</w:t>
      </w:r>
      <w:r>
        <w:t>OAA, ainsi que de FPA déclarés éligibles et aptes à adopter, l</w:t>
      </w:r>
      <w:r w:rsidR="00715ACD">
        <w:t>’</w:t>
      </w:r>
      <w:r>
        <w:t>objectif étant de s</w:t>
      </w:r>
      <w:r w:rsidR="00715ACD">
        <w:t>’</w:t>
      </w:r>
      <w:r>
        <w:t>aligner sur le nombre d</w:t>
      </w:r>
      <w:r w:rsidR="00715ACD">
        <w:t>’</w:t>
      </w:r>
      <w:r>
        <w:t xml:space="preserve">enfants </w:t>
      </w:r>
      <w:r>
        <w:lastRenderedPageBreak/>
        <w:t>ayant besoin d</w:t>
      </w:r>
      <w:r w:rsidR="00715ACD">
        <w:t>’</w:t>
      </w:r>
      <w:r>
        <w:t>une adoption internationale</w:t>
      </w:r>
      <w:bookmarkStart w:id="66" w:name="_Ref231303398"/>
      <w:r w:rsidR="004507C9" w:rsidRPr="002E65D8">
        <w:rPr>
          <w:rStyle w:val="FootnoteReference"/>
        </w:rPr>
        <w:footnoteReference w:id="77"/>
      </w:r>
      <w:bookmarkEnd w:id="66"/>
      <w:r>
        <w:t>. Toutefois, par le passé et encore aujourd</w:t>
      </w:r>
      <w:r w:rsidR="00715ACD">
        <w:t>’</w:t>
      </w:r>
      <w:r>
        <w:t>hui dans certains États, on constate un rapport disproportionné entre le nombre d</w:t>
      </w:r>
      <w:r w:rsidR="00715ACD">
        <w:t>’</w:t>
      </w:r>
      <w:r>
        <w:t>enfants ayant besoin d</w:t>
      </w:r>
      <w:r w:rsidR="00715ACD">
        <w:t>’</w:t>
      </w:r>
      <w:r>
        <w:t>une adoption, le nombre de FPA autorisés à adopter et le nombre d</w:t>
      </w:r>
      <w:r w:rsidR="00715ACD">
        <w:t>’</w:t>
      </w:r>
      <w:r>
        <w:t>OAA disposant d</w:t>
      </w:r>
      <w:r w:rsidR="00715ACD">
        <w:t>’</w:t>
      </w:r>
      <w:r>
        <w:t>un agrément pour faciliter l</w:t>
      </w:r>
      <w:r w:rsidR="00715ACD">
        <w:t>’</w:t>
      </w:r>
      <w:r>
        <w:t>adoption internationale. Cela fait peser une certaine pression</w:t>
      </w:r>
      <w:r w:rsidR="00997672" w:rsidRPr="002E65D8">
        <w:rPr>
          <w:rStyle w:val="FootnoteReference"/>
        </w:rPr>
        <w:footnoteReference w:id="78"/>
      </w:r>
      <w:r>
        <w:t xml:space="preserve"> sur les États d</w:t>
      </w:r>
      <w:r w:rsidR="00715ACD">
        <w:t>’</w:t>
      </w:r>
      <w:r>
        <w:t>origine et peut engendrer de la concurrence entre les États d</w:t>
      </w:r>
      <w:r w:rsidR="00715ACD">
        <w:t>’</w:t>
      </w:r>
      <w:r>
        <w:t>accueil, les OAA et les FPA pour trouver des enfants adoptables</w:t>
      </w:r>
      <w:r w:rsidR="00A21A8A" w:rsidRPr="002E65D8">
        <w:rPr>
          <w:rStyle w:val="FootnoteReference"/>
        </w:rPr>
        <w:footnoteReference w:id="79"/>
      </w:r>
      <w:r>
        <w:t>.</w:t>
      </w:r>
    </w:p>
    <w:p w14:paraId="2422945E" w14:textId="718E924B" w:rsidR="00B9780C" w:rsidRPr="002E65D8" w:rsidRDefault="00B9780C" w:rsidP="004047D5">
      <w:pPr>
        <w:pStyle w:val="Heading2"/>
        <w:numPr>
          <w:ilvl w:val="1"/>
          <w:numId w:val="2"/>
        </w:numPr>
      </w:pPr>
      <w:bookmarkStart w:id="67" w:name="_Toc236061656"/>
      <w:r>
        <w:t>Manque de volonté politique pour éliminer les profits exorbitants et obstacles gouvernementaux</w:t>
      </w:r>
      <w:bookmarkEnd w:id="67"/>
      <w:r>
        <w:t xml:space="preserve"> </w:t>
      </w:r>
    </w:p>
    <w:p w14:paraId="5DA2AD3E" w14:textId="27C86606" w:rsidR="00B9780C" w:rsidRPr="002E65D8" w:rsidRDefault="00720FA4" w:rsidP="00091BAE">
      <w:pPr>
        <w:pStyle w:val="PBParagraph"/>
      </w:pPr>
      <w:r>
        <w:t>Le manque de volonté politique pour éliminer les profits exorbitants peut revêtir différentes formes</w:t>
      </w:r>
      <w:r w:rsidR="00340171" w:rsidRPr="002E65D8">
        <w:rPr>
          <w:rStyle w:val="FootnoteReference"/>
        </w:rPr>
        <w:footnoteReference w:id="80"/>
      </w:r>
      <w:r>
        <w:t>. En voici quelques exemples : 1) l</w:t>
      </w:r>
      <w:r w:rsidR="00715ACD">
        <w:t>’</w:t>
      </w:r>
      <w:r>
        <w:t>État ne signe pas la Convention Adoption de 1993, ne la ratifie pas ou n</w:t>
      </w:r>
      <w:r w:rsidR="00715ACD">
        <w:t>’</w:t>
      </w:r>
      <w:r>
        <w:t>y adhère pas ou le fait avec de multiples retards ; 2) la législation permettant la mise en œuvre de la Convention en droit interne n</w:t>
      </w:r>
      <w:r w:rsidR="00715ACD">
        <w:t>’</w:t>
      </w:r>
      <w:r>
        <w:t>est pas adoptée ; 3) les lois de mise en œuvre de la Convention sont inadaptées ou n</w:t>
      </w:r>
      <w:r w:rsidR="00715ACD">
        <w:t>’</w:t>
      </w:r>
      <w:r>
        <w:t>intègrent pas toutes les garanties prévues par celle-ci ; 4) des accords bilatéraux sont conclus en matière d</w:t>
      </w:r>
      <w:r w:rsidR="00715ACD">
        <w:t>’</w:t>
      </w:r>
      <w:r>
        <w:t>adoption internationale, mais ils imposent, permettent ou encouragent expressément des activités et arrangements financiers contraires aux normes internationales régissant les aspects financiers de l</w:t>
      </w:r>
      <w:r w:rsidR="00715ACD">
        <w:t>’</w:t>
      </w:r>
      <w:r>
        <w:t>adoption internationale ; 5) la loi n</w:t>
      </w:r>
      <w:r w:rsidR="00715ACD">
        <w:t>’</w:t>
      </w:r>
      <w:r>
        <w:t>est pas systématiquement appliquée du fait, entre autres, d</w:t>
      </w:r>
      <w:r w:rsidR="00715ACD">
        <w:t>’</w:t>
      </w:r>
      <w:r>
        <w:t>un manque de ressources allouées à cet effet ; et 6) les abus, l</w:t>
      </w:r>
      <w:r w:rsidR="00715ACD">
        <w:t>’</w:t>
      </w:r>
      <w:r>
        <w:t>obtention d</w:t>
      </w:r>
      <w:r w:rsidR="00715ACD">
        <w:t>’</w:t>
      </w:r>
      <w:r>
        <w:t xml:space="preserve">enfants et les cas de </w:t>
      </w:r>
      <w:r>
        <w:rPr>
          <w:i/>
          <w:iCs/>
        </w:rPr>
        <w:t>child laundering</w:t>
      </w:r>
      <w:r>
        <w:t xml:space="preserve"> ne sont pas systématiquement poursuivis</w:t>
      </w:r>
      <w:bookmarkStart w:id="68" w:name="_Ref142552927"/>
      <w:r w:rsidR="008C65D5" w:rsidRPr="002E65D8">
        <w:rPr>
          <w:rStyle w:val="FootnoteReference"/>
        </w:rPr>
        <w:footnoteReference w:id="81"/>
      </w:r>
      <w:bookmarkEnd w:id="68"/>
      <w:r w:rsidR="00D651B8">
        <w:t>.</w:t>
      </w:r>
      <w:r>
        <w:t xml:space="preserve"> Sans réelle volonté politique pour mettre en œuvre la Convention comme il se doit, instaurer des normes plus strictes à l</w:t>
      </w:r>
      <w:r w:rsidR="00715ACD">
        <w:t>’</w:t>
      </w:r>
      <w:r>
        <w:t>échelle nationale en légiférant et accroître la responsabilité, tout État contractant peut continuer à fermer les yeux sur les abus, la corruption et les mauvaises pratiques. Ce manque de volonté politique résulte parfois du fait que certains hauts fonctionnaires profitent eux-mêmes de l</w:t>
      </w:r>
      <w:r w:rsidR="00715ACD">
        <w:t>’</w:t>
      </w:r>
      <w:r>
        <w:t xml:space="preserve">adoption internationale sur le plan financier. </w:t>
      </w:r>
    </w:p>
    <w:p w14:paraId="12CD7017" w14:textId="44514DB4" w:rsidR="00D63F6E" w:rsidRPr="002E65D8" w:rsidRDefault="00720FA4" w:rsidP="0007371B">
      <w:pPr>
        <w:pStyle w:val="PBParagraph"/>
      </w:pPr>
      <w:r>
        <w:t>Il peut arriver que les États ne considèrent pas les aspects financiers de l</w:t>
      </w:r>
      <w:r w:rsidR="00715ACD">
        <w:t>’</w:t>
      </w:r>
      <w:r>
        <w:t>adoption comme une priorité. Et, à supposer qu</w:t>
      </w:r>
      <w:r w:rsidR="00715ACD">
        <w:t>’</w:t>
      </w:r>
      <w:r>
        <w:t>ils le fassent, ils peuvent avoir à contrer des lobbies influents qui préfèreraient qu</w:t>
      </w:r>
      <w:r w:rsidR="00715ACD">
        <w:t>’</w:t>
      </w:r>
      <w:r>
        <w:t>il n</w:t>
      </w:r>
      <w:r w:rsidR="00715ACD">
        <w:t>’</w:t>
      </w:r>
      <w:r>
        <w:t>y ait aucune restriction financière en matière d</w:t>
      </w:r>
      <w:r w:rsidR="00715ACD">
        <w:t>’</w:t>
      </w:r>
      <w:r>
        <w:t>adoption internationale. Ces groupes estiment que l</w:t>
      </w:r>
      <w:r w:rsidR="00715ACD">
        <w:t>’</w:t>
      </w:r>
      <w:r>
        <w:t xml:space="preserve">adoption ne devrait pas être restreinte par des mesures visant à atténuer les risques financiers. </w:t>
      </w:r>
    </w:p>
    <w:p w14:paraId="6F776D5B" w14:textId="245C96C0" w:rsidR="00B9780C" w:rsidRPr="002E65D8" w:rsidRDefault="00720FA4" w:rsidP="00091BAE">
      <w:pPr>
        <w:pStyle w:val="PBParagraph"/>
      </w:pPr>
      <w:r>
        <w:t>Dans les États d</w:t>
      </w:r>
      <w:r w:rsidR="00715ACD">
        <w:t>’</w:t>
      </w:r>
      <w:r>
        <w:t>accueil, les lobbies en faveur de l</w:t>
      </w:r>
      <w:r w:rsidR="00715ACD">
        <w:t>’</w:t>
      </w:r>
      <w:r>
        <w:t>adoption, les OAA et les FPA peuvent faire pression sur les dirigeants politiques pour qu</w:t>
      </w:r>
      <w:r w:rsidR="00715ACD">
        <w:t>’</w:t>
      </w:r>
      <w:r>
        <w:t>ils soutiennent les adoptions internationales d</w:t>
      </w:r>
      <w:r w:rsidR="00715ACD">
        <w:t>’</w:t>
      </w:r>
      <w:r>
        <w:t>enfants originaires d</w:t>
      </w:r>
      <w:r w:rsidR="00715ACD">
        <w:t>’</w:t>
      </w:r>
      <w:r>
        <w:t xml:space="preserve">un État en particulier. </w:t>
      </w:r>
      <w:r w:rsidR="006C5545">
        <w:t>De même</w:t>
      </w:r>
      <w:r>
        <w:t>, si de nombreuses adoptions internationales sont déjà réalisées à partir d</w:t>
      </w:r>
      <w:r w:rsidR="00715ACD">
        <w:t>’</w:t>
      </w:r>
      <w:r>
        <w:t>un État d</w:t>
      </w:r>
      <w:r w:rsidR="00715ACD">
        <w:t>’</w:t>
      </w:r>
      <w:r>
        <w:t xml:space="preserve">origine, cette pression vise à assurer le maintien du </w:t>
      </w:r>
      <w:r>
        <w:rPr>
          <w:i/>
          <w:iCs/>
        </w:rPr>
        <w:t>statu quo</w:t>
      </w:r>
      <w:r>
        <w:t>. Dans les États d</w:t>
      </w:r>
      <w:r w:rsidR="00715ACD">
        <w:t>’</w:t>
      </w:r>
      <w:r>
        <w:t>origine, la pression peut venir des OAA étrangers, des gouvernements des États d</w:t>
      </w:r>
      <w:r w:rsidR="00715ACD">
        <w:t>’</w:t>
      </w:r>
      <w:r>
        <w:t xml:space="preserve">accueil et des FPA. </w:t>
      </w:r>
    </w:p>
    <w:p w14:paraId="0B88D1A2" w14:textId="0791800F" w:rsidR="00E20A10" w:rsidRPr="002E65D8" w:rsidRDefault="00720FA4">
      <w:pPr>
        <w:pStyle w:val="PBParagraph"/>
      </w:pPr>
      <w:r>
        <w:t>En matière d</w:t>
      </w:r>
      <w:r w:rsidR="00715ACD">
        <w:t>’</w:t>
      </w:r>
      <w:r>
        <w:t>adoption internationale, l</w:t>
      </w:r>
      <w:r w:rsidR="00715ACD">
        <w:t>’</w:t>
      </w:r>
      <w:r>
        <w:t>argent peut exercer une « influence corruptrice dans les pays [...] en difficulté financière »</w:t>
      </w:r>
      <w:r w:rsidR="008C65D5" w:rsidRPr="002E65D8">
        <w:rPr>
          <w:rStyle w:val="FootnoteReference"/>
        </w:rPr>
        <w:footnoteReference w:id="82"/>
      </w:r>
      <w:r>
        <w:t>. Par exemple, une « </w:t>
      </w:r>
      <w:r w:rsidR="006C5545">
        <w:t>[</w:t>
      </w:r>
      <w:r>
        <w:t>c</w:t>
      </w:r>
      <w:r w:rsidR="006C5545">
        <w:t>]</w:t>
      </w:r>
      <w:r>
        <w:t>ulture de corruption [peut] favorise[r] un système de profits incontrôlé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15</w:t>
      </w:r>
      <w:r w:rsidR="009D113B">
        <w:t xml:space="preserve">) </w:t>
      </w:r>
      <w:r>
        <w:t>et promouvoir les abus, en particulier du fait de l</w:t>
      </w:r>
      <w:r w:rsidR="00715ACD">
        <w:t>’</w:t>
      </w:r>
      <w:r>
        <w:t>implication massive de fonctionnaires corrompus dans les procédures d</w:t>
      </w:r>
      <w:r w:rsidR="00715ACD">
        <w:t>’</w:t>
      </w:r>
      <w:r>
        <w:t>adoption internationale</w:t>
      </w:r>
      <w:r w:rsidR="00D7433F" w:rsidRPr="002E65D8">
        <w:rPr>
          <w:rStyle w:val="FootnoteReference"/>
        </w:rPr>
        <w:footnoteReference w:id="83"/>
      </w:r>
      <w:r>
        <w:t>. Cela représente un défi particulier lorsque la corruption de fonctionnaires et d</w:t>
      </w:r>
      <w:r w:rsidR="00715ACD">
        <w:t>’</w:t>
      </w:r>
      <w:r>
        <w:t xml:space="preserve">autres employés est monnaie courante dans un État où les salaires sont très bas. Cela peut </w:t>
      </w:r>
      <w:r>
        <w:lastRenderedPageBreak/>
        <w:t>engendrer de très graves problèmes tels que l</w:t>
      </w:r>
      <w:r w:rsidR="00715ACD">
        <w:t>’</w:t>
      </w:r>
      <w:r>
        <w:t>obtention d</w:t>
      </w:r>
      <w:r w:rsidR="00715ACD">
        <w:t>’</w:t>
      </w:r>
      <w:r>
        <w:t>enfants aux fins de l</w:t>
      </w:r>
      <w:r w:rsidR="00715ACD">
        <w:t>’</w:t>
      </w:r>
      <w:r>
        <w:t>adoption internationale. Les États d</w:t>
      </w:r>
      <w:r w:rsidR="00715ACD">
        <w:t>’</w:t>
      </w:r>
      <w:r>
        <w:t>accueil devraient adéquatement informer les FPA et les OAA des risques de corruption dans ce contexte.</w:t>
      </w:r>
    </w:p>
    <w:p w14:paraId="6A285430" w14:textId="7BF71463" w:rsidR="00B9780C" w:rsidRPr="002E65D8" w:rsidRDefault="00720FA4" w:rsidP="00091BAE">
      <w:pPr>
        <w:pStyle w:val="PBParagraph"/>
      </w:pPr>
      <w:r>
        <w:t>Une information et une formation appropriées des différents acteurs de la procédure d</w:t>
      </w:r>
      <w:r w:rsidR="00715ACD">
        <w:t>’</w:t>
      </w:r>
      <w:r>
        <w:t>adoption, y compris les élus, représentent l</w:t>
      </w:r>
      <w:r w:rsidR="00715ACD">
        <w:t>’</w:t>
      </w:r>
      <w:r>
        <w:t>un des outils nécessaires pour changer la situation, éliminer les profits exorbitants et supprimer les incitations aux gains matériels indus. Informer ces acteurs des risques associés aux gains matériels indus dans le domaine de l</w:t>
      </w:r>
      <w:r w:rsidR="00715ACD">
        <w:t>’</w:t>
      </w:r>
      <w:r>
        <w:t>adoption, y compris de l</w:t>
      </w:r>
      <w:r w:rsidR="00715ACD">
        <w:t>’</w:t>
      </w:r>
      <w:r>
        <w:t>impact sur les victimes, peut aider à renforcer la volonté politique, ainsi qu</w:t>
      </w:r>
      <w:r w:rsidR="00715ACD">
        <w:t>’</w:t>
      </w:r>
      <w:r>
        <w:t>à éliminer les profits exorbitants et supprimer les incitations aux gains matériels indus. Par le passé, des formations dispensées aux parlementaires et des rencontres organisées avec ceux-ci pour leur expliquer précisément les problèmes et la nécessité d</w:t>
      </w:r>
      <w:r w:rsidR="00715ACD">
        <w:t>’</w:t>
      </w:r>
      <w:r>
        <w:t>améliorer la situation ont permis d</w:t>
      </w:r>
      <w:r w:rsidR="00715ACD">
        <w:t>’</w:t>
      </w:r>
      <w:r>
        <w:t>obtenir le soutien nécessaire au vote d</w:t>
      </w:r>
      <w:r w:rsidR="00715ACD">
        <w:t>’</w:t>
      </w:r>
      <w:r>
        <w:t>une nouvelle loi sur l</w:t>
      </w:r>
      <w:r w:rsidR="00715ACD">
        <w:t>’</w:t>
      </w:r>
      <w:r>
        <w:t xml:space="preserve">adoption protégeant mieux les droits des enfants. </w:t>
      </w:r>
    </w:p>
    <w:p w14:paraId="28329C64" w14:textId="05168DC7" w:rsidR="00B9780C" w:rsidRPr="002E65D8" w:rsidRDefault="00B9780C" w:rsidP="004047D5">
      <w:pPr>
        <w:pStyle w:val="Heading2"/>
        <w:numPr>
          <w:ilvl w:val="1"/>
          <w:numId w:val="2"/>
        </w:numPr>
      </w:pPr>
      <w:bookmarkStart w:id="69" w:name="_Ref212146070"/>
      <w:bookmarkStart w:id="70" w:name="_Toc236061657"/>
      <w:r>
        <w:t>Dépendance à l</w:t>
      </w:r>
      <w:r w:rsidR="00715ACD">
        <w:t>’</w:t>
      </w:r>
      <w:r>
        <w:t>égard des fonds liés à l</w:t>
      </w:r>
      <w:r w:rsidR="00715ACD">
        <w:t>’</w:t>
      </w:r>
      <w:r>
        <w:t>adoption internationale</w:t>
      </w:r>
      <w:bookmarkEnd w:id="69"/>
      <w:bookmarkEnd w:id="70"/>
    </w:p>
    <w:p w14:paraId="7389AED7" w14:textId="6B5031E2" w:rsidR="00774D8E" w:rsidRPr="002E65D8" w:rsidRDefault="00720FA4" w:rsidP="00AB4B26">
      <w:pPr>
        <w:pStyle w:val="PBParagraph"/>
      </w:pPr>
      <w:r>
        <w:t>L</w:t>
      </w:r>
      <w:r w:rsidR="00715ACD">
        <w:t>’</w:t>
      </w:r>
      <w:r>
        <w:t>adoption internationale peut « gén[érer] des possibilités de revenus que beaucoup cherchent, naturellement, à préserver et développer, indépendamment de tous les besoins réels d</w:t>
      </w:r>
      <w:r w:rsidR="00715ACD">
        <w:t>’</w:t>
      </w:r>
      <w:r>
        <w:t>adoption des enfants »</w:t>
      </w:r>
      <w:r w:rsidR="00AB4B26" w:rsidRPr="002E65D8">
        <w:rPr>
          <w:rStyle w:val="FootnoteReference"/>
        </w:rPr>
        <w:footnoteReference w:id="84"/>
      </w:r>
      <w:r>
        <w:t>, surtout lorsque d</w:t>
      </w:r>
      <w:r w:rsidR="00715ACD">
        <w:t>’</w:t>
      </w:r>
      <w:r>
        <w:t>importantes sommes d</w:t>
      </w:r>
      <w:r w:rsidR="00715ACD">
        <w:t>’</w:t>
      </w:r>
      <w:r>
        <w:t>argent sont en jeu. Dans certains cas, les revenus associés à l</w:t>
      </w:r>
      <w:r w:rsidR="00715ACD">
        <w:t>’</w:t>
      </w:r>
      <w:r>
        <w:t>adoption internationale dans un État d</w:t>
      </w:r>
      <w:r w:rsidR="00715ACD">
        <w:t>’</w:t>
      </w:r>
      <w:r>
        <w:t>origine donné étaient considérables. Par exemple, s</w:t>
      </w:r>
      <w:r w:rsidR="00715ACD">
        <w:t>’</w:t>
      </w:r>
      <w:r>
        <w:t>il était demandé aux FPA de payer 10 000 dollars américains dans un État d</w:t>
      </w:r>
      <w:r w:rsidR="00715ACD">
        <w:t>’</w:t>
      </w:r>
      <w:r>
        <w:t>origine où étaient réalisées environ 2 000 adoptions internationales par an, cela représentait un total de 20 000 000 dollars versés annuellement à cet État d</w:t>
      </w:r>
      <w:r w:rsidR="00715ACD">
        <w:t>’</w:t>
      </w:r>
      <w:r>
        <w:t>origine au titre de l</w:t>
      </w:r>
      <w:r w:rsidR="00715ACD">
        <w:t>’</w:t>
      </w:r>
      <w:r>
        <w:t xml:space="preserve">adoption internationale. </w:t>
      </w:r>
    </w:p>
    <w:p w14:paraId="1E5A754C" w14:textId="54BB48DC" w:rsidR="0005636D" w:rsidRPr="002E65D8" w:rsidRDefault="00474F76" w:rsidP="004C54C2">
      <w:pPr>
        <w:pStyle w:val="PBParagraph"/>
      </w:pPr>
      <w:r>
        <w:t>S</w:t>
      </w:r>
      <w:r w:rsidR="00715ACD">
        <w:t>’</w:t>
      </w:r>
      <w:r>
        <w:t>il est vrai que le nombre d</w:t>
      </w:r>
      <w:r w:rsidR="00715ACD">
        <w:t>’</w:t>
      </w:r>
      <w:r>
        <w:t>adoptions internationales diminue depuis de nombreuses années, les contributions, dons et projets de coopération continuent à être réalisés en lien avec certaines de ces adoptions. Si leur impact global sur les États d</w:t>
      </w:r>
      <w:r w:rsidR="00715ACD">
        <w:t>’</w:t>
      </w:r>
      <w:r>
        <w:t>origine peut être réduit eu égard au faible nombre d</w:t>
      </w:r>
      <w:r w:rsidR="00715ACD">
        <w:t>’</w:t>
      </w:r>
      <w:r>
        <w:t xml:space="preserve">adoptions, de telles contributions continuent à avoir un effet </w:t>
      </w:r>
      <w:r w:rsidR="00D25B9C">
        <w:t>notable</w:t>
      </w:r>
      <w:r>
        <w:t xml:space="preserve"> sur des personnes et institutions en particulier. Ces acteurs peuvent être dépendants du soutien qu</w:t>
      </w:r>
      <w:r w:rsidR="00715ACD">
        <w:t>’</w:t>
      </w:r>
      <w:r>
        <w:t>ils reçoivent. Outre le fait que cette dynamique est susceptible de créer une dépendance sur le plan financier, elle peut aussi favoriser le recours aux institutions pour enfants, ce qui peut, par voie de conséquence, décourager les efforts visant à éviter le placement dans le système de protection des enfants (prévention de l</w:t>
      </w:r>
      <w:r w:rsidR="00715ACD">
        <w:t>’</w:t>
      </w:r>
      <w:r>
        <w:t xml:space="preserve">admission à la prise en charge de remplacement) et compromettre les initiatives visant à promouvoir la </w:t>
      </w:r>
      <w:r w:rsidR="007073F9">
        <w:t>désinstitutionalisation</w:t>
      </w:r>
      <w:r>
        <w:t>.</w:t>
      </w:r>
    </w:p>
    <w:p w14:paraId="6469D97C" w14:textId="67F360EE" w:rsidR="00B9780C" w:rsidRPr="002E65D8" w:rsidRDefault="00720FA4">
      <w:pPr>
        <w:pStyle w:val="PBParagraph"/>
      </w:pPr>
      <w:r>
        <w:t>De plus, certains États d</w:t>
      </w:r>
      <w:r w:rsidR="00715ACD">
        <w:t>’</w:t>
      </w:r>
      <w:r>
        <w:t>origine financent (partiellement) leur système d</w:t>
      </w:r>
      <w:r w:rsidR="00715ACD">
        <w:t>’</w:t>
      </w:r>
      <w:r>
        <w:t>adoption par les frais et honoraires payés et leur système de protection des enfants par les contributions et les dons (voir chapitre </w:t>
      </w:r>
      <w:r w:rsidR="00151E36" w:rsidRPr="002E65D8">
        <w:fldChar w:fldCharType="begin"/>
      </w:r>
      <w:r w:rsidR="00151E36" w:rsidRPr="002E65D8">
        <w:instrText xml:space="preserve"> REF _Ref228436428 \r \h </w:instrText>
      </w:r>
      <w:r w:rsidR="002E65D8">
        <w:instrText xml:space="preserve"> \* MERGEFORMAT </w:instrText>
      </w:r>
      <w:r w:rsidR="00151E36" w:rsidRPr="002E65D8">
        <w:fldChar w:fldCharType="separate"/>
      </w:r>
      <w:r w:rsidR="00E6549D">
        <w:t>7</w:t>
      </w:r>
      <w:r w:rsidR="00151E36" w:rsidRPr="002E65D8">
        <w:fldChar w:fldCharType="end"/>
      </w:r>
      <w:r>
        <w:t>). Les États qui veulent assurer un flux régulier de fonds extérieurs en appui de leurs systèmes d</w:t>
      </w:r>
      <w:r w:rsidR="00715ACD">
        <w:t>’</w:t>
      </w:r>
      <w:r>
        <w:t>adoption et de leurs efforts de protection des enfants peuvent se sentir obligés de maintenir un « stock » d</w:t>
      </w:r>
      <w:r w:rsidR="00715ACD">
        <w:t>’</w:t>
      </w:r>
      <w:r>
        <w:t>enfants en vue de l</w:t>
      </w:r>
      <w:r w:rsidR="00715ACD">
        <w:t>’</w:t>
      </w:r>
      <w:r>
        <w:t>adoption internationale ou d</w:t>
      </w:r>
      <w:r w:rsidR="00715ACD">
        <w:t>’</w:t>
      </w:r>
      <w:r>
        <w:t>imposer des services d</w:t>
      </w:r>
      <w:r w:rsidR="00715ACD">
        <w:t>’</w:t>
      </w:r>
      <w:r>
        <w:t>adoption qui ne sont pas nécessaires ou peuvent être excessifs</w:t>
      </w:r>
      <w:r w:rsidR="008C65D5" w:rsidRPr="002E65D8">
        <w:rPr>
          <w:rStyle w:val="FootnoteReference"/>
        </w:rPr>
        <w:footnoteReference w:id="85"/>
      </w:r>
      <w:r>
        <w:t>. Les OAA dans les États d</w:t>
      </w:r>
      <w:r w:rsidR="00715ACD">
        <w:t>’</w:t>
      </w:r>
      <w:r>
        <w:t>accueil peuvent quant à eux subir une certaine pression pour rechercher et collecter ces dons et contributions afin de maintenir leur partenariat et de répondre aux besoins des enfants. Toutes ces situations créent de la dépendance</w:t>
      </w:r>
      <w:r w:rsidR="00136D63" w:rsidRPr="002E65D8">
        <w:rPr>
          <w:rStyle w:val="FootnoteReference"/>
        </w:rPr>
        <w:footnoteReference w:id="86"/>
      </w:r>
      <w:r>
        <w:t>. Les autorités, les OAA, les institutions pour enfants et d</w:t>
      </w:r>
      <w:r w:rsidR="00715ACD">
        <w:t>’</w:t>
      </w:r>
      <w:r>
        <w:t>autres acteurs s</w:t>
      </w:r>
      <w:r w:rsidR="00715ACD">
        <w:t>’</w:t>
      </w:r>
      <w:r>
        <w:t>attendent par exemple à recevoir de l</w:t>
      </w:r>
      <w:r w:rsidR="00715ACD">
        <w:t>’</w:t>
      </w:r>
      <w:r>
        <w:t>argent lorsque les adoptions aboutissent. Ils peuvent par conséquent encourager l</w:t>
      </w:r>
      <w:r w:rsidR="00715ACD">
        <w:t>’</w:t>
      </w:r>
      <w:r>
        <w:t>abandon d</w:t>
      </w:r>
      <w:r w:rsidR="00715ACD">
        <w:t>’</w:t>
      </w:r>
      <w:r>
        <w:t>enfants</w:t>
      </w:r>
      <w:r w:rsidR="008C65D5" w:rsidRPr="002E65D8">
        <w:rPr>
          <w:rStyle w:val="FootnoteReference"/>
        </w:rPr>
        <w:footnoteReference w:id="87"/>
      </w:r>
      <w:r>
        <w:t xml:space="preserve"> et faire obstacle à la bonne mise en œuvre du principe de subsidiarité. Comme le reconnaît l</w:t>
      </w:r>
      <w:r w:rsidR="00715ACD">
        <w:t>’</w:t>
      </w:r>
      <w:r>
        <w:t>African Child Policy Forum, « [l]</w:t>
      </w:r>
      <w:r w:rsidR="00715ACD">
        <w:t>’</w:t>
      </w:r>
      <w:r>
        <w:t>argent ne détermine pas seulement la façon dont [l]es adoptions sont réalisées, mais aussi les raisons pour lesquelles beaucoup sont initiées »</w:t>
      </w:r>
      <w:r w:rsidR="008C65D5" w:rsidRPr="002E65D8">
        <w:rPr>
          <w:rStyle w:val="FootnoteReference"/>
        </w:rPr>
        <w:footnoteReference w:id="88"/>
      </w:r>
      <w:r>
        <w:t>.</w:t>
      </w:r>
    </w:p>
    <w:p w14:paraId="4BC95378" w14:textId="7F9907D3" w:rsidR="00B9780C" w:rsidRPr="002E65D8" w:rsidRDefault="00B9780C" w:rsidP="004047D5">
      <w:pPr>
        <w:pStyle w:val="Heading2"/>
        <w:numPr>
          <w:ilvl w:val="1"/>
          <w:numId w:val="2"/>
        </w:numPr>
      </w:pPr>
      <w:bookmarkStart w:id="71" w:name="_Toc236061658"/>
      <w:r>
        <w:lastRenderedPageBreak/>
        <w:t>Risques associés aux adoptions privées, indépendantes et non régies par la Convention</w:t>
      </w:r>
      <w:bookmarkEnd w:id="71"/>
    </w:p>
    <w:p w14:paraId="0594123E" w14:textId="47F7A732" w:rsidR="00B9780C" w:rsidRPr="002E65D8" w:rsidRDefault="00720FA4" w:rsidP="00091BAE">
      <w:pPr>
        <w:pStyle w:val="PBParagraph"/>
      </w:pPr>
      <w:r>
        <w:t>Les adoptions privées favorisent les abus financiers, car elles interviennent généralement dans un contexte de moindre surveillance des autorités</w:t>
      </w:r>
      <w:r w:rsidR="008C65D5" w:rsidRPr="002E65D8">
        <w:rPr>
          <w:rStyle w:val="FootnoteReference"/>
        </w:rPr>
        <w:footnoteReference w:id="89"/>
      </w:r>
      <w:r>
        <w:t>. Les arrangements directs entre les parents d</w:t>
      </w:r>
      <w:r w:rsidR="00715ACD">
        <w:t>’</w:t>
      </w:r>
      <w:r>
        <w:t>origine d</w:t>
      </w:r>
      <w:r w:rsidR="00715ACD">
        <w:t>’</w:t>
      </w:r>
      <w:r>
        <w:t>un État et des FPA d</w:t>
      </w:r>
      <w:r w:rsidR="00715ACD">
        <w:t>’</w:t>
      </w:r>
      <w:r>
        <w:t>un autre État suscitent des abus et des pressions en tous genres. Dans la plupart des cas, les parents d</w:t>
      </w:r>
      <w:r w:rsidR="00715ACD">
        <w:t>’</w:t>
      </w:r>
      <w:r>
        <w:t>origine et les FPA ne sont pas bien informés ou conseillés, ce qui risque de donner lieu à un arrangement prévoyant la vente de l</w:t>
      </w:r>
      <w:r w:rsidR="00715ACD">
        <w:t>’</w:t>
      </w:r>
      <w:r>
        <w:t>enfant, ou à un autre type d</w:t>
      </w:r>
      <w:r w:rsidR="00715ACD">
        <w:t>’</w:t>
      </w:r>
      <w:r>
        <w:t>arrangement illicite ou abusif, qui ne sera pas dans l</w:t>
      </w:r>
      <w:r w:rsidR="00715ACD">
        <w:t>’</w:t>
      </w:r>
      <w:r>
        <w:t>intérêt supérieur de l</w:t>
      </w:r>
      <w:r w:rsidR="00715ACD">
        <w:t>’</w:t>
      </w:r>
      <w:r>
        <w:t>enfant. Cela peut aussi inciter certaines personnes, sous l</w:t>
      </w:r>
      <w:r w:rsidR="00715ACD">
        <w:t>’</w:t>
      </w:r>
      <w:r>
        <w:t>emprise de leur désir d</w:t>
      </w:r>
      <w:r w:rsidR="00715ACD">
        <w:t>’</w:t>
      </w:r>
      <w:r>
        <w:t>adoption, à proposer de l</w:t>
      </w:r>
      <w:r w:rsidR="00715ACD">
        <w:t>’</w:t>
      </w:r>
      <w:r>
        <w:t xml:space="preserve">argent pour faciliter la procédure. </w:t>
      </w:r>
    </w:p>
    <w:p w14:paraId="1C8C7A5D" w14:textId="09830F00" w:rsidR="00B9780C" w:rsidRPr="002E65D8" w:rsidRDefault="00720FA4" w:rsidP="00091BAE">
      <w:pPr>
        <w:pStyle w:val="PBParagraph"/>
      </w:pPr>
      <w:r>
        <w:t>Les adoptions indépendantes peuvent également être le théâtre d</w:t>
      </w:r>
      <w:r w:rsidR="00715ACD">
        <w:t>’</w:t>
      </w:r>
      <w:r>
        <w:t>abus financiers. Il s</w:t>
      </w:r>
      <w:r w:rsidR="00715ACD">
        <w:t>’</w:t>
      </w:r>
      <w:r>
        <w:t>agit d</w:t>
      </w:r>
      <w:r w:rsidR="00715ACD">
        <w:t>’</w:t>
      </w:r>
      <w:r>
        <w:t>adoptions dans le cadre desquelles des FPA sont déclarés éligibles et aptes à adopter par leur Autorité centrale ou OAA, avant de se rendre de manière indépendante dans un État d</w:t>
      </w:r>
      <w:r w:rsidR="00715ACD">
        <w:t>’</w:t>
      </w:r>
      <w:r>
        <w:t>origine pour trouver un enfant à adopter, sans l</w:t>
      </w:r>
      <w:r w:rsidR="00715ACD">
        <w:t>’</w:t>
      </w:r>
      <w:r>
        <w:t>assistance d</w:t>
      </w:r>
      <w:r w:rsidR="00715ACD">
        <w:t>’</w:t>
      </w:r>
      <w:r>
        <w:t>une Autorité centrale ou d</w:t>
      </w:r>
      <w:r w:rsidR="00715ACD">
        <w:t>’</w:t>
      </w:r>
      <w:r>
        <w:t>un OAA dans l</w:t>
      </w:r>
      <w:r w:rsidR="00715ACD">
        <w:t>’</w:t>
      </w:r>
      <w:r>
        <w:t>État d</w:t>
      </w:r>
      <w:r w:rsidR="00715ACD">
        <w:t>’</w:t>
      </w:r>
      <w:r>
        <w:t>origine</w:t>
      </w:r>
      <w:r w:rsidR="008C65D5" w:rsidRPr="002E65D8">
        <w:rPr>
          <w:rStyle w:val="FootnoteReference"/>
        </w:rPr>
        <w:footnoteReference w:id="90"/>
      </w:r>
      <w:r>
        <w:t>. Dans ces situations, les FPA sont plus exposés à toutes sortes d</w:t>
      </w:r>
      <w:r w:rsidR="00715ACD">
        <w:t>’</w:t>
      </w:r>
      <w:r>
        <w:t>exploitations, de pressions et de menaces exercées par des intermédiaires sans scrupules, du fait de l</w:t>
      </w:r>
      <w:r w:rsidR="00715ACD">
        <w:t>’</w:t>
      </w:r>
      <w:r>
        <w:t>absence de conseils et de protection dans l</w:t>
      </w:r>
      <w:r w:rsidR="00715ACD">
        <w:t>’</w:t>
      </w:r>
      <w:r>
        <w:t>État d</w:t>
      </w:r>
      <w:r w:rsidR="00715ACD">
        <w:t>’</w:t>
      </w:r>
      <w:r>
        <w:t>origine. Même si dans les États contractants, les Autorités centrales ou les autorités compétentes interviennent à un moment donné de la procédure, cela n</w:t>
      </w:r>
      <w:r w:rsidR="00715ACD">
        <w:t>’</w:t>
      </w:r>
      <w:r>
        <w:t>offre pas une protection équivalente contre les risques d</w:t>
      </w:r>
      <w:r w:rsidR="00715ACD">
        <w:t>’</w:t>
      </w:r>
      <w:r>
        <w:t>abus. Les adoptions indépendantes n</w:t>
      </w:r>
      <w:r w:rsidR="00715ACD">
        <w:t>’</w:t>
      </w:r>
      <w:r>
        <w:t>offrent pas les mêmes garanties que lorsqu</w:t>
      </w:r>
      <w:r w:rsidR="00715ACD">
        <w:t>’</w:t>
      </w:r>
      <w:r>
        <w:t>une Autorité centrale ou un OAA guide les FPA du début à la fin, sous réserve que l</w:t>
      </w:r>
      <w:r w:rsidR="00715ACD">
        <w:t>’</w:t>
      </w:r>
      <w:r>
        <w:t>OAA respecte la Convention. Une adoption réalisée par l</w:t>
      </w:r>
      <w:r w:rsidR="00715ACD">
        <w:t>’</w:t>
      </w:r>
      <w:r>
        <w:t>entremise de professionnels qualifiés et soucieux de l</w:t>
      </w:r>
      <w:r w:rsidR="00715ACD">
        <w:t>’</w:t>
      </w:r>
      <w:r>
        <w:t>éthique (qu</w:t>
      </w:r>
      <w:r w:rsidR="00715ACD">
        <w:t>’</w:t>
      </w:r>
      <w:r>
        <w:t>il s</w:t>
      </w:r>
      <w:r w:rsidR="00715ACD">
        <w:t>’</w:t>
      </w:r>
      <w:r>
        <w:t>agisse d</w:t>
      </w:r>
      <w:r w:rsidR="00715ACD">
        <w:t>’</w:t>
      </w:r>
      <w:r>
        <w:t>une Autorité centrale ou d</w:t>
      </w:r>
      <w:r w:rsidR="00715ACD">
        <w:t>’</w:t>
      </w:r>
      <w:r>
        <w:t>un OAA) offre l</w:t>
      </w:r>
      <w:r w:rsidR="00715ACD">
        <w:t>’</w:t>
      </w:r>
      <w:r>
        <w:t>avantage de travailler avec une équipe pluridisciplinaire de professionnels qualifiés et expérimentés qui peut aider les FPA à comprendre la procédure d</w:t>
      </w:r>
      <w:r w:rsidR="00715ACD">
        <w:t>’</w:t>
      </w:r>
      <w:r>
        <w:t>adoption internationale, y compris ses aspects financiers et à s</w:t>
      </w:r>
      <w:r w:rsidR="00715ACD">
        <w:t>’</w:t>
      </w:r>
      <w:r>
        <w:t>y retrouver.</w:t>
      </w:r>
    </w:p>
    <w:p w14:paraId="0A73DB53" w14:textId="768BE891" w:rsidR="00D71776" w:rsidRPr="002E65D8" w:rsidRDefault="00720FA4">
      <w:pPr>
        <w:pStyle w:val="PBParagraph"/>
      </w:pPr>
      <w:r>
        <w:t xml:space="preserve">Au vu de ce qui précède, les réunions de 2010, 2015 et 2022 de la </w:t>
      </w:r>
      <w:r w:rsidR="00283B34">
        <w:t>CS</w:t>
      </w:r>
      <w:r>
        <w:t xml:space="preserve"> ont conclu que les adoptions privées et indépendantes n</w:t>
      </w:r>
      <w:r w:rsidR="00715ACD">
        <w:t>’</w:t>
      </w:r>
      <w:r>
        <w:t>étaient pas compatibles avec la Convention et ont recommandé leur interdiction</w:t>
      </w:r>
      <w:r w:rsidR="008C65D5" w:rsidRPr="002E65D8">
        <w:rPr>
          <w:rStyle w:val="FootnoteReference"/>
        </w:rPr>
        <w:footnoteReference w:id="91"/>
      </w:r>
      <w:r>
        <w:t xml:space="preserve">. En outre, </w:t>
      </w:r>
      <w:r w:rsidR="00A870B1">
        <w:t xml:space="preserve">il est bien précisé dans </w:t>
      </w:r>
      <w:r>
        <w:t xml:space="preserve">la </w:t>
      </w:r>
      <w:r w:rsidR="00250381">
        <w:t xml:space="preserve">Boîte </w:t>
      </w:r>
      <w:r>
        <w:t>à outils que les adoptions privées et indépendant</w:t>
      </w:r>
      <w:r w:rsidR="00D651B8">
        <w:t>es sont des pratiques illicites</w:t>
      </w:r>
      <w:r w:rsidR="001E0389" w:rsidRPr="002E65D8">
        <w:rPr>
          <w:rStyle w:val="FootnoteReference"/>
        </w:rPr>
        <w:footnoteReference w:id="92"/>
      </w:r>
      <w:r w:rsidR="00D651B8">
        <w:t>.</w:t>
      </w:r>
      <w:r>
        <w:t xml:space="preserve"> En pratique, conformément à la Convention Adoption de 1993, de nombreux États exigent l</w:t>
      </w:r>
      <w:r w:rsidR="00715ACD">
        <w:t>’</w:t>
      </w:r>
      <w:r>
        <w:t>implication des deux Autorités centrales (dans l</w:t>
      </w:r>
      <w:r w:rsidR="00715ACD">
        <w:t>’</w:t>
      </w:r>
      <w:r>
        <w:t>État d</w:t>
      </w:r>
      <w:r w:rsidR="00715ACD">
        <w:t>’</w:t>
      </w:r>
      <w:r>
        <w:t>origine et dans l</w:t>
      </w:r>
      <w:r w:rsidR="00715ACD">
        <w:t>’</w:t>
      </w:r>
      <w:r>
        <w:t>État d</w:t>
      </w:r>
      <w:r w:rsidR="00715ACD">
        <w:t>’</w:t>
      </w:r>
      <w:r>
        <w:t>accueil) et ont donc, dans les faits, déjà interdit les adoptions privées</w:t>
      </w:r>
      <w:r w:rsidR="001E0389" w:rsidRPr="002E65D8">
        <w:rPr>
          <w:rStyle w:val="FootnoteReference"/>
        </w:rPr>
        <w:footnoteReference w:id="93"/>
      </w:r>
      <w:r>
        <w:t xml:space="preserve"> et / ou indépendantes</w:t>
      </w:r>
      <w:bookmarkStart w:id="72" w:name="_Ref231545624"/>
      <w:r w:rsidR="00C96D48" w:rsidRPr="002E65D8">
        <w:rPr>
          <w:rStyle w:val="FootnoteReference"/>
        </w:rPr>
        <w:footnoteReference w:id="94"/>
      </w:r>
      <w:bookmarkEnd w:id="72"/>
      <w:r>
        <w:t xml:space="preserve">. </w:t>
      </w:r>
    </w:p>
    <w:p w14:paraId="12840CC7" w14:textId="2FE6FC4F" w:rsidR="00B9780C" w:rsidRPr="002E65D8" w:rsidRDefault="00B934D7" w:rsidP="00091BAE">
      <w:pPr>
        <w:pStyle w:val="PBParagraph"/>
      </w:pPr>
      <w:r>
        <w:t>En ce qui concerne l</w:t>
      </w:r>
      <w:r w:rsidR="00715ACD">
        <w:t>’</w:t>
      </w:r>
      <w:r>
        <w:t>implication des OAA, la situation est différente. Certains États ont récemment décidé de n</w:t>
      </w:r>
      <w:r w:rsidR="00715ACD">
        <w:t>’</w:t>
      </w:r>
      <w:r>
        <w:t>autoriser les adoptions internationales qu</w:t>
      </w:r>
      <w:r w:rsidR="00715ACD">
        <w:t>’</w:t>
      </w:r>
      <w:r>
        <w:t>entre Autorités centrales, sans aucune implication d</w:t>
      </w:r>
      <w:r w:rsidR="00715ACD">
        <w:t>’</w:t>
      </w:r>
      <w:r>
        <w:t>OAA</w:t>
      </w:r>
      <w:r w:rsidR="009729C7" w:rsidRPr="002E65D8">
        <w:rPr>
          <w:rStyle w:val="FootnoteReference"/>
        </w:rPr>
        <w:footnoteReference w:id="95"/>
      </w:r>
      <w:r>
        <w:t>. D</w:t>
      </w:r>
      <w:r w:rsidR="00715ACD">
        <w:t>’</w:t>
      </w:r>
      <w:r>
        <w:t>autres États d</w:t>
      </w:r>
      <w:r w:rsidR="00715ACD">
        <w:t>’</w:t>
      </w:r>
      <w:r>
        <w:t>accueil ont rendu obligatoire l</w:t>
      </w:r>
      <w:r w:rsidR="00715ACD">
        <w:t>’</w:t>
      </w:r>
      <w:r>
        <w:t>intervention d</w:t>
      </w:r>
      <w:r w:rsidR="00715ACD">
        <w:t>’</w:t>
      </w:r>
      <w:r>
        <w:t>un OAA</w:t>
      </w:r>
      <w:r w:rsidR="00D5376C" w:rsidRPr="002E65D8">
        <w:rPr>
          <w:rStyle w:val="FootnoteReference"/>
        </w:rPr>
        <w:footnoteReference w:id="96"/>
      </w:r>
      <w:r>
        <w:t>. Dans les deux cas, l</w:t>
      </w:r>
      <w:r w:rsidR="00715ACD">
        <w:t>’</w:t>
      </w:r>
      <w:r>
        <w:t>objectif est d</w:t>
      </w:r>
      <w:r w:rsidR="00715ACD">
        <w:t>’</w:t>
      </w:r>
      <w:r>
        <w:t>augmenter le niveau de contrôle et de supervision de l</w:t>
      </w:r>
      <w:r w:rsidR="00715ACD">
        <w:t>’</w:t>
      </w:r>
      <w:r>
        <w:t>adoption et, dès lors, de limiter les risques d</w:t>
      </w:r>
      <w:r w:rsidR="00715ACD">
        <w:t>’</w:t>
      </w:r>
      <w:r>
        <w:t>abus et de pratiques non professionnelles, en particulier quant aux aspects financiers de l</w:t>
      </w:r>
      <w:r w:rsidR="00715ACD">
        <w:t>’</w:t>
      </w:r>
      <w:r>
        <w:t>adoption</w:t>
      </w:r>
      <w:r w:rsidR="008C65D5" w:rsidRPr="002E65D8">
        <w:rPr>
          <w:rStyle w:val="FootnoteReference"/>
        </w:rPr>
        <w:footnoteReference w:id="97"/>
      </w:r>
      <w:r>
        <w:t xml:space="preserve">. </w:t>
      </w:r>
    </w:p>
    <w:p w14:paraId="6EEADEB2" w14:textId="635182D8" w:rsidR="00B9780C" w:rsidRPr="002E65D8" w:rsidRDefault="00720FA4" w:rsidP="00F72D5A">
      <w:pPr>
        <w:pStyle w:val="PBParagraph"/>
      </w:pPr>
      <w:r>
        <w:lastRenderedPageBreak/>
        <w:t>Par ailleurs, les risques d</w:t>
      </w:r>
      <w:r w:rsidR="00715ACD">
        <w:t>’</w:t>
      </w:r>
      <w:r>
        <w:t>abus financiers sont généralement plus élevés et l</w:t>
      </w:r>
      <w:r w:rsidR="00715ACD">
        <w:t>’</w:t>
      </w:r>
      <w:r>
        <w:t>obtention d</w:t>
      </w:r>
      <w:r w:rsidR="00715ACD">
        <w:t>’</w:t>
      </w:r>
      <w:r>
        <w:t xml:space="preserve">enfants tend à être plus fréquente dans les États </w:t>
      </w:r>
      <w:r w:rsidR="00F72D5A">
        <w:t>qui ne sont pas P</w:t>
      </w:r>
      <w:r>
        <w:t>arties à la Convention Adoption de 1993, précisément parce que les adoptions privées et indépendantes y sont plus courantes. D</w:t>
      </w:r>
      <w:r w:rsidR="00715ACD">
        <w:t>’</w:t>
      </w:r>
      <w:r>
        <w:t>autre part, l</w:t>
      </w:r>
      <w:r w:rsidR="00715ACD">
        <w:t>’</w:t>
      </w:r>
      <w:r>
        <w:t>absence d</w:t>
      </w:r>
      <w:r w:rsidR="00715ACD">
        <w:t>’</w:t>
      </w:r>
      <w:r>
        <w:t>Autorité centrale désignée en vertu de la Convention afin de superviser la procédure est aussi source de problèmes. S</w:t>
      </w:r>
      <w:r w:rsidR="00715ACD">
        <w:t>’</w:t>
      </w:r>
      <w:r>
        <w:t>il est vrai que les États Parties devraient, dans la mesure du possible, appliquer les garanties et normes de la Convention aux adoptions internationales réalisées avec des États qui ne sont pas encore Parties à celle-ci</w:t>
      </w:r>
      <w:r w:rsidR="008C65D5" w:rsidRPr="002E65D8">
        <w:rPr>
          <w:rStyle w:val="FootnoteReference"/>
        </w:rPr>
        <w:footnoteReference w:id="98"/>
      </w:r>
      <w:r>
        <w:t xml:space="preserve"> (notamment sur les questions financières), c</w:t>
      </w:r>
      <w:r w:rsidR="00715ACD">
        <w:t>’</w:t>
      </w:r>
      <w:r>
        <w:t xml:space="preserve">est rarement le cas en pratique. </w:t>
      </w:r>
    </w:p>
    <w:p w14:paraId="436E398A" w14:textId="4FDB105B" w:rsidR="00B9780C" w:rsidRPr="002E65D8" w:rsidRDefault="00B9780C" w:rsidP="004047D5">
      <w:pPr>
        <w:pStyle w:val="Heading2"/>
        <w:numPr>
          <w:ilvl w:val="1"/>
          <w:numId w:val="2"/>
        </w:numPr>
      </w:pPr>
      <w:bookmarkStart w:id="73" w:name="_Ref212145538"/>
      <w:bookmarkStart w:id="74" w:name="_Toc236061659"/>
      <w:r>
        <w:t>Un marché autour de l</w:t>
      </w:r>
      <w:r w:rsidR="00715ACD">
        <w:t>’</w:t>
      </w:r>
      <w:r>
        <w:t>adoption</w:t>
      </w:r>
      <w:bookmarkEnd w:id="73"/>
      <w:bookmarkEnd w:id="74"/>
    </w:p>
    <w:p w14:paraId="76A24C1B" w14:textId="2F88CB17" w:rsidR="00B9780C" w:rsidRPr="002E65D8" w:rsidRDefault="00720FA4" w:rsidP="00091BAE">
      <w:pPr>
        <w:pStyle w:val="PBParagraph"/>
      </w:pPr>
      <w:r>
        <w:t>Les inquiétudes selon lesquelles l</w:t>
      </w:r>
      <w:r w:rsidR="00715ACD">
        <w:t>’</w:t>
      </w:r>
      <w:r>
        <w:t>adoption internationale est, dans certains cas, devenue « un véritable marché »</w:t>
      </w:r>
      <w:r w:rsidR="008C65D5" w:rsidRPr="002E65D8">
        <w:rPr>
          <w:rStyle w:val="FootnoteReference"/>
        </w:rPr>
        <w:footnoteReference w:id="99"/>
      </w:r>
      <w:r>
        <w:t xml:space="preserve"> sont largement partagées. Dans certains États, tout un commerce s</w:t>
      </w:r>
      <w:r w:rsidR="00715ACD">
        <w:t>’</w:t>
      </w:r>
      <w:r>
        <w:t>est construit ou se maintient autour de l</w:t>
      </w:r>
      <w:r w:rsidR="00715ACD">
        <w:t>’</w:t>
      </w:r>
      <w:r>
        <w:t>adoption, notamment : des entreprises de marketing aident les FPA à préparer des biographies, des hôtels proposent des conditions particulières aux FPA, des agences de voyages offrent des formules adaptées aux FPA qui attendent la décision d</w:t>
      </w:r>
      <w:r w:rsidR="00715ACD">
        <w:t>’</w:t>
      </w:r>
      <w:r>
        <w:t>adoption définitive dans l</w:t>
      </w:r>
      <w:r w:rsidR="00715ACD">
        <w:t>’</w:t>
      </w:r>
      <w:r>
        <w:t>État d</w:t>
      </w:r>
      <w:r w:rsidR="00715ACD">
        <w:t>’</w:t>
      </w:r>
      <w:r>
        <w:t>origine, les FPA peuvent souscrire des polices d</w:t>
      </w:r>
      <w:r w:rsidR="00715ACD">
        <w:t>’</w:t>
      </w:r>
      <w:r>
        <w:t>assurance spéciales pour se faire rembourser les sommes payées à une famille d</w:t>
      </w:r>
      <w:r w:rsidR="00715ACD">
        <w:t>’</w:t>
      </w:r>
      <w:r>
        <w:t>origine qui revient ensuite sur sa décision</w:t>
      </w:r>
      <w:r w:rsidR="008C65D5" w:rsidRPr="002E65D8">
        <w:rPr>
          <w:rStyle w:val="FootnoteReference"/>
        </w:rPr>
        <w:footnoteReference w:id="100"/>
      </w:r>
      <w:r>
        <w:t xml:space="preserve">. Il </w:t>
      </w:r>
      <w:r w:rsidR="005F613A">
        <w:t>existe</w:t>
      </w:r>
      <w:r>
        <w:t xml:space="preserve"> donc de nombreux intérêts économiques cachés derrière l</w:t>
      </w:r>
      <w:r w:rsidR="00715ACD">
        <w:t>’</w:t>
      </w:r>
      <w:r>
        <w:t>adoption internationale</w:t>
      </w:r>
      <w:r w:rsidR="005F613A">
        <w:t>,</w:t>
      </w:r>
      <w:r>
        <w:t xml:space="preserve"> et la diminution ou l</w:t>
      </w:r>
      <w:r w:rsidR="00715ACD">
        <w:t>’</w:t>
      </w:r>
      <w:r>
        <w:t xml:space="preserve">arrêt des adoptions dans un État touche de nombreuses personnes. </w:t>
      </w:r>
    </w:p>
    <w:p w14:paraId="35282312" w14:textId="4B6A3B1D" w:rsidR="008C4F35" w:rsidRPr="002E65D8" w:rsidRDefault="00E06097" w:rsidP="00091BAE">
      <w:pPr>
        <w:pStyle w:val="PBParagraph"/>
      </w:pPr>
      <w:r>
        <w:t>Les aspects commerciaux des services post-adoption – en particulier la recherche des origines – suscitent également des inquiétudes généralisées</w:t>
      </w:r>
      <w:r w:rsidR="00066202" w:rsidRPr="002E65D8">
        <w:rPr>
          <w:rStyle w:val="FootnoteReference"/>
        </w:rPr>
        <w:footnoteReference w:id="101"/>
      </w:r>
      <w:r>
        <w:t>. Des personnes peu scrupuleuses peuvent exploiter la vulnérabilité des adoptés, notamment lorsqu</w:t>
      </w:r>
      <w:r w:rsidR="00715ACD">
        <w:t>’</w:t>
      </w:r>
      <w:r>
        <w:t>ils sont à la recherche d</w:t>
      </w:r>
      <w:r w:rsidR="00715ACD">
        <w:t>’</w:t>
      </w:r>
      <w:r>
        <w:t>informations sur leur famille d</w:t>
      </w:r>
      <w:r w:rsidR="00715ACD">
        <w:t>’</w:t>
      </w:r>
      <w:r>
        <w:t>origine, pour en tirer des gains indus. Compte tenu de l</w:t>
      </w:r>
      <w:r w:rsidR="00715ACD">
        <w:t>’</w:t>
      </w:r>
      <w:r>
        <w:t>augmentation des demandes de recherche des origines, il y a</w:t>
      </w:r>
      <w:r w:rsidR="009761E9">
        <w:t xml:space="preserve"> tout</w:t>
      </w:r>
      <w:r>
        <w:t xml:space="preserve"> lieu de croire que ces marchés continueront à prospérer, au détriment des adoptés. Il convient donc de s</w:t>
      </w:r>
      <w:r w:rsidR="00715ACD">
        <w:t>’</w:t>
      </w:r>
      <w:r>
        <w:t>intéresser aux dépenses y afférentes à l</w:t>
      </w:r>
      <w:r w:rsidR="00715ACD">
        <w:t>’</w:t>
      </w:r>
      <w:r>
        <w:t>échelle nationale – tant dans les États d</w:t>
      </w:r>
      <w:r w:rsidR="00715ACD">
        <w:t>’</w:t>
      </w:r>
      <w:r>
        <w:t>origine que dans les États d</w:t>
      </w:r>
      <w:r w:rsidR="00715ACD">
        <w:t>’</w:t>
      </w:r>
      <w:r>
        <w:t>accueil – ainsi que dans le contexte de la coopération internationale.</w:t>
      </w:r>
    </w:p>
    <w:p w14:paraId="64AFDF16" w14:textId="36C8C2CC" w:rsidR="00720FA4" w:rsidRPr="002E65D8" w:rsidRDefault="00720FA4">
      <w:pPr>
        <w:spacing w:after="160" w:line="276" w:lineRule="auto"/>
        <w:rPr>
          <w:rFonts w:ascii="Raleway" w:eastAsiaTheme="majorEastAsia" w:hAnsi="Raleway" w:cstheme="majorBidi"/>
          <w:color w:val="03295A" w:themeColor="accent4"/>
          <w:sz w:val="19"/>
          <w:szCs w:val="19"/>
        </w:rPr>
      </w:pPr>
      <w:r>
        <w:br w:type="page"/>
      </w:r>
    </w:p>
    <w:p w14:paraId="713D3E82" w14:textId="3FFECCB2" w:rsidR="006B3848" w:rsidRPr="002E65D8" w:rsidRDefault="51399839" w:rsidP="517CD47F">
      <w:pPr>
        <w:pStyle w:val="Heading1"/>
        <w:rPr>
          <w:rFonts w:ascii="Raleway" w:hAnsi="Raleway"/>
          <w:b/>
        </w:rPr>
      </w:pPr>
      <w:bookmarkStart w:id="75" w:name="_Ref212145789"/>
      <w:bookmarkStart w:id="76" w:name="_Toc236061660"/>
      <w:r>
        <w:rPr>
          <w:rFonts w:ascii="Raleway" w:hAnsi="Raleway"/>
          <w:b/>
        </w:rPr>
        <w:lastRenderedPageBreak/>
        <w:t>PRÉVENIR LES GAINS MATÉRIELS INDUS DANS L</w:t>
      </w:r>
      <w:r w:rsidR="00715ACD">
        <w:rPr>
          <w:rFonts w:ascii="Raleway" w:hAnsi="Raleway"/>
          <w:b/>
        </w:rPr>
        <w:t>’</w:t>
      </w:r>
      <w:r>
        <w:rPr>
          <w:rFonts w:ascii="Raleway" w:hAnsi="Raleway"/>
          <w:b/>
        </w:rPr>
        <w:t>ADOPTION INTERNATIONALE ET Y REMÉDIER</w:t>
      </w:r>
      <w:bookmarkEnd w:id="75"/>
      <w:bookmarkEnd w:id="76"/>
    </w:p>
    <w:p w14:paraId="5594064C" w14:textId="456AAE43" w:rsidR="006B3848" w:rsidRPr="002E65D8" w:rsidRDefault="006B3848" w:rsidP="006B3848">
      <w:pPr>
        <w:pStyle w:val="PBParagraph"/>
      </w:pPr>
      <w:r>
        <w:t>Ce chapitre présente des problèmes courants qui peuvent susciter des gains matériels indus et donne quelques exemples de pratiques mises en œuvre par certains États pour surmonter ces problèmes, les prévenir et / ou y remédier. Si ces exemples représentent d</w:t>
      </w:r>
      <w:r w:rsidR="00715ACD">
        <w:t>’</w:t>
      </w:r>
      <w:r>
        <w:t>éventuelles stratégies adoptées par certains États, il ne s</w:t>
      </w:r>
      <w:r w:rsidR="00715ACD">
        <w:t>’</w:t>
      </w:r>
      <w:r>
        <w:t>agit en aucun cas d</w:t>
      </w:r>
      <w:r w:rsidR="00715ACD">
        <w:t>’</w:t>
      </w:r>
      <w:r>
        <w:t>une liste exhaustive. D</w:t>
      </w:r>
      <w:r w:rsidR="00715ACD">
        <w:t>’</w:t>
      </w:r>
      <w:r>
        <w:t xml:space="preserve">autres États qui ne sont pas mentionnés peuvent avoir eu recours à des mesures semblables pour parvenir à des résultats comparables. </w:t>
      </w:r>
    </w:p>
    <w:p w14:paraId="6B5F2409" w14:textId="47AC446C" w:rsidR="0028499B" w:rsidRPr="002E65D8" w:rsidRDefault="0028499B" w:rsidP="006B3848">
      <w:pPr>
        <w:pStyle w:val="PBParagraph"/>
      </w:pPr>
      <w:r>
        <w:t>De nombreux États adoptent une stratégie de réaction face aux mauvaises pratiques et aux abus dans les procédures d</w:t>
      </w:r>
      <w:r w:rsidR="00715ACD">
        <w:t>’</w:t>
      </w:r>
      <w:r>
        <w:t>adoption et ont tendance à attendre que les problèmes soient généralisés avant de s</w:t>
      </w:r>
      <w:r w:rsidR="00715ACD">
        <w:t>’</w:t>
      </w:r>
      <w:r>
        <w:t>y attaquer</w:t>
      </w:r>
      <w:r w:rsidRPr="002E65D8">
        <w:rPr>
          <w:rStyle w:val="FootnoteReference"/>
        </w:rPr>
        <w:footnoteReference w:id="102"/>
      </w:r>
      <w:r>
        <w:t>. À titre d</w:t>
      </w:r>
      <w:r w:rsidR="00715ACD">
        <w:t>’</w:t>
      </w:r>
      <w:r>
        <w:t>exemple, les cas qui impliquent des mauvaises pratiques graves et entraînent des scandales à l</w:t>
      </w:r>
      <w:r w:rsidR="00715ACD">
        <w:t>’</w:t>
      </w:r>
      <w:r>
        <w:t>échelle mondiale conduisent souvent les États à réagir en urgence</w:t>
      </w:r>
      <w:r w:rsidRPr="002E65D8">
        <w:rPr>
          <w:rStyle w:val="FootnoteReference"/>
        </w:rPr>
        <w:footnoteReference w:id="103"/>
      </w:r>
      <w:r>
        <w:t xml:space="preserve"> et à déclarer que la Convention Adoption de 1993 doit être strictement respectée. Cependant, d</w:t>
      </w:r>
      <w:r w:rsidR="00715ACD">
        <w:t>’</w:t>
      </w:r>
      <w:r>
        <w:t xml:space="preserve">autres abus peuvent passer inaperçus et se poursuivre jour après jour sans réaction adaptée. </w:t>
      </w:r>
    </w:p>
    <w:p w14:paraId="7F976AD0" w14:textId="31EBCBD1" w:rsidR="00B3278D" w:rsidRPr="002E65D8" w:rsidRDefault="002B7AB4">
      <w:pPr>
        <w:pStyle w:val="PBParagraph"/>
      </w:pPr>
      <w:r>
        <w:t>Les États devraient s</w:t>
      </w:r>
      <w:r w:rsidR="00715ACD">
        <w:t>’</w:t>
      </w:r>
      <w:r>
        <w:t>efforcer d</w:t>
      </w:r>
      <w:r w:rsidR="00715ACD">
        <w:t>’</w:t>
      </w:r>
      <w:r>
        <w:t>adopter une stratégie préventive plutôt que réactive. L</w:t>
      </w:r>
      <w:r w:rsidR="00715ACD">
        <w:t>’</w:t>
      </w:r>
      <w:r>
        <w:t xml:space="preserve">une des premières étapes devrait consister à « [é]tablir [...] un </w:t>
      </w:r>
      <w:r>
        <w:rPr>
          <w:b/>
          <w:bCs/>
        </w:rPr>
        <w:t>cadre juridique</w:t>
      </w:r>
      <w:r>
        <w:t xml:space="preserve"> adéquat, </w:t>
      </w:r>
      <w:r w:rsidR="004442CA">
        <w:t xml:space="preserve">contenant </w:t>
      </w:r>
      <w:r>
        <w:t xml:space="preserve">notamment </w:t>
      </w:r>
      <w:r w:rsidR="004442CA">
        <w:t>des indications claires en matière d</w:t>
      </w:r>
      <w:r w:rsidR="00715ACD">
        <w:t>’</w:t>
      </w:r>
      <w:r>
        <w:t>aspects financiers de l</w:t>
      </w:r>
      <w:r w:rsidR="00715ACD">
        <w:t>’</w:t>
      </w:r>
      <w:r>
        <w:t>adoption » (</w:t>
      </w:r>
      <w:r w:rsidR="005172E6">
        <w:rPr>
          <w:color w:val="00B050"/>
          <w:shd w:val="clear" w:color="auto" w:fill="FFFFFF" w:themeFill="background1"/>
        </w:rPr>
        <w:t xml:space="preserve">FS3, </w:t>
      </w:r>
      <w:r w:rsidR="00250381">
        <w:rPr>
          <w:color w:val="00B050"/>
          <w:shd w:val="clear" w:color="auto" w:fill="FFFFFF" w:themeFill="background1"/>
        </w:rPr>
        <w:t>boîte </w:t>
      </w:r>
      <w:r w:rsidR="0018056B">
        <w:rPr>
          <w:color w:val="00B050"/>
          <w:shd w:val="clear" w:color="auto" w:fill="FFFFFF" w:themeFill="background1"/>
        </w:rPr>
        <w:t>0</w:t>
      </w:r>
      <w:r>
        <w:rPr>
          <w:color w:val="00B050"/>
          <w:shd w:val="clear" w:color="auto" w:fill="FFFFFF" w:themeFill="background1"/>
        </w:rPr>
        <w:t>2.1</w:t>
      </w:r>
      <w:r>
        <w:t>) et à le mettre en œuvre de manière appropriée</w:t>
      </w:r>
      <w:r w:rsidRPr="002E65D8">
        <w:rPr>
          <w:rStyle w:val="FootnoteReference"/>
        </w:rPr>
        <w:footnoteReference w:id="104"/>
      </w:r>
      <w:r>
        <w:t xml:space="preserve">. Les États devraient également élaborer des mécanismes de contrôle stricts en matière financière et faire respecter la Convention au moyen de mécanismes de sanction déterminants. </w:t>
      </w:r>
    </w:p>
    <w:p w14:paraId="7755B6BB" w14:textId="77777777" w:rsidR="004047D5" w:rsidRPr="002E65D8" w:rsidRDefault="004047D5" w:rsidP="004047D5">
      <w:pPr>
        <w:pStyle w:val="Heading2"/>
        <w:numPr>
          <w:ilvl w:val="1"/>
          <w:numId w:val="12"/>
        </w:numPr>
      </w:pPr>
      <w:bookmarkStart w:id="77" w:name="_Toc236061661"/>
      <w:r>
        <w:t>Cadre juridique régissant les aspects financiers</w:t>
      </w:r>
      <w:bookmarkEnd w:id="77"/>
      <w:r>
        <w:t xml:space="preserve"> </w:t>
      </w:r>
    </w:p>
    <w:p w14:paraId="647988D1" w14:textId="6D125B0F" w:rsidR="00892D0A" w:rsidRPr="002E65D8" w:rsidRDefault="00892D0A" w:rsidP="004047D5">
      <w:pPr>
        <w:pStyle w:val="Heading3"/>
      </w:pPr>
      <w:bookmarkStart w:id="78" w:name="_Toc184237732"/>
      <w:bookmarkStart w:id="79" w:name="_Toc184237733"/>
      <w:bookmarkStart w:id="80" w:name="_Toc184237734"/>
      <w:bookmarkStart w:id="81" w:name="_Toc184237735"/>
      <w:bookmarkStart w:id="82" w:name="_Toc184237736"/>
      <w:bookmarkStart w:id="83" w:name="_Toc184237737"/>
      <w:bookmarkStart w:id="84" w:name="_Toc236061662"/>
      <w:bookmarkStart w:id="85" w:name="_Hlk187926672"/>
      <w:bookmarkEnd w:id="78"/>
      <w:bookmarkEnd w:id="79"/>
      <w:bookmarkEnd w:id="80"/>
      <w:bookmarkEnd w:id="81"/>
      <w:bookmarkEnd w:id="82"/>
      <w:bookmarkEnd w:id="83"/>
      <w:r>
        <w:t>Problèmes : Absence ou carence de législation en matière d</w:t>
      </w:r>
      <w:r w:rsidR="00715ACD">
        <w:t>’</w:t>
      </w:r>
      <w:r>
        <w:t>aspects financiers de l</w:t>
      </w:r>
      <w:r w:rsidR="00715ACD">
        <w:t>’</w:t>
      </w:r>
      <w:r>
        <w:t>adoption internationale</w:t>
      </w:r>
      <w:bookmarkEnd w:id="84"/>
      <w:r>
        <w:t xml:space="preserve"> </w:t>
      </w:r>
    </w:p>
    <w:p w14:paraId="025895A8" w14:textId="28AC1B4E" w:rsidR="00BC3F83" w:rsidRPr="002E65D8" w:rsidRDefault="00892D0A" w:rsidP="008A5CE3">
      <w:pPr>
        <w:pStyle w:val="PBParagraph"/>
      </w:pPr>
      <w:r>
        <w:t>L</w:t>
      </w:r>
      <w:r w:rsidR="00715ACD">
        <w:t>’</w:t>
      </w:r>
      <w:r>
        <w:t xml:space="preserve">« [a]bsence ou [la] carence de législation, de règlements et / ou de </w:t>
      </w:r>
      <w:r w:rsidR="0072341A">
        <w:t xml:space="preserve">lignes </w:t>
      </w:r>
      <w:r>
        <w:t>directrices en matière d</w:t>
      </w:r>
      <w:r w:rsidR="00715ACD">
        <w:t>’</w:t>
      </w:r>
      <w:r>
        <w:t>aspects financiers et de ressources pour les mettre en œuvre » (</w:t>
      </w:r>
      <w:r>
        <w:rPr>
          <w:color w:val="FFC000"/>
        </w:rPr>
        <w:t>FS3,</w:t>
      </w:r>
      <w:r w:rsidR="00B54987">
        <w:rPr>
          <w:color w:val="FFC000"/>
        </w:rPr>
        <w:t xml:space="preserve"> </w:t>
      </w:r>
      <w:r w:rsidR="00250381">
        <w:rPr>
          <w:color w:val="FFC000"/>
        </w:rPr>
        <w:t>boîte </w:t>
      </w:r>
      <w:r>
        <w:rPr>
          <w:color w:val="FFC000"/>
        </w:rPr>
        <w:t>16</w:t>
      </w:r>
      <w:r>
        <w:t>) sont l</w:t>
      </w:r>
      <w:r w:rsidR="00715ACD">
        <w:t>’</w:t>
      </w:r>
      <w:r>
        <w:t>un des principaux problèmes. D</w:t>
      </w:r>
      <w:r w:rsidR="00715ACD">
        <w:t>’</w:t>
      </w:r>
      <w:r>
        <w:t xml:space="preserve">après la </w:t>
      </w:r>
      <w:r w:rsidR="00250381">
        <w:t xml:space="preserve">Boîte </w:t>
      </w:r>
      <w:r>
        <w:t>à outils, la « [f]acturation, [la] suggestion, [la] proposition, [l</w:t>
      </w:r>
      <w:r w:rsidR="00715ACD">
        <w:t>’</w:t>
      </w:r>
      <w:r>
        <w:t>]exigence, [le] paiement et / ou [la] réception de frais, d</w:t>
      </w:r>
      <w:r w:rsidR="00715ACD">
        <w:t>’</w:t>
      </w:r>
      <w:r>
        <w:t>honoraires, de contributions, de dons et / ou [la] mise en place de projets de coopération qui sont interdits par la loi, ou qui ne sont pas autorisés par l</w:t>
      </w:r>
      <w:r w:rsidR="00715ACD">
        <w:t>’</w:t>
      </w:r>
      <w:r>
        <w:t>État d</w:t>
      </w:r>
      <w:r w:rsidR="00715ACD">
        <w:t>’</w:t>
      </w:r>
      <w:r>
        <w:t>origine ou l</w:t>
      </w:r>
      <w:r w:rsidR="00715ACD">
        <w:t>’</w:t>
      </w:r>
      <w:r>
        <w:t>État d</w:t>
      </w:r>
      <w:r w:rsidR="00715ACD">
        <w:t>’</w:t>
      </w:r>
      <w:r>
        <w:t>accueil » (</w:t>
      </w:r>
      <w:r>
        <w:rPr>
          <w:color w:val="EE0000"/>
        </w:rPr>
        <w:t xml:space="preserve">FS3, </w:t>
      </w:r>
      <w:r w:rsidR="00250381">
        <w:rPr>
          <w:color w:val="EE0000"/>
        </w:rPr>
        <w:t>boîte </w:t>
      </w:r>
      <w:r w:rsidR="0018056B">
        <w:rPr>
          <w:color w:val="EE0000"/>
        </w:rPr>
        <w:t>0</w:t>
      </w:r>
      <w:r>
        <w:rPr>
          <w:color w:val="EE0000"/>
        </w:rPr>
        <w:t>2</w:t>
      </w:r>
      <w:r>
        <w:t>) relèvent de pratiques illicites.</w:t>
      </w:r>
    </w:p>
    <w:p w14:paraId="2582B4BC" w14:textId="2865D1EA" w:rsidR="00892D0A" w:rsidRPr="002E65D8" w:rsidRDefault="00892D0A" w:rsidP="00892D0A">
      <w:pPr>
        <w:pStyle w:val="PBParagraph"/>
      </w:pPr>
      <w:r>
        <w:t>Selon certains experts, ces situations expliquent l</w:t>
      </w:r>
      <w:r w:rsidR="00715ACD">
        <w:t>’</w:t>
      </w:r>
      <w:r>
        <w:t>omniprésence des pratiques abusives et de l</w:t>
      </w:r>
      <w:r w:rsidR="00715ACD">
        <w:t>’</w:t>
      </w:r>
      <w:r>
        <w:t>obtention d</w:t>
      </w:r>
      <w:r w:rsidR="00715ACD">
        <w:t>’</w:t>
      </w:r>
      <w:r>
        <w:t xml:space="preserve">enfants. Il faudrait </w:t>
      </w:r>
      <w:r w:rsidR="00502E2A">
        <w:t xml:space="preserve">selon eux </w:t>
      </w:r>
      <w:r>
        <w:t xml:space="preserve">édicter de nouvelles </w:t>
      </w:r>
      <w:r w:rsidR="00502E2A">
        <w:t xml:space="preserve">règles </w:t>
      </w:r>
      <w:r>
        <w:t>à l</w:t>
      </w:r>
      <w:r w:rsidR="00715ACD">
        <w:t>’</w:t>
      </w:r>
      <w:r>
        <w:t>échelle internationale</w:t>
      </w:r>
      <w:r w:rsidRPr="002E65D8">
        <w:rPr>
          <w:rStyle w:val="FootnoteReference"/>
        </w:rPr>
        <w:footnoteReference w:id="105"/>
      </w:r>
      <w:r>
        <w:t xml:space="preserve">, la CNUDE et la Convention Adoption de 1993 ne fixant que des normes minimales en ce qui concerne les aspects financiers. </w:t>
      </w:r>
    </w:p>
    <w:p w14:paraId="225C5EF9" w14:textId="157DA028" w:rsidR="00892D0A" w:rsidRPr="002E65D8" w:rsidRDefault="00892D0A" w:rsidP="00892D0A">
      <w:pPr>
        <w:pStyle w:val="PBParagraph"/>
      </w:pPr>
      <w:r>
        <w:t>À l</w:t>
      </w:r>
      <w:r w:rsidR="00715ACD">
        <w:t>’</w:t>
      </w:r>
      <w:r>
        <w:t>échelle nationale, la mise en œuvre des normes internationales incombe aux États, lesquels peuvent même en adopter de plus strictes. Cependant, dans de nombreux cas, les aspects financiers ne sont pas directement traités dans la législation sur l</w:t>
      </w:r>
      <w:r w:rsidR="00715ACD">
        <w:t>’</w:t>
      </w:r>
      <w:r>
        <w:t>adoption, ne sont pas suffisamment, voire pas du tout, réglementés. Il en résulte une persistance de mauvaises pratiques, par exemple, en ce qui concerne les paiements aux familles d</w:t>
      </w:r>
      <w:r w:rsidR="00715ACD">
        <w:t>’</w:t>
      </w:r>
      <w:r>
        <w:t xml:space="preserve">origine ou effectués pour </w:t>
      </w:r>
      <w:r>
        <w:lastRenderedPageBreak/>
        <w:t xml:space="preserve">orienter les enfants vers des États, des institutions pour enfants, des OAA ou des fonctionnaires particuliers. </w:t>
      </w:r>
    </w:p>
    <w:p w14:paraId="31EE8D40" w14:textId="599F5D84" w:rsidR="006B3848" w:rsidRPr="002E65D8" w:rsidRDefault="006B3848" w:rsidP="004047D5">
      <w:pPr>
        <w:pStyle w:val="Heading3"/>
      </w:pPr>
      <w:bookmarkStart w:id="86" w:name="_Toc236061663"/>
      <w:bookmarkEnd w:id="85"/>
      <w:r>
        <w:t>Exemples de pratiques visant à légiférer en matière d</w:t>
      </w:r>
      <w:r w:rsidR="00715ACD">
        <w:t>’</w:t>
      </w:r>
      <w:r>
        <w:t>aspects financiers de l</w:t>
      </w:r>
      <w:r w:rsidR="00715ACD">
        <w:t>’</w:t>
      </w:r>
      <w:r>
        <w:t>adoption internationale</w:t>
      </w:r>
      <w:bookmarkEnd w:id="86"/>
    </w:p>
    <w:p w14:paraId="76B21CB8" w14:textId="01DA25C0" w:rsidR="006B3848" w:rsidRPr="002E65D8" w:rsidRDefault="006B3848" w:rsidP="006B3848">
      <w:pPr>
        <w:pStyle w:val="PBParagraph"/>
      </w:pPr>
      <w:r>
        <w:t>Sans ignorer la nécessité de normes plus strictes et plus précises à l</w:t>
      </w:r>
      <w:r w:rsidR="00715ACD">
        <w:t>’</w:t>
      </w:r>
      <w:r>
        <w:t>échelle internationale, les États devraient d</w:t>
      </w:r>
      <w:r w:rsidR="00715ACD">
        <w:t>’</w:t>
      </w:r>
      <w:r>
        <w:t xml:space="preserve">abord veiller à une bonne mise en œuvre du cadre juridique en place. Ils devraient « [p]rendre toutes les </w:t>
      </w:r>
      <w:r>
        <w:rPr>
          <w:b/>
          <w:bCs/>
        </w:rPr>
        <w:t>mesures</w:t>
      </w:r>
      <w:r>
        <w:t xml:space="preserve"> appropriées visant à empêcher que toute personne ne tire un gain matériel indu en raison d</w:t>
      </w:r>
      <w:r w:rsidR="00715ACD">
        <w:t>’</w:t>
      </w:r>
      <w:r>
        <w:t>une intervention à l</w:t>
      </w:r>
      <w:r w:rsidR="00715ACD">
        <w:t>’</w:t>
      </w:r>
      <w:r>
        <w:t>occasion d</w:t>
      </w:r>
      <w:r w:rsidR="00715ACD">
        <w:t>’</w:t>
      </w:r>
      <w:r>
        <w:t>une adoption internationale et à remédier au problème » (</w:t>
      </w:r>
      <w:r>
        <w:rPr>
          <w:color w:val="00B050"/>
          <w:shd w:val="clear" w:color="auto" w:fill="FFFFFF" w:themeFill="background1"/>
        </w:rPr>
        <w:t xml:space="preserve">FS3, </w:t>
      </w:r>
      <w:r w:rsidR="00250381">
        <w:rPr>
          <w:color w:val="00B050"/>
          <w:shd w:val="clear" w:color="auto" w:fill="FFFFFF" w:themeFill="background1"/>
        </w:rPr>
        <w:t>boîte </w:t>
      </w:r>
      <w:r w:rsidR="0018056B">
        <w:rPr>
          <w:color w:val="00B050"/>
          <w:shd w:val="clear" w:color="auto" w:fill="FFFFFF" w:themeFill="background1"/>
        </w:rPr>
        <w:t>0</w:t>
      </w:r>
      <w:r>
        <w:rPr>
          <w:color w:val="00B050"/>
          <w:shd w:val="clear" w:color="auto" w:fill="FFFFFF" w:themeFill="background1"/>
        </w:rPr>
        <w:t>1</w:t>
      </w:r>
      <w:r>
        <w:t xml:space="preserve">). Ils </w:t>
      </w:r>
      <w:r w:rsidR="00C66290">
        <w:t>doivent</w:t>
      </w:r>
      <w:r>
        <w:t xml:space="preserve"> développer les règles minimales et les garanties nécessaires établies à l</w:t>
      </w:r>
      <w:r w:rsidR="00715ACD">
        <w:t>’</w:t>
      </w:r>
      <w:r>
        <w:t>échelle internationale en approuvant la législation requise au niveau national. C</w:t>
      </w:r>
      <w:r w:rsidR="00715ACD">
        <w:t>’</w:t>
      </w:r>
      <w:r>
        <w:t>est particulièrement important lorsqu</w:t>
      </w:r>
      <w:r w:rsidR="00715ACD">
        <w:t>’</w:t>
      </w:r>
      <w:r>
        <w:t>un État devient Partie à la Convention</w:t>
      </w:r>
      <w:r w:rsidRPr="002E65D8">
        <w:rPr>
          <w:rStyle w:val="FootnoteReference"/>
        </w:rPr>
        <w:footnoteReference w:id="106"/>
      </w:r>
      <w:r>
        <w:t xml:space="preserve">. Un État devrait avoir une vision claire de ses devoirs et responsabilités. Par exemple, la loi peut régir les aspects les plus généraux, y compris les principales interdictions, tandis que la réglementation peut organiser des aspects plus précis et proposer des tableaux de dépenses maximums (qui </w:t>
      </w:r>
      <w:r w:rsidR="00536BCD">
        <w:t>d</w:t>
      </w:r>
      <w:r w:rsidR="00346F38">
        <w:t>evraie</w:t>
      </w:r>
      <w:r w:rsidR="00111895">
        <w:t xml:space="preserve">nt </w:t>
      </w:r>
      <w:r>
        <w:t>être actualisés régulièrement). En outre, la législation devrait s</w:t>
      </w:r>
      <w:r w:rsidR="00715ACD">
        <w:t>’</w:t>
      </w:r>
      <w:r>
        <w:t>appliquer à chaque personne, organisme ou autorité intervenant dans les adoptions</w:t>
      </w:r>
      <w:r w:rsidRPr="002E65D8">
        <w:rPr>
          <w:rStyle w:val="FootnoteReference"/>
        </w:rPr>
        <w:footnoteReference w:id="107"/>
      </w:r>
      <w:r>
        <w:t>.</w:t>
      </w:r>
    </w:p>
    <w:p w14:paraId="2A997DC4" w14:textId="6DA04671" w:rsidR="007751ED" w:rsidRPr="002E65D8" w:rsidRDefault="008253E7" w:rsidP="007751ED">
      <w:pPr>
        <w:pStyle w:val="PBParagraph"/>
      </w:pPr>
      <w:r>
        <w:t xml:space="preserve">Comme le prescrit la </w:t>
      </w:r>
      <w:r w:rsidR="00250381">
        <w:t xml:space="preserve">Boîte </w:t>
      </w:r>
      <w:r>
        <w:t>à outils sur les pratiques illicites, « [l]es autorités ou organ</w:t>
      </w:r>
      <w:r w:rsidR="00E47B99">
        <w:t>ism</w:t>
      </w:r>
      <w:r>
        <w:t>es ne devraient facturer, suggérer, proposer, exiger et / ou recevoir des frais, honoraires, contributions, dons et / ou mettre en place des projets de coopération qu</w:t>
      </w:r>
      <w:r w:rsidR="00715ACD">
        <w:t>’</w:t>
      </w:r>
      <w:r>
        <w:t>à condition qu</w:t>
      </w:r>
      <w:r w:rsidR="00715ACD">
        <w:t>’</w:t>
      </w:r>
      <w:r>
        <w:t xml:space="preserve">ils soient </w:t>
      </w:r>
      <w:r>
        <w:rPr>
          <w:b/>
        </w:rPr>
        <w:t>autorisés par la loi</w:t>
      </w:r>
      <w:r>
        <w:t>, tant dans l</w:t>
      </w:r>
      <w:r w:rsidR="00715ACD">
        <w:t>’</w:t>
      </w:r>
      <w:r>
        <w:t>État d</w:t>
      </w:r>
      <w:r w:rsidR="00715ACD">
        <w:t>’</w:t>
      </w:r>
      <w:r>
        <w:t>origine que dans l</w:t>
      </w:r>
      <w:r w:rsidR="00715ACD">
        <w:t>’</w:t>
      </w:r>
      <w:r>
        <w:t>État d</w:t>
      </w:r>
      <w:r w:rsidR="00715ACD">
        <w:t>’</w:t>
      </w:r>
      <w:r>
        <w:t>accueil » (</w:t>
      </w:r>
      <w:r>
        <w:rPr>
          <w:color w:val="00B050"/>
          <w:shd w:val="clear" w:color="auto" w:fill="FFFFFF" w:themeFill="background1"/>
        </w:rPr>
        <w:t xml:space="preserve">FS3, </w:t>
      </w:r>
      <w:r w:rsidR="00250381">
        <w:rPr>
          <w:color w:val="00B050"/>
          <w:shd w:val="clear" w:color="auto" w:fill="FFFFFF" w:themeFill="background1"/>
        </w:rPr>
        <w:t>boîte </w:t>
      </w:r>
      <w:r w:rsidR="0018056B">
        <w:rPr>
          <w:color w:val="00B050"/>
          <w:shd w:val="clear" w:color="auto" w:fill="FFFFFF" w:themeFill="background1"/>
        </w:rPr>
        <w:t>0</w:t>
      </w:r>
      <w:r>
        <w:rPr>
          <w:color w:val="00B050"/>
          <w:shd w:val="clear" w:color="auto" w:fill="FFFFFF" w:themeFill="background1"/>
        </w:rPr>
        <w:t>2.2</w:t>
      </w:r>
      <w:r>
        <w:t>).</w:t>
      </w:r>
    </w:p>
    <w:p w14:paraId="6436A8AD" w14:textId="12C2B92B" w:rsidR="00245ED7" w:rsidRPr="002E65D8" w:rsidRDefault="002E7A3B" w:rsidP="005E0F57">
      <w:pPr>
        <w:pStyle w:val="Blueboxtitle"/>
        <w:spacing w:after="0" w:line="240" w:lineRule="auto"/>
        <w:outlineLvl w:val="2"/>
      </w:pPr>
      <w:bookmarkStart w:id="87" w:name="_Toc236061664"/>
      <w:r>
        <w:t>Boîte</w:t>
      </w:r>
      <w:r w:rsidR="00245ED7">
        <w:t xml:space="preserve"> 1 : Législation</w:t>
      </w:r>
      <w:r w:rsidR="006B5417" w:rsidRPr="002E65D8">
        <w:rPr>
          <w:rStyle w:val="FootnoteReference"/>
        </w:rPr>
        <w:footnoteReference w:id="108"/>
      </w:r>
      <w:bookmarkEnd w:id="87"/>
    </w:p>
    <w:p w14:paraId="4C8F7C5D" w14:textId="591A6236" w:rsidR="00177AB5" w:rsidRPr="002E65D8" w:rsidRDefault="007E0952" w:rsidP="00245ED7">
      <w:pPr>
        <w:pStyle w:val="Blueboxtitle"/>
        <w:rPr>
          <w:b w:val="0"/>
          <w:bCs w:val="0"/>
        </w:rPr>
      </w:pPr>
      <w:r>
        <w:rPr>
          <w:b w:val="0"/>
        </w:rPr>
        <w:t xml:space="preserve">Quelques exemples de mesures mises en œuvre par les États </w:t>
      </w:r>
    </w:p>
    <w:p w14:paraId="30CB19E7" w14:textId="46653EBE" w:rsidR="00C93947" w:rsidRPr="002E65D8" w:rsidRDefault="00C93947" w:rsidP="00B223B2">
      <w:pPr>
        <w:pStyle w:val="Bluebox"/>
      </w:pPr>
      <w:r>
        <w:t>Dans certains États, le cadre juridique se compose à la fois d</w:t>
      </w:r>
      <w:r w:rsidR="00715ACD">
        <w:t>’</w:t>
      </w:r>
      <w:r>
        <w:t xml:space="preserve">une </w:t>
      </w:r>
      <w:r w:rsidRPr="00E8010B">
        <w:rPr>
          <w:bCs/>
        </w:rPr>
        <w:t>législation votée par le Parlement</w:t>
      </w:r>
      <w:r>
        <w:t xml:space="preserve"> (qui précise par ex. que les paiements ne peuvent excéder les honoraires prescrits) et </w:t>
      </w:r>
      <w:r w:rsidRPr="00E8010B">
        <w:t>d</w:t>
      </w:r>
      <w:r w:rsidR="00715ACD">
        <w:t>’</w:t>
      </w:r>
      <w:r w:rsidRPr="00E8010B">
        <w:rPr>
          <w:bCs/>
        </w:rPr>
        <w:t xml:space="preserve">actes </w:t>
      </w:r>
      <w:r w:rsidR="003E07BC">
        <w:rPr>
          <w:bCs/>
        </w:rPr>
        <w:t>réglementaires</w:t>
      </w:r>
      <w:r>
        <w:t xml:space="preserve"> (qui fixent par ex. le montant desdits honoraires). Tel est le cas en Australie (Victoria), où l</w:t>
      </w:r>
      <w:r w:rsidR="00715ACD">
        <w:t>’</w:t>
      </w:r>
      <w:r>
        <w:rPr>
          <w:i/>
          <w:iCs/>
        </w:rPr>
        <w:t>Adoption Act 1984</w:t>
      </w:r>
      <w:r>
        <w:t xml:space="preserve"> énonce le cadre juridique, tandis que l</w:t>
      </w:r>
      <w:r w:rsidR="00715ACD">
        <w:t>’</w:t>
      </w:r>
      <w:r>
        <w:rPr>
          <w:i/>
          <w:iCs/>
        </w:rPr>
        <w:t>Adoption (Fees) Regulation 2005</w:t>
      </w:r>
      <w:r>
        <w:t xml:space="preserve"> fixe les montants précis</w:t>
      </w:r>
      <w:r w:rsidR="006C4EEB" w:rsidRPr="002E65D8">
        <w:rPr>
          <w:rStyle w:val="FootnoteReference"/>
        </w:rPr>
        <w:footnoteReference w:id="109"/>
      </w:r>
      <w:r>
        <w:t>. Au Canada (Colombie-Britannique), le cadre législatif découle de l</w:t>
      </w:r>
      <w:r w:rsidR="00715ACD">
        <w:t>’</w:t>
      </w:r>
      <w:r>
        <w:rPr>
          <w:i/>
          <w:iCs/>
        </w:rPr>
        <w:t>Adoption Act 1996</w:t>
      </w:r>
      <w:r>
        <w:t xml:space="preserve"> et l</w:t>
      </w:r>
      <w:r w:rsidR="00715ACD">
        <w:t>’</w:t>
      </w:r>
      <w:r>
        <w:rPr>
          <w:i/>
          <w:iCs/>
        </w:rPr>
        <w:t>Adoption Fees Regulation 1996</w:t>
      </w:r>
      <w:r w:rsidR="00DF48D3" w:rsidRPr="002E65D8">
        <w:rPr>
          <w:rStyle w:val="FootnoteReference"/>
        </w:rPr>
        <w:footnoteReference w:id="110"/>
      </w:r>
      <w:r>
        <w:t>. Au Canada (Manitoba), le cadre législatif découle de la loi sur l</w:t>
      </w:r>
      <w:r w:rsidR="00715ACD">
        <w:t>’</w:t>
      </w:r>
      <w:r>
        <w:t>adoption et du règlement sur l</w:t>
      </w:r>
      <w:r w:rsidR="00715ACD">
        <w:t>’</w:t>
      </w:r>
      <w:r>
        <w:t>adoption</w:t>
      </w:r>
      <w:r w:rsidR="009D113B">
        <w:rPr>
          <w:rStyle w:val="FootnoteReference"/>
        </w:rPr>
        <w:footnoteReference w:id="111"/>
      </w:r>
      <w:r>
        <w:t>.</w:t>
      </w:r>
    </w:p>
    <w:p w14:paraId="6A87C2E3" w14:textId="72F7D04D" w:rsidR="00840921" w:rsidRPr="002E65D8" w:rsidRDefault="00487FDA" w:rsidP="00487FDA">
      <w:pPr>
        <w:pStyle w:val="Bluebox"/>
        <w:rPr>
          <w:szCs w:val="16"/>
        </w:rPr>
      </w:pPr>
      <w:r>
        <w:t>Dans certains États, les frais de la procédure d</w:t>
      </w:r>
      <w:r w:rsidR="00715ACD">
        <w:t>’</w:t>
      </w:r>
      <w:r>
        <w:t xml:space="preserve">adoption sont fixés par </w:t>
      </w:r>
      <w:r w:rsidRPr="00E8010B">
        <w:rPr>
          <w:bCs/>
        </w:rPr>
        <w:t>décret ministériel</w:t>
      </w:r>
      <w:r w:rsidRPr="00E8010B">
        <w:t xml:space="preserve"> ou </w:t>
      </w:r>
      <w:r w:rsidRPr="00E8010B">
        <w:rPr>
          <w:bCs/>
        </w:rPr>
        <w:t>gouvernemental</w:t>
      </w:r>
      <w:r>
        <w:t>. Tel est le cas au Bénin</w:t>
      </w:r>
      <w:r w:rsidR="00D64413" w:rsidRPr="002E65D8">
        <w:rPr>
          <w:rStyle w:val="FootnoteReference"/>
          <w:szCs w:val="16"/>
        </w:rPr>
        <w:footnoteReference w:id="112"/>
      </w:r>
      <w:r>
        <w:t xml:space="preserve"> </w:t>
      </w:r>
      <w:r w:rsidR="00564C94">
        <w:t>où les frais fixes de différentes phases de la procédure d</w:t>
      </w:r>
      <w:r w:rsidR="00715ACD">
        <w:t>’</w:t>
      </w:r>
      <w:r w:rsidR="00564C94">
        <w:t xml:space="preserve">adoption sont fixés par décret ministériel, tout comme </w:t>
      </w:r>
      <w:r>
        <w:t>en Côte d</w:t>
      </w:r>
      <w:r w:rsidR="00715ACD">
        <w:t>’</w:t>
      </w:r>
      <w:r>
        <w:t>Ivoire</w:t>
      </w:r>
      <w:r w:rsidR="00554A65" w:rsidRPr="002E65D8">
        <w:rPr>
          <w:rStyle w:val="FootnoteReference"/>
          <w:szCs w:val="16"/>
        </w:rPr>
        <w:footnoteReference w:id="113"/>
      </w:r>
      <w:r>
        <w:t xml:space="preserve">, </w:t>
      </w:r>
      <w:r w:rsidR="00564C94">
        <w:t>où divers frais liés à la procédure d</w:t>
      </w:r>
      <w:r w:rsidR="00715ACD">
        <w:t>’</w:t>
      </w:r>
      <w:r w:rsidR="00564C94">
        <w:t>adoption, comme</w:t>
      </w:r>
      <w:r w:rsidR="00564C94" w:rsidRPr="00564C94">
        <w:t xml:space="preserve"> </w:t>
      </w:r>
      <w:r>
        <w:t>l</w:t>
      </w:r>
      <w:r w:rsidR="00715ACD">
        <w:t>’</w:t>
      </w:r>
      <w:r>
        <w:t>enregistrement et le traitement des dossiers, les enquêtes et les frais liés à la préparation de la famille, le cas échéant,</w:t>
      </w:r>
      <w:r w:rsidR="00564C94">
        <w:t xml:space="preserve"> sont fixés par décret ministériel</w:t>
      </w:r>
      <w:r>
        <w:t xml:space="preserve">. Tel </w:t>
      </w:r>
      <w:r w:rsidR="00860A47">
        <w:t xml:space="preserve">est </w:t>
      </w:r>
      <w:r>
        <w:t>également le cas en Belgique (communauté flamande), où un décret gouvernemental fixe le montant maximum des honoraires versés aux organismes agréés</w:t>
      </w:r>
      <w:r w:rsidR="00115865" w:rsidRPr="002E65D8">
        <w:rPr>
          <w:rStyle w:val="FootnoteReference"/>
          <w:szCs w:val="16"/>
        </w:rPr>
        <w:footnoteReference w:id="114"/>
      </w:r>
      <w:r>
        <w:t>.</w:t>
      </w:r>
    </w:p>
    <w:p w14:paraId="7D6B97A5" w14:textId="77777777" w:rsidR="008808E8" w:rsidRPr="002E65D8" w:rsidRDefault="008808E8" w:rsidP="008808E8">
      <w:pPr>
        <w:pStyle w:val="Bluebox"/>
        <w:rPr>
          <w:szCs w:val="16"/>
        </w:rPr>
      </w:pPr>
      <w:r>
        <w:t xml:space="preserve">En Colombie, le </w:t>
      </w:r>
      <w:r>
        <w:rPr>
          <w:i/>
          <w:iCs/>
        </w:rPr>
        <w:t>Code relatif aux enfants et aux adolescents</w:t>
      </w:r>
      <w:r>
        <w:t xml:space="preserve"> contient plusieurs dispositions portant sur les aspects financiers</w:t>
      </w:r>
      <w:bookmarkStart w:id="88" w:name="_Ref231311461"/>
      <w:r w:rsidRPr="002E65D8">
        <w:rPr>
          <w:rStyle w:val="FootnoteReference"/>
          <w:szCs w:val="16"/>
        </w:rPr>
        <w:footnoteReference w:id="115"/>
      </w:r>
      <w:bookmarkEnd w:id="88"/>
      <w:r>
        <w:t>.</w:t>
      </w:r>
    </w:p>
    <w:p w14:paraId="77B333B0" w14:textId="6CF44927" w:rsidR="00604306" w:rsidRPr="002E65D8" w:rsidRDefault="00604306" w:rsidP="002049B7">
      <w:pPr>
        <w:pStyle w:val="Bluebox"/>
        <w:rPr>
          <w:szCs w:val="16"/>
        </w:rPr>
      </w:pPr>
      <w:r>
        <w:t>En Inde, l</w:t>
      </w:r>
      <w:r w:rsidR="00715ACD">
        <w:t>’</w:t>
      </w:r>
      <w:r>
        <w:rPr>
          <w:i/>
        </w:rPr>
        <w:t>Adoption Regulations 2022</w:t>
      </w:r>
      <w:r w:rsidR="004E34BB" w:rsidRPr="002E65D8">
        <w:rPr>
          <w:rStyle w:val="FootnoteReference"/>
          <w:szCs w:val="16"/>
        </w:rPr>
        <w:footnoteReference w:id="116"/>
      </w:r>
      <w:r>
        <w:t xml:space="preserve"> définit la structure des frais de l</w:t>
      </w:r>
      <w:r w:rsidR="00715ACD">
        <w:t>’</w:t>
      </w:r>
      <w:r>
        <w:t>adoption internationale et la manière dont ces frais sont utilisés.</w:t>
      </w:r>
    </w:p>
    <w:p w14:paraId="2D90EE97" w14:textId="7D9F8237" w:rsidR="002C4E60" w:rsidRPr="002E65D8" w:rsidRDefault="002C4E60" w:rsidP="002049B7">
      <w:pPr>
        <w:pStyle w:val="Bluebox"/>
        <w:rPr>
          <w:szCs w:val="16"/>
        </w:rPr>
      </w:pPr>
      <w:r>
        <w:lastRenderedPageBreak/>
        <w:t>Au Viet Nam, il découle du cadre juridique</w:t>
      </w:r>
      <w:r w:rsidR="00564C94">
        <w:t xml:space="preserve"> établi par la </w:t>
      </w:r>
      <w:r w:rsidR="00564C94">
        <w:rPr>
          <w:i/>
          <w:iCs/>
        </w:rPr>
        <w:t>loi sur l</w:t>
      </w:r>
      <w:r w:rsidR="00715ACD">
        <w:rPr>
          <w:i/>
          <w:iCs/>
        </w:rPr>
        <w:t>’</w:t>
      </w:r>
      <w:r w:rsidR="00564C94">
        <w:rPr>
          <w:i/>
          <w:iCs/>
        </w:rPr>
        <w:t>adoption</w:t>
      </w:r>
      <w:r>
        <w:t xml:space="preserve"> qu</w:t>
      </w:r>
      <w:r w:rsidR="00715ACD">
        <w:t>’</w:t>
      </w:r>
      <w:r>
        <w:t>aucun frais</w:t>
      </w:r>
      <w:r w:rsidR="003E07BC">
        <w:t>,</w:t>
      </w:r>
      <w:r>
        <w:t xml:space="preserve"> </w:t>
      </w:r>
      <w:r w:rsidR="00FC029B">
        <w:t xml:space="preserve">autre </w:t>
      </w:r>
      <w:r>
        <w:t xml:space="preserve">que les frais </w:t>
      </w:r>
      <w:r w:rsidR="00FC029B">
        <w:t xml:space="preserve">et dépenses </w:t>
      </w:r>
      <w:r>
        <w:t>d</w:t>
      </w:r>
      <w:r w:rsidR="00715ACD">
        <w:t>’</w:t>
      </w:r>
      <w:r>
        <w:t xml:space="preserve">enregistrement </w:t>
      </w:r>
      <w:r w:rsidR="00FC029B">
        <w:t>de l</w:t>
      </w:r>
      <w:r w:rsidR="00715ACD">
        <w:t>’</w:t>
      </w:r>
      <w:r w:rsidR="00FC029B">
        <w:t>adoption internationale</w:t>
      </w:r>
      <w:r w:rsidR="003E07BC">
        <w:t>,</w:t>
      </w:r>
      <w:r w:rsidR="00FC029B">
        <w:t xml:space="preserve"> </w:t>
      </w:r>
      <w:r>
        <w:t>ne peut être imposé, tandis que différents décrets et circulaires précisent les modalités d</w:t>
      </w:r>
      <w:r w:rsidR="00715ACD">
        <w:t>’</w:t>
      </w:r>
      <w:r>
        <w:t>utilisation de ces frais spécifiques</w:t>
      </w:r>
      <w:r w:rsidRPr="002E65D8">
        <w:rPr>
          <w:rStyle w:val="FootnoteReference"/>
          <w:szCs w:val="16"/>
        </w:rPr>
        <w:footnoteReference w:id="117"/>
      </w:r>
      <w:r>
        <w:t>.</w:t>
      </w:r>
    </w:p>
    <w:p w14:paraId="3AF2B4AA" w14:textId="070367AE" w:rsidR="006B3848" w:rsidRPr="002E65D8" w:rsidRDefault="006B3848" w:rsidP="004047D5">
      <w:pPr>
        <w:pStyle w:val="Heading2"/>
      </w:pPr>
      <w:bookmarkStart w:id="89" w:name="_Toc236061665"/>
      <w:r>
        <w:t xml:space="preserve">Mise en œuvre de la Convention </w:t>
      </w:r>
      <w:r w:rsidR="00546D99">
        <w:t xml:space="preserve">Adoption de 1993 </w:t>
      </w:r>
      <w:r>
        <w:t>et ressources</w:t>
      </w:r>
      <w:bookmarkEnd w:id="89"/>
      <w:r>
        <w:t xml:space="preserve"> </w:t>
      </w:r>
    </w:p>
    <w:p w14:paraId="0C09AE4F" w14:textId="77777777" w:rsidR="006B3848" w:rsidRPr="002E65D8" w:rsidRDefault="006B3848" w:rsidP="004047D5">
      <w:pPr>
        <w:pStyle w:val="Heading3"/>
      </w:pPr>
      <w:bookmarkStart w:id="90" w:name="_Toc236061666"/>
      <w:r>
        <w:t>Problème : mise en œuvre inadaptée de la Convention et ressources inadéquates</w:t>
      </w:r>
      <w:bookmarkEnd w:id="90"/>
    </w:p>
    <w:p w14:paraId="77602A64" w14:textId="27957C51" w:rsidR="006B3848" w:rsidRPr="002E65D8" w:rsidRDefault="006B3848">
      <w:pPr>
        <w:pStyle w:val="PBParagraph"/>
      </w:pPr>
      <w:r>
        <w:t>Une mise en œuvre inadaptée de la Convention peut être due, entre autres, 1) au « [d]éfaut ou [à l</w:t>
      </w:r>
      <w:r w:rsidR="00715ACD">
        <w:t>’</w:t>
      </w:r>
      <w:r>
        <w:t>]insuffisance de qualifications, d</w:t>
      </w:r>
      <w:r w:rsidR="00715ACD">
        <w:t>’</w:t>
      </w:r>
      <w:r>
        <w:t>expérience, de ressources et / ou de rémunération adéquats du personnel et des autres personnes travaillant pour les autorités et organismes compétents » (</w:t>
      </w:r>
      <w:r>
        <w:rPr>
          <w:color w:val="FFC000"/>
        </w:rPr>
        <w:t xml:space="preserve">FS3, </w:t>
      </w:r>
      <w:r w:rsidR="00250381">
        <w:rPr>
          <w:color w:val="FFC000"/>
        </w:rPr>
        <w:t>boîte </w:t>
      </w:r>
      <w:r>
        <w:rPr>
          <w:color w:val="FFC000"/>
        </w:rPr>
        <w:t>18</w:t>
      </w:r>
      <w:r>
        <w:t>) ; 2) à une coordination inadaptée ; 3) à une planification insuffisante ou inexistante ; 4) au « [d]éfaut de formation par les autorités ou les OAA de leur personnel et / ou leurs représentants concernant les aspects financiers » (</w:t>
      </w:r>
      <w:r>
        <w:rPr>
          <w:color w:val="FFC000"/>
        </w:rPr>
        <w:t xml:space="preserve">FS3, </w:t>
      </w:r>
      <w:r w:rsidR="00250381">
        <w:rPr>
          <w:color w:val="FFC000"/>
        </w:rPr>
        <w:t>boîte </w:t>
      </w:r>
      <w:r>
        <w:rPr>
          <w:color w:val="FFC000"/>
        </w:rPr>
        <w:t>17</w:t>
      </w:r>
      <w:r>
        <w:t>). La mise en œuvre inadaptée est l</w:t>
      </w:r>
      <w:r w:rsidR="00715ACD">
        <w:t>’</w:t>
      </w:r>
      <w:r>
        <w:t>une des principales difficultés dans de nombreux États d</w:t>
      </w:r>
      <w:r w:rsidR="00715ACD">
        <w:t>’</w:t>
      </w:r>
      <w:r>
        <w:t>origine, comme dans les États d</w:t>
      </w:r>
      <w:r w:rsidR="00715ACD">
        <w:t>’</w:t>
      </w:r>
      <w:r>
        <w:t>accueil, les budgets alloués à la protection sociale étant limités. Cela peut conduire à des systèmes d</w:t>
      </w:r>
      <w:r w:rsidR="00715ACD">
        <w:t>’</w:t>
      </w:r>
      <w:r>
        <w:t>adoption incapables de prévenir l</w:t>
      </w:r>
      <w:r w:rsidR="00715ACD">
        <w:t>’</w:t>
      </w:r>
      <w:r>
        <w:t>obtention d</w:t>
      </w:r>
      <w:r w:rsidR="00715ACD">
        <w:t>’</w:t>
      </w:r>
      <w:r>
        <w:t>enfants aux fins de l</w:t>
      </w:r>
      <w:r w:rsidR="00715ACD">
        <w:t>’</w:t>
      </w:r>
      <w:r>
        <w:t>adoption</w:t>
      </w:r>
      <w:r w:rsidR="00574CCE" w:rsidRPr="002E65D8">
        <w:rPr>
          <w:rStyle w:val="FootnoteReference"/>
        </w:rPr>
        <w:footnoteReference w:id="118"/>
      </w:r>
      <w:r>
        <w:t>.</w:t>
      </w:r>
    </w:p>
    <w:p w14:paraId="196AF4EC" w14:textId="77777777" w:rsidR="006B3848" w:rsidRPr="002E65D8" w:rsidRDefault="006B3848" w:rsidP="004047D5">
      <w:pPr>
        <w:pStyle w:val="Heading3"/>
      </w:pPr>
      <w:bookmarkStart w:id="91" w:name="_Toc236061667"/>
      <w:r>
        <w:t>Exemples de mesures visant à mettre en œuvre la Convention et à assurer des ressources adéquates</w:t>
      </w:r>
      <w:bookmarkEnd w:id="91"/>
    </w:p>
    <w:p w14:paraId="635E9137" w14:textId="4D6C9F9E" w:rsidR="00B10AED" w:rsidRPr="002E65D8" w:rsidRDefault="006B3848" w:rsidP="0007371B">
      <w:pPr>
        <w:pStyle w:val="PBParagraph"/>
      </w:pPr>
      <w:r>
        <w:t>Afin de veiller à la bonne mise en œuvre de la Convention et de la législation interne, il convient d</w:t>
      </w:r>
      <w:r w:rsidR="00715ACD">
        <w:t>’</w:t>
      </w:r>
      <w:r>
        <w:t xml:space="preserve">établir « un </w:t>
      </w:r>
      <w:r>
        <w:rPr>
          <w:b/>
          <w:bCs/>
        </w:rPr>
        <w:t>cadre juridique</w:t>
      </w:r>
      <w:r>
        <w:t xml:space="preserve"> approprié portant sur les aspects financiers de l</w:t>
      </w:r>
      <w:r w:rsidR="00715ACD">
        <w:t>’</w:t>
      </w:r>
      <w:r>
        <w:t>adoption » et de veiller « à ce que tous les fonds</w:t>
      </w:r>
      <w:r w:rsidR="00D019C6">
        <w:t xml:space="preserve"> et</w:t>
      </w:r>
      <w:r>
        <w:t xml:space="preserve"> ressources humaines et matérielles nécessaires et adéquats soient affectés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16</w:t>
      </w:r>
      <w:r>
        <w:t xml:space="preserve">). La question fondamentale est de savoir comment y parvenir. </w:t>
      </w:r>
    </w:p>
    <w:p w14:paraId="194D76EE" w14:textId="281AB167" w:rsidR="002049B7" w:rsidRPr="002E65D8" w:rsidRDefault="002049B7" w:rsidP="006B3848">
      <w:pPr>
        <w:pStyle w:val="PBParagraph"/>
      </w:pPr>
      <w:r>
        <w:t>Afin d</w:t>
      </w:r>
      <w:r w:rsidR="00715ACD">
        <w:t>’</w:t>
      </w:r>
      <w:r>
        <w:t>éviter la dépendance et d</w:t>
      </w:r>
      <w:r w:rsidR="00715ACD">
        <w:t>’</w:t>
      </w:r>
      <w:r>
        <w:t>autres problèmes, chaque État devrait pouvoir fournir les ressources dont ses autorités et organismes ont besoin pour exécuter leurs obligations. Il s</w:t>
      </w:r>
      <w:r w:rsidR="00715ACD">
        <w:t>’</w:t>
      </w:r>
      <w:r>
        <w:t>agit cependant de l</w:t>
      </w:r>
      <w:r w:rsidR="00715ACD">
        <w:t>’</w:t>
      </w:r>
      <w:r>
        <w:t>un</w:t>
      </w:r>
      <w:r w:rsidR="00F1051D">
        <w:t>e des principales</w:t>
      </w:r>
      <w:r>
        <w:t xml:space="preserve"> </w:t>
      </w:r>
      <w:r w:rsidR="00F1051D">
        <w:t xml:space="preserve">difficultés </w:t>
      </w:r>
      <w:r>
        <w:t>dans de nombreux États. Certains ont une excellente législation interne, mais le manque de ressources fait obstacle à sa mise en œuvre et à son application.</w:t>
      </w:r>
    </w:p>
    <w:p w14:paraId="272627F9" w14:textId="65DC055F" w:rsidR="006B3848" w:rsidRPr="002E65D8" w:rsidRDefault="006B3848" w:rsidP="006B3848">
      <w:pPr>
        <w:pStyle w:val="PBParagraph"/>
      </w:pPr>
      <w:r>
        <w:t>Une autre bonne pratique aux fins de la mise en œuvre du cadre juridique consiste à limiter les adoptions internationales en fonction des ressources disponibles. L</w:t>
      </w:r>
      <w:r w:rsidR="00715ACD">
        <w:t>’</w:t>
      </w:r>
      <w:r>
        <w:t>expérience montre que laisser les services compétents être totalement submergés par le nombre croissant d</w:t>
      </w:r>
      <w:r w:rsidR="00715ACD">
        <w:t>’</w:t>
      </w:r>
      <w:r>
        <w:t>adoptions internationales peut mener à des cas de fraude, de corruption et à des adoptions contraires à l</w:t>
      </w:r>
      <w:r w:rsidR="00715ACD">
        <w:t>’</w:t>
      </w:r>
      <w:r>
        <w:t xml:space="preserve">éthique en général. </w:t>
      </w:r>
    </w:p>
    <w:p w14:paraId="27072587" w14:textId="471E48C8" w:rsidR="006B3848" w:rsidRPr="002E65D8" w:rsidRDefault="006B3848" w:rsidP="0007371B">
      <w:pPr>
        <w:pStyle w:val="PBParagraph"/>
      </w:pPr>
      <w:r>
        <w:t>L</w:t>
      </w:r>
      <w:r w:rsidR="00715ACD">
        <w:t>’</w:t>
      </w:r>
      <w:r>
        <w:t>établissement d</w:t>
      </w:r>
      <w:r w:rsidR="00715ACD">
        <w:t>’</w:t>
      </w:r>
      <w:r>
        <w:t xml:space="preserve">un plan de mise en œuvre avant de devenir Partie à la Convention est essentiel </w:t>
      </w:r>
      <w:r w:rsidR="00B75294">
        <w:t>pour</w:t>
      </w:r>
      <w:r>
        <w:t xml:space="preserve"> la bonne application de l</w:t>
      </w:r>
      <w:r w:rsidR="00715ACD">
        <w:t>’</w:t>
      </w:r>
      <w:r>
        <w:t>instrument</w:t>
      </w:r>
      <w:r w:rsidRPr="002E65D8">
        <w:rPr>
          <w:rStyle w:val="FootnoteReference"/>
        </w:rPr>
        <w:footnoteReference w:id="119"/>
      </w:r>
      <w:r>
        <w:t xml:space="preserve">. Une partie de ce plan consiste à désigner une </w:t>
      </w:r>
      <w:r>
        <w:rPr>
          <w:b/>
          <w:bCs/>
        </w:rPr>
        <w:t>Autorité centrale</w:t>
      </w:r>
      <w:r>
        <w:t xml:space="preserve"> et à lui allouer les ressources humaines et matérielles nécessaires. Les Autorités centrales sont chargées de veiller au respect des normes de la Convention ainsi que des lois et règlements internes qui la mettent en œuvre</w:t>
      </w:r>
      <w:r w:rsidRPr="002E65D8">
        <w:rPr>
          <w:rStyle w:val="FootnoteReference"/>
        </w:rPr>
        <w:footnoteReference w:id="120"/>
      </w:r>
      <w:r>
        <w:t>, notamment des dispositions visant à prévenir les gains matériels indus</w:t>
      </w:r>
      <w:r w:rsidRPr="002E65D8">
        <w:rPr>
          <w:rStyle w:val="FootnoteReference"/>
        </w:rPr>
        <w:footnoteReference w:id="121"/>
      </w:r>
      <w:r>
        <w:t>.</w:t>
      </w:r>
    </w:p>
    <w:p w14:paraId="54757267" w14:textId="38BB455A" w:rsidR="006B3848" w:rsidRPr="002E65D8" w:rsidRDefault="006B3848" w:rsidP="0007371B">
      <w:pPr>
        <w:pStyle w:val="PBParagraph"/>
      </w:pPr>
      <w:r>
        <w:t xml:space="preserve">Les États devraient « [v]eiller à ce que </w:t>
      </w:r>
      <w:r>
        <w:rPr>
          <w:b/>
        </w:rPr>
        <w:t>les autorités et organismes compétents qui travaillent dans le domaine de l</w:t>
      </w:r>
      <w:r w:rsidR="00715ACD">
        <w:rPr>
          <w:b/>
        </w:rPr>
        <w:t>’</w:t>
      </w:r>
      <w:r>
        <w:rPr>
          <w:b/>
        </w:rPr>
        <w:t>adoption</w:t>
      </w:r>
      <w:r>
        <w:t xml:space="preserve"> soient bien qualifiés, expérimentés, formés et qu</w:t>
      </w:r>
      <w:r w:rsidR="00715ACD">
        <w:t>’</w:t>
      </w:r>
      <w:r>
        <w:t>ils disposent des pouvoirs et des ressources adéquats (y compris une rémunération adéquate pour les services rendus)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18</w:t>
      </w:r>
      <w:r>
        <w:t>).</w:t>
      </w:r>
    </w:p>
    <w:p w14:paraId="6C73AAB3" w14:textId="2ADCCC25" w:rsidR="0099555B" w:rsidRPr="002E65D8" w:rsidRDefault="0099555B" w:rsidP="0099555B">
      <w:pPr>
        <w:pStyle w:val="PBParagraph"/>
      </w:pPr>
      <w:r>
        <w:lastRenderedPageBreak/>
        <w:t xml:space="preserve">En ce qui concerne les </w:t>
      </w:r>
      <w:r>
        <w:rPr>
          <w:b/>
          <w:bCs/>
        </w:rPr>
        <w:t>professionnels</w:t>
      </w:r>
      <w:r>
        <w:t xml:space="preserve"> intervenant dans la procédure d</w:t>
      </w:r>
      <w:r w:rsidR="00715ACD">
        <w:t>’</w:t>
      </w:r>
      <w:r>
        <w:t>adoption, ils devraient 1) disposer des licences nécessaires pour pratiquer</w:t>
      </w:r>
      <w:r w:rsidRPr="002E65D8">
        <w:rPr>
          <w:rStyle w:val="FootnoteReference"/>
        </w:rPr>
        <w:footnoteReference w:id="122"/>
      </w:r>
      <w:r>
        <w:t>, 2) être tenus de respecter les normes de déontologie les plus élevées, et 3) avoir suivi une formation spécifique, notamment en matière d</w:t>
      </w:r>
      <w:r w:rsidR="00715ACD">
        <w:t>’</w:t>
      </w:r>
      <w:r>
        <w:t>éthique et de déontologie</w:t>
      </w:r>
      <w:r w:rsidRPr="002E65D8">
        <w:rPr>
          <w:rStyle w:val="FootnoteReference"/>
        </w:rPr>
        <w:footnoteReference w:id="123"/>
      </w:r>
      <w:r>
        <w:t xml:space="preserve">. Les Autorités centrales peuvent établir une liste de professionnels remplissant les critères susmentionnés et encourager les OAA et les FPA à travailler avec eux. </w:t>
      </w:r>
    </w:p>
    <w:p w14:paraId="1CB66BB4" w14:textId="7A07870A" w:rsidR="00F5679D" w:rsidRPr="00F5679D" w:rsidRDefault="006B3848" w:rsidP="002E3DB7">
      <w:pPr>
        <w:pStyle w:val="PBParagraph"/>
        <w:spacing w:after="160"/>
      </w:pPr>
      <w:r>
        <w:t>Un autre outil permettant d</w:t>
      </w:r>
      <w:r w:rsidR="00715ACD">
        <w:t>’</w:t>
      </w:r>
      <w:r>
        <w:t>atténuer les abus consiste à « </w:t>
      </w:r>
      <w:r w:rsidRPr="00F5679D">
        <w:rPr>
          <w:b/>
          <w:bCs/>
        </w:rPr>
        <w:t>[i]nformer et former</w:t>
      </w:r>
      <w:r>
        <w:t xml:space="preserve"> correctement les différents acteurs impliqués dans la procédure d</w:t>
      </w:r>
      <w:r w:rsidR="00715ACD">
        <w:t>’</w:t>
      </w:r>
      <w:r>
        <w:t>adoption » (</w:t>
      </w:r>
      <w:r w:rsidRPr="00F5679D">
        <w:rPr>
          <w:color w:val="00B050"/>
        </w:rPr>
        <w:t xml:space="preserve">FS3, </w:t>
      </w:r>
      <w:r w:rsidR="00250381">
        <w:rPr>
          <w:color w:val="00B050"/>
        </w:rPr>
        <w:t>boîte </w:t>
      </w:r>
      <w:r w:rsidRPr="00F5679D">
        <w:rPr>
          <w:color w:val="00B050"/>
        </w:rPr>
        <w:t>17</w:t>
      </w:r>
      <w:r>
        <w:t>), y compris la communauté de l</w:t>
      </w:r>
      <w:r w:rsidR="00715ACD">
        <w:t>’</w:t>
      </w:r>
      <w:r>
        <w:t>adoption, et à conseiller les FPA en matière d</w:t>
      </w:r>
      <w:r w:rsidR="00715ACD">
        <w:t>’</w:t>
      </w:r>
      <w:r>
        <w:t>aspects financiers de l</w:t>
      </w:r>
      <w:r w:rsidR="00715ACD">
        <w:t>’</w:t>
      </w:r>
      <w:r>
        <w:t>adoption internationale. Les FPA sont ainsi mieux préparés, ce qui leur permet d</w:t>
      </w:r>
      <w:r w:rsidR="00715ACD">
        <w:t>’</w:t>
      </w:r>
      <w:r>
        <w:t>adopter une approche plu</w:t>
      </w:r>
      <w:r w:rsidR="00F5679D">
        <w:t>s critique et plus protectrice.</w:t>
      </w:r>
    </w:p>
    <w:p w14:paraId="5A1B82DB" w14:textId="25E3DAB8" w:rsidR="005E0F57" w:rsidRPr="002E65D8" w:rsidRDefault="002E7A3B" w:rsidP="005E0F57">
      <w:pPr>
        <w:pStyle w:val="Blueboxtitle"/>
        <w:spacing w:after="0" w:line="240" w:lineRule="auto"/>
        <w:outlineLvl w:val="2"/>
      </w:pPr>
      <w:bookmarkStart w:id="92" w:name="_Toc236061668"/>
      <w:r>
        <w:t>Boîte</w:t>
      </w:r>
      <w:r w:rsidR="005E0F57">
        <w:t> 2 : Mise en œuvre, ressources et formation</w:t>
      </w:r>
      <w:bookmarkEnd w:id="92"/>
    </w:p>
    <w:p w14:paraId="6C77F295" w14:textId="4A137AD6" w:rsidR="005E0F57" w:rsidRPr="002E65D8" w:rsidRDefault="62640F43" w:rsidP="005E0F57">
      <w:pPr>
        <w:pStyle w:val="Blueboxtitle"/>
        <w:rPr>
          <w:b w:val="0"/>
          <w:bCs w:val="0"/>
        </w:rPr>
      </w:pPr>
      <w:r>
        <w:rPr>
          <w:b w:val="0"/>
        </w:rPr>
        <w:t xml:space="preserve">Quelques exemples de mesures mises en œuvre par les États </w:t>
      </w:r>
    </w:p>
    <w:p w14:paraId="5F81536C" w14:textId="1B4864CB" w:rsidR="00946232" w:rsidRPr="00946232" w:rsidRDefault="00946232" w:rsidP="001C0414">
      <w:pPr>
        <w:pStyle w:val="Bluebox"/>
        <w:rPr>
          <w:szCs w:val="16"/>
        </w:rPr>
      </w:pPr>
      <w:r>
        <w:t>Aux États-Unis, les OAA et les personnes autorisées ne devraient avoir comme employés que des personnes disposant des titres et qualifications appropriés pour exercer des fonctions de service social en lien avec l’adoption</w:t>
      </w:r>
      <w:bookmarkStart w:id="93" w:name="_Ref231303536"/>
      <w:r w:rsidRPr="002E65D8">
        <w:rPr>
          <w:rStyle w:val="FootnoteReference"/>
          <w:szCs w:val="16"/>
        </w:rPr>
        <w:footnoteReference w:id="124"/>
      </w:r>
      <w:bookmarkEnd w:id="93"/>
      <w:r>
        <w:t>. Les politiques et procédures écrites des OAA et des personnes autorisées interdisent expressément l’achat d’enfants et l’incitation, interdictions sur lesquelles insistent les formations dispensées aux employés</w:t>
      </w:r>
      <w:r w:rsidRPr="002E65D8">
        <w:rPr>
          <w:rStyle w:val="FootnoteReference"/>
          <w:szCs w:val="16"/>
        </w:rPr>
        <w:footnoteReference w:id="125"/>
      </w:r>
      <w:r>
        <w:t>.</w:t>
      </w:r>
    </w:p>
    <w:p w14:paraId="0A221C53" w14:textId="399335BD" w:rsidR="002502AE" w:rsidRPr="002E65D8" w:rsidRDefault="001C0414" w:rsidP="001C0414">
      <w:pPr>
        <w:pStyle w:val="Bluebox"/>
        <w:rPr>
          <w:szCs w:val="16"/>
        </w:rPr>
      </w:pPr>
      <w:r>
        <w:t>En France, l</w:t>
      </w:r>
      <w:r w:rsidR="00715ACD">
        <w:t>’</w:t>
      </w:r>
      <w:r>
        <w:t xml:space="preserve">Autorité centrale doit valider </w:t>
      </w:r>
      <w:r w:rsidR="00124601">
        <w:t>le décompte des sommes demandées</w:t>
      </w:r>
      <w:r>
        <w:t xml:space="preserve"> par les OAA, après réception d</w:t>
      </w:r>
      <w:r w:rsidR="00715ACD">
        <w:t>’</w:t>
      </w:r>
      <w:r>
        <w:t>une copie signée par les FPA, une fois leur demande enregistrée auprès de l</w:t>
      </w:r>
      <w:r w:rsidR="00715ACD">
        <w:t>’</w:t>
      </w:r>
      <w:r>
        <w:t xml:space="preserve">OAA concerné. </w:t>
      </w:r>
      <w:r w:rsidR="00124601">
        <w:t>Ce décompte des sommes</w:t>
      </w:r>
      <w:r>
        <w:t xml:space="preserve"> doit en outre suivre un modèle précis établi par l</w:t>
      </w:r>
      <w:r w:rsidR="00715ACD">
        <w:t>’</w:t>
      </w:r>
      <w:r>
        <w:t>Au</w:t>
      </w:r>
      <w:r w:rsidR="00124601">
        <w:t>t</w:t>
      </w:r>
      <w:r>
        <w:t>orité centrale</w:t>
      </w:r>
      <w:r w:rsidR="00F5679D">
        <w:rPr>
          <w:rStyle w:val="FootnoteReference"/>
        </w:rPr>
        <w:footnoteReference w:id="126"/>
      </w:r>
      <w:r>
        <w:t xml:space="preserve">. </w:t>
      </w:r>
    </w:p>
    <w:p w14:paraId="649C0785" w14:textId="6EE82C6D" w:rsidR="001C0414" w:rsidRPr="002E65D8" w:rsidRDefault="001C0414" w:rsidP="001C0414">
      <w:pPr>
        <w:pStyle w:val="Bluebox"/>
        <w:rPr>
          <w:szCs w:val="16"/>
        </w:rPr>
      </w:pPr>
      <w:r>
        <w:t>En Italie, la loi dispose que les membres du personnel qui dirigent et composent les OAA doivent être formés de manière adéquate, disposer d</w:t>
      </w:r>
      <w:r w:rsidR="00715ACD">
        <w:t>’</w:t>
      </w:r>
      <w:r>
        <w:t>une expertise et d</w:t>
      </w:r>
      <w:r w:rsidR="00715ACD">
        <w:t>’</w:t>
      </w:r>
      <w:r>
        <w:t>une spécialisation dans le domaine de l</w:t>
      </w:r>
      <w:r w:rsidR="00715ACD">
        <w:t>’</w:t>
      </w:r>
      <w:r>
        <w:t>adoption et de qualités morales satisfaisantes</w:t>
      </w:r>
      <w:r w:rsidRPr="002E65D8">
        <w:rPr>
          <w:rStyle w:val="FootnoteReference"/>
          <w:szCs w:val="16"/>
        </w:rPr>
        <w:footnoteReference w:id="127"/>
      </w:r>
      <w:r>
        <w:t>.</w:t>
      </w:r>
    </w:p>
    <w:p w14:paraId="62F89373" w14:textId="29D36189" w:rsidR="00257C4A" w:rsidRPr="00257C4A" w:rsidRDefault="00641EE4" w:rsidP="00257C4A">
      <w:pPr>
        <w:pStyle w:val="Bluebox"/>
        <w:rPr>
          <w:szCs w:val="16"/>
        </w:rPr>
      </w:pPr>
      <w:r>
        <w:t>Aux Philippines, il incombe à l</w:t>
      </w:r>
      <w:r w:rsidR="00715ACD">
        <w:t>’</w:t>
      </w:r>
      <w:r>
        <w:t xml:space="preserve">Autorité centrale (Autorité centrale </w:t>
      </w:r>
      <w:r w:rsidR="00B318CD">
        <w:t>responsable</w:t>
      </w:r>
      <w:r>
        <w:t xml:space="preserve"> des enfants </w:t>
      </w:r>
      <w:r w:rsidR="00257C4A">
        <w:t>–</w:t>
      </w:r>
      <w:r>
        <w:t xml:space="preserve"> NACC) d</w:t>
      </w:r>
      <w:r w:rsidR="00715ACD">
        <w:t>’</w:t>
      </w:r>
      <w:r>
        <w:t>apporter une assistance technique à toutes les parties prenantes impliquées dans la procédure d</w:t>
      </w:r>
      <w:r w:rsidR="00715ACD">
        <w:t>’</w:t>
      </w:r>
      <w:r>
        <w:t>adoption et de mettre en place des activités de renforcement des capacités. Elle organise des formations pour les travailleurs sociaux impliqués dans la procédure d</w:t>
      </w:r>
      <w:r w:rsidR="00715ACD">
        <w:t>’</w:t>
      </w:r>
      <w:r>
        <w:t>adoption, qui doivent en outre, comme tous les professionnels concernés, disposer d</w:t>
      </w:r>
      <w:r w:rsidR="00715ACD">
        <w:t>’</w:t>
      </w:r>
      <w:r>
        <w:t>une licence octroyée par le Gouvernement</w:t>
      </w:r>
      <w:bookmarkStart w:id="94" w:name="_Ref231302736"/>
      <w:r w:rsidRPr="002E65D8">
        <w:rPr>
          <w:rStyle w:val="FootnoteReference"/>
          <w:szCs w:val="16"/>
        </w:rPr>
        <w:footnoteReference w:id="128"/>
      </w:r>
      <w:bookmarkEnd w:id="94"/>
      <w:r w:rsidR="00D651B8">
        <w:t>.</w:t>
      </w:r>
      <w:r>
        <w:t xml:space="preserve"> La </w:t>
      </w:r>
      <w:r>
        <w:rPr>
          <w:i/>
          <w:iCs/>
        </w:rPr>
        <w:t>loi sur l</w:t>
      </w:r>
      <w:r w:rsidR="00715ACD">
        <w:rPr>
          <w:i/>
          <w:iCs/>
        </w:rPr>
        <w:t>’</w:t>
      </w:r>
      <w:r>
        <w:rPr>
          <w:i/>
          <w:iCs/>
        </w:rPr>
        <w:t>adoption internationale de 1995</w:t>
      </w:r>
      <w:r>
        <w:t xml:space="preserve"> a également désigné l</w:t>
      </w:r>
      <w:r w:rsidR="00715ACD">
        <w:t>’</w:t>
      </w:r>
      <w:r>
        <w:t>Autorité centrale, défini les sources de financement en ce qui concerne son fonctionnement et énoncé des sanctions en cas de violation de</w:t>
      </w:r>
      <w:r w:rsidR="00DC1DF8">
        <w:t xml:space="preserve"> se</w:t>
      </w:r>
      <w:r>
        <w:t>s dispositions</w:t>
      </w:r>
      <w:r w:rsidR="00C06AF2" w:rsidRPr="002E65D8">
        <w:rPr>
          <w:rStyle w:val="FootnoteReference"/>
          <w:szCs w:val="16"/>
        </w:rPr>
        <w:footnoteReference w:id="129"/>
      </w:r>
      <w:r>
        <w:t>.</w:t>
      </w:r>
      <w:r w:rsidR="00257C4A" w:rsidRPr="00257C4A">
        <w:t xml:space="preserve"> </w:t>
      </w:r>
    </w:p>
    <w:p w14:paraId="637D17EA" w14:textId="6B42793F" w:rsidR="003046BC" w:rsidRPr="00946232" w:rsidRDefault="00257C4A" w:rsidP="00946232">
      <w:pPr>
        <w:pStyle w:val="Bluebox"/>
        <w:rPr>
          <w:szCs w:val="16"/>
        </w:rPr>
      </w:pPr>
      <w:r>
        <w:t>En République de Corée, le Gouvernement a promulgué une loi spécifique dédiée à la mise en œuvre de la Convention, avant de ratifier celle-ci</w:t>
      </w:r>
      <w:r w:rsidRPr="002E65D8">
        <w:rPr>
          <w:rStyle w:val="FootnoteReference"/>
          <w:szCs w:val="16"/>
        </w:rPr>
        <w:footnoteReference w:id="130"/>
      </w:r>
      <w:r>
        <w:t xml:space="preserve">. </w:t>
      </w:r>
    </w:p>
    <w:p w14:paraId="1BE59928" w14:textId="77777777" w:rsidR="006B3848" w:rsidRPr="002E65D8" w:rsidRDefault="006B3848" w:rsidP="004047D5">
      <w:pPr>
        <w:pStyle w:val="Heading2"/>
      </w:pPr>
      <w:bookmarkStart w:id="95" w:name="_Ref212145946"/>
      <w:bookmarkStart w:id="96" w:name="_Toc236061669"/>
      <w:r>
        <w:t>Responsabilité renforcée grâce à de meilleurs mécanismes de contrôle</w:t>
      </w:r>
      <w:bookmarkEnd w:id="95"/>
      <w:bookmarkEnd w:id="96"/>
    </w:p>
    <w:p w14:paraId="52314941" w14:textId="475819EF" w:rsidR="006B3848" w:rsidRPr="002E65D8" w:rsidRDefault="006B3848" w:rsidP="004047D5">
      <w:pPr>
        <w:pStyle w:val="Heading3"/>
        <w:numPr>
          <w:ilvl w:val="2"/>
          <w:numId w:val="6"/>
        </w:numPr>
      </w:pPr>
      <w:bookmarkStart w:id="97" w:name="_Toc236061670"/>
      <w:r>
        <w:t>Problème : Responsabilité et / ou mécanismes de contrôle inexistants, limités ou inappropriés en matière d</w:t>
      </w:r>
      <w:r w:rsidR="00715ACD">
        <w:t>’</w:t>
      </w:r>
      <w:r>
        <w:t>aspects financiers de l</w:t>
      </w:r>
      <w:r w:rsidR="00715ACD">
        <w:t>’</w:t>
      </w:r>
      <w:r>
        <w:t>adoption internationale</w:t>
      </w:r>
      <w:bookmarkEnd w:id="97"/>
      <w:r>
        <w:t xml:space="preserve"> </w:t>
      </w:r>
    </w:p>
    <w:p w14:paraId="7AE2D608" w14:textId="50031D18" w:rsidR="0033136A" w:rsidRPr="002E65D8" w:rsidRDefault="0033136A" w:rsidP="0007371B">
      <w:pPr>
        <w:pStyle w:val="PBParagraph"/>
      </w:pPr>
      <w:r>
        <w:t>D</w:t>
      </w:r>
      <w:r w:rsidR="00715ACD">
        <w:t>’</w:t>
      </w:r>
      <w:r w:rsidR="00740162">
        <w:t xml:space="preserve">après la </w:t>
      </w:r>
      <w:r w:rsidR="00250381">
        <w:t xml:space="preserve">Boîte </w:t>
      </w:r>
      <w:r w:rsidR="00740162">
        <w:t>à outils</w:t>
      </w:r>
      <w:r>
        <w:t>, le « [c]ontourne[ment des] contrôles financiers » (</w:t>
      </w:r>
      <w:r>
        <w:rPr>
          <w:color w:val="EE0000"/>
        </w:rPr>
        <w:t xml:space="preserve">FS3, </w:t>
      </w:r>
      <w:r w:rsidR="00250381">
        <w:rPr>
          <w:color w:val="EE0000"/>
        </w:rPr>
        <w:t>boîte </w:t>
      </w:r>
      <w:r w:rsidR="0018056B">
        <w:rPr>
          <w:color w:val="EE0000"/>
        </w:rPr>
        <w:t>0</w:t>
      </w:r>
      <w:r>
        <w:rPr>
          <w:color w:val="EE0000"/>
        </w:rPr>
        <w:t>3</w:t>
      </w:r>
      <w:r>
        <w:t xml:space="preserve">) est une pratique illicite. </w:t>
      </w:r>
    </w:p>
    <w:p w14:paraId="79D21CF7" w14:textId="30053449" w:rsidR="001513CB" w:rsidRPr="002E65D8" w:rsidRDefault="006B3848" w:rsidP="0007371B">
      <w:pPr>
        <w:pStyle w:val="PBParagraph"/>
      </w:pPr>
      <w:r>
        <w:t>Voici quelques exemples de problèmes, qui sont autant de facteurs propices aux pratiques illicites d</w:t>
      </w:r>
      <w:r w:rsidR="00715ACD">
        <w:t>’</w:t>
      </w:r>
      <w:r>
        <w:t xml:space="preserve">après la </w:t>
      </w:r>
      <w:r w:rsidR="00250381">
        <w:t xml:space="preserve">Boîte </w:t>
      </w:r>
      <w:r>
        <w:t>à outils</w:t>
      </w:r>
      <w:r w:rsidR="0092126D">
        <w:t> </w:t>
      </w:r>
      <w:r>
        <w:t>:</w:t>
      </w:r>
    </w:p>
    <w:p w14:paraId="75580497" w14:textId="31431ABF" w:rsidR="00D0563B" w:rsidRPr="002E65D8" w:rsidRDefault="006B0AB0" w:rsidP="001513CB">
      <w:pPr>
        <w:pStyle w:val="PBBulletList"/>
      </w:pPr>
      <w:r>
        <w:t>« Responsabilité et / ou mécanismes de contrôle inexistants, limités ou inappropriés en matière d</w:t>
      </w:r>
      <w:r w:rsidR="00715ACD">
        <w:t>’</w:t>
      </w:r>
      <w:r>
        <w:t>aspects financiers » (</w:t>
      </w:r>
      <w:r>
        <w:rPr>
          <w:color w:val="FFC000"/>
        </w:rPr>
        <w:t xml:space="preserve">FS3, </w:t>
      </w:r>
      <w:r w:rsidR="00250381">
        <w:rPr>
          <w:color w:val="FFC000"/>
        </w:rPr>
        <w:t>boîte </w:t>
      </w:r>
      <w:r>
        <w:rPr>
          <w:color w:val="FFC000"/>
        </w:rPr>
        <w:t>31</w:t>
      </w:r>
      <w:r>
        <w:t>).</w:t>
      </w:r>
      <w:r>
        <w:rPr>
          <w:strike/>
        </w:rPr>
        <w:t xml:space="preserve"> </w:t>
      </w:r>
    </w:p>
    <w:p w14:paraId="4486A38A" w14:textId="4205FB25" w:rsidR="008945FE" w:rsidRPr="002E65D8" w:rsidRDefault="008329A5" w:rsidP="001513CB">
      <w:pPr>
        <w:pStyle w:val="PBBulletList"/>
      </w:pPr>
      <w:r>
        <w:lastRenderedPageBreak/>
        <w:t>« Registres financiers et signalements à l</w:t>
      </w:r>
      <w:r w:rsidR="00715ACD">
        <w:t>’</w:t>
      </w:r>
      <w:r>
        <w:t>Autorité centrale ou à l</w:t>
      </w:r>
      <w:r w:rsidR="00715ACD">
        <w:t>’</w:t>
      </w:r>
      <w:r>
        <w:t>autorité compétente inexistants, limités ou inappropriés par les autorités et organismes percevant des paiements au titre des frais, honoraires, contributions et dons, y compris concernant la manière dont cet argent est utilisé » (</w:t>
      </w:r>
      <w:r>
        <w:rPr>
          <w:color w:val="FFC000"/>
        </w:rPr>
        <w:t xml:space="preserve">FS3, </w:t>
      </w:r>
      <w:r w:rsidR="00250381">
        <w:rPr>
          <w:color w:val="FFC000"/>
        </w:rPr>
        <w:t>boîte </w:t>
      </w:r>
      <w:r>
        <w:rPr>
          <w:color w:val="FFC000"/>
        </w:rPr>
        <w:t>32</w:t>
      </w:r>
      <w:r>
        <w:t>).</w:t>
      </w:r>
    </w:p>
    <w:p w14:paraId="02241D67" w14:textId="2B11E750" w:rsidR="0007371B" w:rsidRPr="002E65D8" w:rsidRDefault="0007371B" w:rsidP="00792288">
      <w:pPr>
        <w:pStyle w:val="PBBulletList"/>
      </w:pPr>
      <w:r>
        <w:t>Contrôles inexistants, limités ou inadéquats (notamment suivi et supervision), manque de ressources et « [a]bsence de procédures gouvernementales et / ou de volonté politique visant à identifier les situations impliquant des gains matériels indus, à les prévenir et à y remédier, ou carences en la matière » (</w:t>
      </w:r>
      <w:r>
        <w:rPr>
          <w:color w:val="FFC000"/>
        </w:rPr>
        <w:t xml:space="preserve">FS3, </w:t>
      </w:r>
      <w:r w:rsidR="00250381">
        <w:rPr>
          <w:color w:val="FFC000"/>
        </w:rPr>
        <w:t>boîte </w:t>
      </w:r>
      <w:r>
        <w:rPr>
          <w:color w:val="FFC000"/>
        </w:rPr>
        <w:t>33</w:t>
      </w:r>
      <w:r>
        <w:t xml:space="preserve">). </w:t>
      </w:r>
    </w:p>
    <w:p w14:paraId="39E684D8" w14:textId="2EE580F0" w:rsidR="00750020" w:rsidRPr="002E65D8" w:rsidRDefault="00750020" w:rsidP="00750020">
      <w:pPr>
        <w:pStyle w:val="PBBulletList"/>
      </w:pPr>
      <w:r>
        <w:t>« Absence de règles appropriées en matière de conflit d</w:t>
      </w:r>
      <w:r w:rsidR="00715ACD">
        <w:t>’</w:t>
      </w:r>
      <w:r>
        <w:t>intérêts et manque de ressources pour les mettre en œuvre efficacement » (</w:t>
      </w:r>
      <w:r>
        <w:rPr>
          <w:color w:val="FFC000"/>
        </w:rPr>
        <w:t xml:space="preserve">FS3, </w:t>
      </w:r>
      <w:r w:rsidR="00250381">
        <w:rPr>
          <w:color w:val="FFC000"/>
        </w:rPr>
        <w:t>boîte </w:t>
      </w:r>
      <w:r>
        <w:rPr>
          <w:color w:val="FFC000"/>
        </w:rPr>
        <w:t>19</w:t>
      </w:r>
      <w:r>
        <w:t>).</w:t>
      </w:r>
    </w:p>
    <w:p w14:paraId="723494B8" w14:textId="7995ECD6" w:rsidR="006B3848" w:rsidRPr="002E65D8" w:rsidRDefault="006B3848" w:rsidP="004047D5">
      <w:pPr>
        <w:pStyle w:val="Heading3"/>
      </w:pPr>
      <w:bookmarkStart w:id="98" w:name="_Toc236061671"/>
      <w:r>
        <w:t>Exemples de pratiques en matière de supervision et de suivi des aspects financiers de l</w:t>
      </w:r>
      <w:r w:rsidR="00715ACD">
        <w:t>’</w:t>
      </w:r>
      <w:r>
        <w:t>adoption internationale</w:t>
      </w:r>
      <w:bookmarkEnd w:id="98"/>
    </w:p>
    <w:p w14:paraId="663A5266" w14:textId="18771410" w:rsidR="006B3848" w:rsidRPr="002E65D8" w:rsidRDefault="006B3848" w:rsidP="006B3848">
      <w:pPr>
        <w:pStyle w:val="PBParagraph"/>
      </w:pPr>
      <w:bookmarkStart w:id="99" w:name="_Ref210921507"/>
      <w:r>
        <w:t>Les États sont encouragés à mettre au point des mécanismes de contrôle stricts permettant de suivre et de superviser les activités des différents acteurs en suivant certaines pratiques, notamment :</w:t>
      </w:r>
      <w:bookmarkEnd w:id="99"/>
      <w:r>
        <w:t xml:space="preserve"> </w:t>
      </w:r>
    </w:p>
    <w:p w14:paraId="6678011F" w14:textId="04B46ADE" w:rsidR="006B3848" w:rsidRPr="002E65D8" w:rsidRDefault="00722189" w:rsidP="006B3848">
      <w:pPr>
        <w:pStyle w:val="PBBulletList"/>
      </w:pPr>
      <w:r>
        <w:t xml:space="preserve">adopter et mettre en œuvre des </w:t>
      </w:r>
      <w:r>
        <w:rPr>
          <w:b/>
          <w:bCs/>
        </w:rPr>
        <w:t>réglementations</w:t>
      </w:r>
      <w:r>
        <w:t xml:space="preserve"> précises et transparentes concernant le contrôle ou la supervision, prévoyant en particulier des rapports réguliers ;</w:t>
      </w:r>
    </w:p>
    <w:p w14:paraId="24CFFBF2" w14:textId="2FA492B4" w:rsidR="006B3848" w:rsidRPr="002E65D8" w:rsidRDefault="00722189" w:rsidP="006B3848">
      <w:pPr>
        <w:pStyle w:val="PBBulletList"/>
      </w:pPr>
      <w:r>
        <w:rPr>
          <w:b/>
          <w:bCs/>
        </w:rPr>
        <w:t>communiquer</w:t>
      </w:r>
      <w:r>
        <w:t xml:space="preserve"> efficacement ces réglementations à la communauté de l</w:t>
      </w:r>
      <w:r w:rsidR="00715ACD">
        <w:t>’</w:t>
      </w:r>
      <w:r>
        <w:t>adoption, aux autres États et au grand public afin d</w:t>
      </w:r>
      <w:r w:rsidR="00715ACD">
        <w:t>’</w:t>
      </w:r>
      <w:r>
        <w:t>encourager la transparence et la responsabilité ;</w:t>
      </w:r>
    </w:p>
    <w:p w14:paraId="5A014C27" w14:textId="680C3A56" w:rsidR="006B3848" w:rsidRPr="002E65D8" w:rsidRDefault="00722189" w:rsidP="006B3848">
      <w:pPr>
        <w:pStyle w:val="PBBulletList"/>
      </w:pPr>
      <w:r>
        <w:rPr>
          <w:b/>
          <w:bCs/>
        </w:rPr>
        <w:t>identifier clairement les autorités</w:t>
      </w:r>
      <w:r w:rsidR="006B3848" w:rsidRPr="002E65D8">
        <w:rPr>
          <w:rStyle w:val="FootnoteReference"/>
        </w:rPr>
        <w:footnoteReference w:id="131"/>
      </w:r>
      <w:r>
        <w:t xml:space="preserve"> chargées du contrôle et de la supervision ; </w:t>
      </w:r>
    </w:p>
    <w:p w14:paraId="7ED35AD1" w14:textId="35001337" w:rsidR="006B3848" w:rsidRPr="002E65D8" w:rsidRDefault="00F56904" w:rsidP="006B3848">
      <w:pPr>
        <w:pStyle w:val="PBBulletList"/>
      </w:pPr>
      <w:r>
        <w:t xml:space="preserve">allouer des </w:t>
      </w:r>
      <w:r>
        <w:rPr>
          <w:b/>
          <w:bCs/>
        </w:rPr>
        <w:t>ressources</w:t>
      </w:r>
      <w:r>
        <w:t xml:space="preserve"> suffisantes et appropriées à l</w:t>
      </w:r>
      <w:r w:rsidR="00715ACD">
        <w:t>’</w:t>
      </w:r>
      <w:r>
        <w:t>exercice de ces fonctions ;</w:t>
      </w:r>
    </w:p>
    <w:p w14:paraId="56418794" w14:textId="686471D8" w:rsidR="00A32AF0" w:rsidRPr="002E65D8" w:rsidRDefault="001C67F2">
      <w:pPr>
        <w:pStyle w:val="PBBulletList"/>
      </w:pPr>
      <w:r>
        <w:t>« veiller à ce que l</w:t>
      </w:r>
      <w:r w:rsidR="00715ACD">
        <w:t>’</w:t>
      </w:r>
      <w:r>
        <w:t xml:space="preserve">autorité de supervision soit </w:t>
      </w:r>
      <w:r>
        <w:rPr>
          <w:b/>
          <w:bCs/>
        </w:rPr>
        <w:t>responsable</w:t>
      </w:r>
      <w:r>
        <w:t>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31.1</w:t>
      </w:r>
      <w:r>
        <w:t>) ;</w:t>
      </w:r>
    </w:p>
    <w:p w14:paraId="0D4FFE49" w14:textId="44A52001" w:rsidR="006B3848" w:rsidRPr="002E65D8" w:rsidRDefault="00534765" w:rsidP="003F10E3">
      <w:pPr>
        <w:pStyle w:val="PBBulletList"/>
      </w:pPr>
      <w:r>
        <w:t xml:space="preserve">« [é]laborer des </w:t>
      </w:r>
      <w:r>
        <w:rPr>
          <w:b/>
          <w:bCs/>
        </w:rPr>
        <w:t>mécanismes de contrôle stricts</w:t>
      </w:r>
      <w:r>
        <w:t xml:space="preserve"> et veiller à leur mise en place, y compris au moyen du suivi et de la supervision des activités des différents acteurs</w:t>
      </w:r>
      <w:r w:rsidR="00CF0503">
        <w:t> »</w:t>
      </w:r>
      <w:r>
        <w:t xml:space="preserve"> (</w:t>
      </w:r>
      <w:r>
        <w:rPr>
          <w:color w:val="00B050"/>
          <w:shd w:val="clear" w:color="auto" w:fill="FFFFFF" w:themeFill="background1"/>
        </w:rPr>
        <w:t xml:space="preserve">FS3, </w:t>
      </w:r>
      <w:r w:rsidR="00250381">
        <w:rPr>
          <w:color w:val="00B050"/>
          <w:shd w:val="clear" w:color="auto" w:fill="FFFFFF" w:themeFill="background1"/>
        </w:rPr>
        <w:t>boîte </w:t>
      </w:r>
      <w:r w:rsidR="0018056B">
        <w:rPr>
          <w:color w:val="00B050"/>
          <w:shd w:val="clear" w:color="auto" w:fill="FFFFFF" w:themeFill="background1"/>
        </w:rPr>
        <w:t>0</w:t>
      </w:r>
      <w:r>
        <w:rPr>
          <w:color w:val="00B050"/>
          <w:shd w:val="clear" w:color="auto" w:fill="FFFFFF" w:themeFill="background1"/>
        </w:rPr>
        <w:t>3</w:t>
      </w:r>
      <w:r>
        <w:t>) : 1) « établir pleinement les responsabilités en vérifiant les informations fournies par le bénéficiaire (par ex. OAA, institutions) du paiement et, le cas échéant, en demandant une explication des frais, honoraires, contributions et dons », 2) « veiller à ce que des audits externes soient effectués régulièrement » et 3) </w:t>
      </w:r>
      <w:r w:rsidR="00CF0503">
        <w:t>« </w:t>
      </w:r>
      <w:r>
        <w:t>fournir un moyen de signalement facile d</w:t>
      </w:r>
      <w:r w:rsidR="00715ACD">
        <w:t>’</w:t>
      </w:r>
      <w:r>
        <w:t>accès de tout paiement indu ou de tout abus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31.2,</w:t>
      </w:r>
      <w:r w:rsidR="00771599">
        <w:rPr>
          <w:color w:val="00B050"/>
          <w:shd w:val="clear" w:color="auto" w:fill="FFFFFF" w:themeFill="background1"/>
        </w:rPr>
        <w:t xml:space="preserve"> boîte </w:t>
      </w:r>
      <w:r>
        <w:rPr>
          <w:color w:val="00B050"/>
          <w:shd w:val="clear" w:color="auto" w:fill="FFFFFF" w:themeFill="background1"/>
        </w:rPr>
        <w:t xml:space="preserve">31.3 et </w:t>
      </w:r>
      <w:r w:rsidR="00771599">
        <w:rPr>
          <w:color w:val="00B050"/>
          <w:shd w:val="clear" w:color="auto" w:fill="FFFFFF" w:themeFill="background1"/>
        </w:rPr>
        <w:t xml:space="preserve">boîte </w:t>
      </w:r>
      <w:r>
        <w:rPr>
          <w:color w:val="00B050"/>
          <w:shd w:val="clear" w:color="auto" w:fill="FFFFFF" w:themeFill="background1"/>
        </w:rPr>
        <w:t>31.4</w:t>
      </w:r>
      <w:r>
        <w:t>) ;</w:t>
      </w:r>
    </w:p>
    <w:p w14:paraId="7D4CF526" w14:textId="121DF719" w:rsidR="004115DF" w:rsidRPr="002E65D8" w:rsidRDefault="6C9909E0" w:rsidP="006B3848">
      <w:pPr>
        <w:pStyle w:val="PBBulletList"/>
      </w:pPr>
      <w:r>
        <w:t xml:space="preserve">« [v]eiller à ce que les </w:t>
      </w:r>
      <w:r>
        <w:rPr>
          <w:b/>
          <w:bCs/>
        </w:rPr>
        <w:t>bénéficiaires de paiements</w:t>
      </w:r>
      <w:r>
        <w:t> : » 1) « </w:t>
      </w:r>
      <w:r w:rsidRPr="002149B3">
        <w:t>enregistrent</w:t>
      </w:r>
      <w:r>
        <w:t xml:space="preserve"> toutes les transactions financières et produisent un rapport financier détaillé », 2) « tiennent des comptes précis des frais, honoraires, contributions et dons, de la manière dont ils ont été dépensés et veillent à ce qu</w:t>
      </w:r>
      <w:r w:rsidR="00715ACD">
        <w:t>’</w:t>
      </w:r>
      <w:r>
        <w:t>ils aient été utilisés pour la finalité pour laquelle ils ont été exigés, sollicités ou acceptés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 xml:space="preserve">32.1, </w:t>
      </w:r>
      <w:r w:rsidR="00771599">
        <w:rPr>
          <w:color w:val="00B050"/>
          <w:shd w:val="clear" w:color="auto" w:fill="FFFFFF" w:themeFill="background1"/>
        </w:rPr>
        <w:t xml:space="preserve">boîte </w:t>
      </w:r>
      <w:r>
        <w:rPr>
          <w:color w:val="00B050"/>
          <w:shd w:val="clear" w:color="auto" w:fill="FFFFFF" w:themeFill="background1"/>
        </w:rPr>
        <w:t xml:space="preserve">32.2 et </w:t>
      </w:r>
      <w:r w:rsidR="00771599">
        <w:rPr>
          <w:color w:val="00B050"/>
          <w:shd w:val="clear" w:color="auto" w:fill="FFFFFF" w:themeFill="background1"/>
        </w:rPr>
        <w:t xml:space="preserve">boîte </w:t>
      </w:r>
      <w:r>
        <w:rPr>
          <w:color w:val="00B050"/>
          <w:shd w:val="clear" w:color="auto" w:fill="FFFFFF" w:themeFill="background1"/>
        </w:rPr>
        <w:t>32.3</w:t>
      </w:r>
      <w:r>
        <w:t>) ;</w:t>
      </w:r>
    </w:p>
    <w:p w14:paraId="513E9A09" w14:textId="23EE0A15" w:rsidR="00727EE0" w:rsidRPr="002E65D8" w:rsidRDefault="00210433" w:rsidP="006B3848">
      <w:pPr>
        <w:pStyle w:val="PBBulletList"/>
      </w:pPr>
      <w:r>
        <w:rPr>
          <w:b/>
          <w:bCs/>
        </w:rPr>
        <w:t>notifier</w:t>
      </w:r>
      <w:r>
        <w:t xml:space="preserve"> « </w:t>
      </w:r>
      <w:r>
        <w:rPr>
          <w:b/>
          <w:bCs/>
        </w:rPr>
        <w:t>[l]es Autorités centrales [...] de tout don</w:t>
      </w:r>
      <w:r>
        <w:t xml:space="preserve"> fait par un OAA ou des FPA et / ou projet de coopération des OAA » (</w:t>
      </w:r>
      <w:r>
        <w:rPr>
          <w:color w:val="00B050"/>
        </w:rPr>
        <w:t xml:space="preserve">FS3, </w:t>
      </w:r>
      <w:r w:rsidR="00250381">
        <w:rPr>
          <w:color w:val="00B050"/>
        </w:rPr>
        <w:t>boîte </w:t>
      </w:r>
      <w:r>
        <w:rPr>
          <w:color w:val="00B050"/>
        </w:rPr>
        <w:t>32.4</w:t>
      </w:r>
      <w:r>
        <w:t>) ;</w:t>
      </w:r>
    </w:p>
    <w:p w14:paraId="50DB01D2" w14:textId="37E557B7" w:rsidR="006B3848" w:rsidRPr="002E65D8" w:rsidRDefault="00C9439C" w:rsidP="006B3848">
      <w:pPr>
        <w:pStyle w:val="PBBulletList"/>
      </w:pPr>
      <w:r>
        <w:t xml:space="preserve">« [é]toffer les capacités gouvernementales, établir et dûment mettre en œuvre des </w:t>
      </w:r>
      <w:r>
        <w:rPr>
          <w:b/>
          <w:bCs/>
        </w:rPr>
        <w:t>procédures gouvernementales</w:t>
      </w:r>
      <w:r>
        <w:t xml:space="preserve"> visant à identifier les situations impliquant des gains matériels indus, à les prévenir et à y remédier » (</w:t>
      </w:r>
      <w:r>
        <w:rPr>
          <w:color w:val="00B050"/>
        </w:rPr>
        <w:t xml:space="preserve">FS3, </w:t>
      </w:r>
      <w:r w:rsidR="00250381">
        <w:rPr>
          <w:color w:val="00B050"/>
        </w:rPr>
        <w:t>boîte </w:t>
      </w:r>
      <w:r>
        <w:rPr>
          <w:color w:val="00B050"/>
        </w:rPr>
        <w:t>33</w:t>
      </w:r>
      <w:r>
        <w:t>) ;</w:t>
      </w:r>
    </w:p>
    <w:p w14:paraId="7CE1C42E" w14:textId="7648FC3B" w:rsidR="006B3848" w:rsidRPr="002E65D8" w:rsidRDefault="00C97B48" w:rsidP="006B3848">
      <w:pPr>
        <w:pStyle w:val="PBBulletList"/>
      </w:pPr>
      <w:r>
        <w:t>réserver à l</w:t>
      </w:r>
      <w:r w:rsidR="00715ACD">
        <w:t>’</w:t>
      </w:r>
      <w:r>
        <w:rPr>
          <w:b/>
          <w:bCs/>
        </w:rPr>
        <w:t>État le contrôle des fonctions de supervision</w:t>
      </w:r>
      <w:r>
        <w:t> ;</w:t>
      </w:r>
    </w:p>
    <w:p w14:paraId="7C301251" w14:textId="5FC66465" w:rsidR="006B3848" w:rsidRPr="002E65D8" w:rsidRDefault="00C97B48" w:rsidP="006B3848">
      <w:pPr>
        <w:pStyle w:val="PBBulletList"/>
      </w:pPr>
      <w:r>
        <w:t>conserver le contrôle ou la supervision des parties de la procédure d</w:t>
      </w:r>
      <w:r w:rsidR="00715ACD">
        <w:t>’</w:t>
      </w:r>
      <w:r>
        <w:t>adoption qui sont les plus sujettes aux abus ou à l</w:t>
      </w:r>
      <w:r w:rsidR="00715ACD">
        <w:t>’</w:t>
      </w:r>
      <w:r>
        <w:t>exploitation</w:t>
      </w:r>
      <w:r w:rsidR="006B3848" w:rsidRPr="002E65D8">
        <w:rPr>
          <w:rStyle w:val="FootnoteReference"/>
        </w:rPr>
        <w:footnoteReference w:id="132"/>
      </w:r>
      <w:r>
        <w:t xml:space="preserve"> ; </w:t>
      </w:r>
    </w:p>
    <w:p w14:paraId="5B3BA622" w14:textId="07570886" w:rsidR="006B3848" w:rsidRPr="002E65D8" w:rsidRDefault="00C97B48" w:rsidP="006B3848">
      <w:pPr>
        <w:pStyle w:val="PBBulletList"/>
      </w:pPr>
      <w:r>
        <w:rPr>
          <w:b/>
          <w:bCs/>
        </w:rPr>
        <w:t>contrôler les autorités</w:t>
      </w:r>
      <w:r>
        <w:t xml:space="preserve"> chargées de la procédure d</w:t>
      </w:r>
      <w:r w:rsidR="00715ACD">
        <w:t>’</w:t>
      </w:r>
      <w:r>
        <w:t>adoption (par un système d</w:t>
      </w:r>
      <w:r w:rsidR="00715ACD">
        <w:t>’</w:t>
      </w:r>
      <w:r>
        <w:t>inspection et en soumettant les décisions à un processus de révision ou d</w:t>
      </w:r>
      <w:r w:rsidR="00715ACD">
        <w:t>’</w:t>
      </w:r>
      <w:r>
        <w:t>appel) ;</w:t>
      </w:r>
    </w:p>
    <w:p w14:paraId="2B21A7D9" w14:textId="4836A190" w:rsidR="00722189" w:rsidRPr="002E65D8" w:rsidRDefault="008F3159">
      <w:pPr>
        <w:pStyle w:val="PBBulletList"/>
      </w:pPr>
      <w:r>
        <w:t>« [a]vant de donner l</w:t>
      </w:r>
      <w:r w:rsidR="00715ACD">
        <w:t>’</w:t>
      </w:r>
      <w:r>
        <w:t>accord en vue de la poursuite de la procédure d</w:t>
      </w:r>
      <w:r w:rsidR="00715ACD">
        <w:t>’</w:t>
      </w:r>
      <w:r>
        <w:t xml:space="preserve">adoption ([...] </w:t>
      </w:r>
      <w:r>
        <w:rPr>
          <w:b/>
        </w:rPr>
        <w:t>art. 17(c)</w:t>
      </w:r>
      <w:r w:rsidR="001E3374">
        <w:rPr>
          <w:b/>
        </w:rPr>
        <w:t xml:space="preserve"> </w:t>
      </w:r>
      <w:r>
        <w:t>[de la Convention Adoption de 1993]), vérifier tous les frais et honoraires facturés</w:t>
      </w:r>
      <w:r w:rsidR="00EC099C">
        <w:t xml:space="preserve"> ou</w:t>
      </w:r>
      <w:r>
        <w:t xml:space="preserve"> payés jusqu</w:t>
      </w:r>
      <w:r w:rsidR="00715ACD">
        <w:t>’</w:t>
      </w:r>
      <w:r>
        <w:t>alors » (non souligné dans l</w:t>
      </w:r>
      <w:r w:rsidR="00715ACD">
        <w:t>’</w:t>
      </w:r>
      <w:r>
        <w:t>original, retrait du gras présent dans l</w:t>
      </w:r>
      <w:r w:rsidR="00715ACD">
        <w:t>’</w:t>
      </w:r>
      <w:r>
        <w:t>orignal) (</w:t>
      </w:r>
      <w:r>
        <w:rPr>
          <w:color w:val="00B050"/>
        </w:rPr>
        <w:t xml:space="preserve">FS3, </w:t>
      </w:r>
      <w:r w:rsidR="00250381">
        <w:rPr>
          <w:color w:val="00B050"/>
        </w:rPr>
        <w:t>boîte </w:t>
      </w:r>
      <w:r>
        <w:rPr>
          <w:color w:val="00B050"/>
        </w:rPr>
        <w:t>31.5</w:t>
      </w:r>
      <w:r>
        <w:t>) ;</w:t>
      </w:r>
    </w:p>
    <w:p w14:paraId="23804017" w14:textId="15890F1B" w:rsidR="006B3848" w:rsidRPr="002E65D8" w:rsidRDefault="008F3159" w:rsidP="006B3848">
      <w:pPr>
        <w:pStyle w:val="PBBulletList"/>
      </w:pPr>
      <w:r>
        <w:lastRenderedPageBreak/>
        <w:t>« [v]eiller à ce que les autorités et organismes compétents travaillant dans le domaine de l</w:t>
      </w:r>
      <w:r w:rsidR="00715ACD">
        <w:t>’</w:t>
      </w:r>
      <w:r>
        <w:t xml:space="preserve">adoption respectent des </w:t>
      </w:r>
      <w:r>
        <w:rPr>
          <w:b/>
          <w:bCs/>
        </w:rPr>
        <w:t>normes éthiques élevées</w:t>
      </w:r>
      <w:r>
        <w:t xml:space="preserve"> et n</w:t>
      </w:r>
      <w:r w:rsidR="00715ACD">
        <w:t>’</w:t>
      </w:r>
      <w:r>
        <w:t>aient pas de conflit d</w:t>
      </w:r>
      <w:r w:rsidR="00715ACD">
        <w:t>’</w:t>
      </w:r>
      <w:r>
        <w:t>intérêts » (</w:t>
      </w:r>
      <w:r>
        <w:rPr>
          <w:color w:val="00B050"/>
        </w:rPr>
        <w:t xml:space="preserve">FS3, </w:t>
      </w:r>
      <w:r w:rsidR="00250381">
        <w:rPr>
          <w:color w:val="00B050"/>
        </w:rPr>
        <w:t>boîte </w:t>
      </w:r>
      <w:r>
        <w:rPr>
          <w:color w:val="00B050"/>
        </w:rPr>
        <w:t>19</w:t>
      </w:r>
      <w:r>
        <w:t>).</w:t>
      </w:r>
    </w:p>
    <w:p w14:paraId="0A277D5D" w14:textId="1748BACE" w:rsidR="006B3848" w:rsidRPr="002E65D8" w:rsidRDefault="51399839" w:rsidP="006B3848">
      <w:pPr>
        <w:pStyle w:val="PBParagraph"/>
      </w:pPr>
      <w:r>
        <w:t>Les OAA devraient être dûment agréés, autorisés et supervisés par les autorités compétentes. Celles-ci devraient vérifier notamment que leurs organismes recrutent des personnes compétentes et ayant un sens de l</w:t>
      </w:r>
      <w:r w:rsidR="00715ACD">
        <w:t>’</w:t>
      </w:r>
      <w:r>
        <w:t>éthique (y compris les personnes employées ou travaillant avec ou dans l</w:t>
      </w:r>
      <w:r w:rsidR="00715ACD">
        <w:t>’</w:t>
      </w:r>
      <w:r>
        <w:t>État d</w:t>
      </w:r>
      <w:r w:rsidR="00715ACD">
        <w:t>’</w:t>
      </w:r>
      <w:r>
        <w:t>origine), expliquent les limites des pouvoirs de l</w:t>
      </w:r>
      <w:r w:rsidR="00715ACD">
        <w:t>’</w:t>
      </w:r>
      <w:r>
        <w:t>employé dans un contrat, énoncent par écrit ce qui constitue une violation, assurent une formation continue et exercent une surveillance constante sur les actes des employés</w:t>
      </w:r>
      <w:r w:rsidR="006B3848" w:rsidRPr="002E65D8">
        <w:rPr>
          <w:rStyle w:val="FootnoteReference"/>
        </w:rPr>
        <w:footnoteReference w:id="133"/>
      </w:r>
      <w:r>
        <w:t>.</w:t>
      </w:r>
    </w:p>
    <w:p w14:paraId="28010572" w14:textId="0360618B" w:rsidR="006B3848" w:rsidRPr="002E65D8" w:rsidRDefault="006B3848" w:rsidP="006B3848">
      <w:pPr>
        <w:pStyle w:val="PBParagraph"/>
      </w:pPr>
      <w:r>
        <w:t>Les États devraient également être encouragés à procéder à des examens et / ou des audits des aspects financiers de l</w:t>
      </w:r>
      <w:r w:rsidR="00715ACD">
        <w:t>’</w:t>
      </w:r>
      <w:r>
        <w:t>adoption internationale.</w:t>
      </w:r>
    </w:p>
    <w:p w14:paraId="73E1CCDB" w14:textId="5C332AC1" w:rsidR="00866EF6" w:rsidRPr="00866EF6" w:rsidRDefault="006B3848" w:rsidP="0014431D">
      <w:pPr>
        <w:pStyle w:val="PBParagraph"/>
        <w:spacing w:after="160"/>
      </w:pPr>
      <w:r>
        <w:t>Lorsque les FPA ont des doutes ou des inquiétudes quant aux aspects financiers de l</w:t>
      </w:r>
      <w:r w:rsidR="00715ACD">
        <w:t>’</w:t>
      </w:r>
      <w:r>
        <w:t>adoption, ils devraient être encouragés à en faire part aux autorités concernées dans l</w:t>
      </w:r>
      <w:r w:rsidR="00715ACD">
        <w:t>’</w:t>
      </w:r>
      <w:r>
        <w:t>État d</w:t>
      </w:r>
      <w:r w:rsidR="00715ACD">
        <w:t>’</w:t>
      </w:r>
      <w:r>
        <w:t>accueil et / ou l</w:t>
      </w:r>
      <w:r w:rsidR="00715ACD">
        <w:t>’</w:t>
      </w:r>
      <w:r>
        <w:t>État d</w:t>
      </w:r>
      <w:r w:rsidR="00715ACD">
        <w:t>’</w:t>
      </w:r>
      <w:r>
        <w:t xml:space="preserve">origine. Les États devraient offrir aux FPA une </w:t>
      </w:r>
      <w:r w:rsidR="00CF0503">
        <w:t>solution</w:t>
      </w:r>
      <w:r>
        <w:t xml:space="preserve"> anonyme pour encourager les signalements. </w:t>
      </w:r>
    </w:p>
    <w:p w14:paraId="13D6954A" w14:textId="073990C6" w:rsidR="00561835" w:rsidRPr="002E65D8" w:rsidRDefault="002E7A3B" w:rsidP="00561835">
      <w:pPr>
        <w:pStyle w:val="Blueboxtitle"/>
        <w:spacing w:after="0" w:line="240" w:lineRule="auto"/>
        <w:outlineLvl w:val="2"/>
      </w:pPr>
      <w:bookmarkStart w:id="100" w:name="_Toc236061672"/>
      <w:r>
        <w:t>Boîte</w:t>
      </w:r>
      <w:r w:rsidR="47F6A118">
        <w:t> 3 : Responsabilité et contrôle</w:t>
      </w:r>
      <w:r w:rsidR="00F5157A" w:rsidRPr="002E65D8">
        <w:rPr>
          <w:rStyle w:val="FootnoteReference"/>
        </w:rPr>
        <w:footnoteReference w:id="134"/>
      </w:r>
      <w:bookmarkEnd w:id="100"/>
    </w:p>
    <w:p w14:paraId="462E5A2B" w14:textId="39948B99" w:rsidR="007832C0" w:rsidRPr="002E65D8" w:rsidRDefault="007832C0" w:rsidP="00A83FE3">
      <w:pPr>
        <w:pStyle w:val="Blueboxtitle"/>
        <w:rPr>
          <w:b w:val="0"/>
        </w:rPr>
      </w:pPr>
      <w:r>
        <w:rPr>
          <w:b w:val="0"/>
        </w:rPr>
        <w:t xml:space="preserve">Quelques exemples de mesures mises en œuvre par les États </w:t>
      </w:r>
    </w:p>
    <w:p w14:paraId="73B4227F" w14:textId="022746D8" w:rsidR="00A332DF" w:rsidRPr="002E65D8" w:rsidRDefault="42105DBD">
      <w:pPr>
        <w:pStyle w:val="Bluebox"/>
      </w:pPr>
      <w:r>
        <w:t>En Australie, dans chaque ressort juridique, ce sont des agences gouvernementales qui s</w:t>
      </w:r>
      <w:r w:rsidR="00715ACD">
        <w:t>’</w:t>
      </w:r>
      <w:r>
        <w:t xml:space="preserve">occupent des adoptions. Elles assurent directement la liaison avec les autorités </w:t>
      </w:r>
      <w:r w:rsidR="00C63608">
        <w:t>compétentes</w:t>
      </w:r>
      <w:r>
        <w:t xml:space="preserve"> et / ou les Autorités centrales de l</w:t>
      </w:r>
      <w:r w:rsidR="00715ACD">
        <w:t>’</w:t>
      </w:r>
      <w:r>
        <w:t>État d</w:t>
      </w:r>
      <w:r w:rsidR="00715ACD">
        <w:t>’</w:t>
      </w:r>
      <w:r>
        <w:t xml:space="preserve">origine, ce qui diminue le risque de pressions financières en lien avec </w:t>
      </w:r>
      <w:r w:rsidR="00AB090E">
        <w:t>une</w:t>
      </w:r>
      <w:r>
        <w:t xml:space="preserve"> procédure d</w:t>
      </w:r>
      <w:r w:rsidR="00715ACD">
        <w:t>’</w:t>
      </w:r>
      <w:r>
        <w:t>adoption</w:t>
      </w:r>
      <w:r w:rsidR="005172E6">
        <w:rPr>
          <w:rStyle w:val="FootnoteReference"/>
        </w:rPr>
        <w:footnoteReference w:id="135"/>
      </w:r>
      <w:r>
        <w:t>. En outre, l</w:t>
      </w:r>
      <w:r w:rsidR="00715ACD">
        <w:t>’</w:t>
      </w:r>
      <w:r>
        <w:t>Autorité centrale procède régulièrement à un examen des adoptions internationales et de ses relations avec les États d</w:t>
      </w:r>
      <w:r w:rsidR="00715ACD">
        <w:t>’</w:t>
      </w:r>
      <w:r>
        <w:t xml:space="preserve">origine, examen qui porte sur différents aspects, </w:t>
      </w:r>
      <w:r w:rsidR="008A3C9B">
        <w:t>dont</w:t>
      </w:r>
      <w:r>
        <w:t xml:space="preserve"> les principes figurant dans la Convention Adoption de 1993 en ce qui concerne les aspects financiers de l</w:t>
      </w:r>
      <w:r w:rsidR="00715ACD">
        <w:t>’</w:t>
      </w:r>
      <w:r>
        <w:t>adoption internationale</w:t>
      </w:r>
      <w:r w:rsidR="00B309E1" w:rsidRPr="002E65D8">
        <w:rPr>
          <w:rStyle w:val="FootnoteReference"/>
        </w:rPr>
        <w:footnoteReference w:id="136"/>
      </w:r>
      <w:r>
        <w:t>.</w:t>
      </w:r>
    </w:p>
    <w:p w14:paraId="5362D1F0" w14:textId="208E6AE2" w:rsidR="00AD3570" w:rsidRPr="002E65D8" w:rsidRDefault="00AD3570" w:rsidP="00017C48">
      <w:pPr>
        <w:pStyle w:val="Bluebox"/>
        <w:numPr>
          <w:ilvl w:val="0"/>
          <w:numId w:val="1"/>
        </w:numPr>
      </w:pPr>
      <w:r>
        <w:t>En Belgique (communauté francophone), avant d</w:t>
      </w:r>
      <w:r w:rsidR="00715ACD">
        <w:t>’</w:t>
      </w:r>
      <w:r>
        <w:t>approuver les collaborations internationales, l</w:t>
      </w:r>
      <w:r w:rsidR="00715ACD">
        <w:t>’</w:t>
      </w:r>
      <w:r>
        <w:t>Autorité centrale s</w:t>
      </w:r>
      <w:r w:rsidR="00715ACD">
        <w:t>’</w:t>
      </w:r>
      <w:r>
        <w:t>assure que les frais sont raisonnables et ne génèrent pas de profits indus</w:t>
      </w:r>
      <w:r w:rsidRPr="002E65D8">
        <w:rPr>
          <w:rStyle w:val="FootnoteReference"/>
        </w:rPr>
        <w:footnoteReference w:id="137"/>
      </w:r>
      <w:r>
        <w:t>. Toujours en Belgique (commun</w:t>
      </w:r>
      <w:r w:rsidR="00BA74BA">
        <w:t>auté flamande)</w:t>
      </w:r>
      <w:r>
        <w:t>,</w:t>
      </w:r>
      <w:r w:rsidR="00457418">
        <w:t xml:space="preserve"> </w:t>
      </w:r>
      <w:r>
        <w:t>les adoptions internationales ne peuvent être réalisées qu</w:t>
      </w:r>
      <w:r w:rsidR="00715ACD">
        <w:t>’</w:t>
      </w:r>
      <w:r>
        <w:t>entre Autorités centrales directement</w:t>
      </w:r>
      <w:bookmarkStart w:id="101" w:name="_Ref231290791"/>
      <w:r w:rsidR="00CC7904" w:rsidRPr="002E65D8">
        <w:rPr>
          <w:rStyle w:val="FootnoteReference"/>
        </w:rPr>
        <w:footnoteReference w:id="138"/>
      </w:r>
      <w:bookmarkEnd w:id="101"/>
      <w:r>
        <w:t>. De plus, l</w:t>
      </w:r>
      <w:r w:rsidR="00715ACD">
        <w:t>’</w:t>
      </w:r>
      <w:r>
        <w:t>Autorité centrale flamande tient compte des aspects financiers lorsqu</w:t>
      </w:r>
      <w:r w:rsidR="00715ACD">
        <w:t>’</w:t>
      </w:r>
      <w:r>
        <w:t>elle s</w:t>
      </w:r>
      <w:r w:rsidR="00715ACD">
        <w:t>’</w:t>
      </w:r>
      <w:r>
        <w:t>intéresse à la coopération avec les États d</w:t>
      </w:r>
      <w:r w:rsidR="00715ACD">
        <w:t>’</w:t>
      </w:r>
      <w:r>
        <w:t>origine</w:t>
      </w:r>
      <w:r w:rsidR="00203177" w:rsidRPr="002E65D8">
        <w:rPr>
          <w:rStyle w:val="FootnoteReference"/>
        </w:rPr>
        <w:footnoteReference w:id="139"/>
      </w:r>
      <w:r>
        <w:t>.</w:t>
      </w:r>
    </w:p>
    <w:p w14:paraId="02DF4E76" w14:textId="44B274DF" w:rsidR="006B3848" w:rsidRPr="002E65D8" w:rsidRDefault="00F609B1" w:rsidP="00017C48">
      <w:pPr>
        <w:pStyle w:val="Bluebox"/>
      </w:pPr>
      <w:r>
        <w:t>Au Canada (Québec), a été adoptée une réglementation concernant le contrôle et la supervision des OAA, portant notamment sur les pouvoirs d</w:t>
      </w:r>
      <w:r w:rsidR="00715ACD">
        <w:t>’</w:t>
      </w:r>
      <w:r>
        <w:t xml:space="preserve">inspection permettant de vérifier le respect des lois et règlements </w:t>
      </w:r>
      <w:r w:rsidR="00BB556F">
        <w:t xml:space="preserve">qui régissent </w:t>
      </w:r>
      <w:r>
        <w:t>l</w:t>
      </w:r>
      <w:r w:rsidR="00715ACD">
        <w:t>’</w:t>
      </w:r>
      <w:r>
        <w:t>adoption</w:t>
      </w:r>
      <w:r w:rsidR="00801FC8" w:rsidRPr="002E65D8">
        <w:rPr>
          <w:rStyle w:val="FootnoteReference"/>
        </w:rPr>
        <w:footnoteReference w:id="140"/>
      </w:r>
      <w:r>
        <w:t>.</w:t>
      </w:r>
    </w:p>
    <w:p w14:paraId="5AAF3BCC" w14:textId="4201D6E1" w:rsidR="00CC7904" w:rsidRPr="002E65D8" w:rsidRDefault="00CC7904" w:rsidP="00CC7904">
      <w:pPr>
        <w:pStyle w:val="Bluebox"/>
      </w:pPr>
      <w:r>
        <w:t>En France, seul un nombre très limité d</w:t>
      </w:r>
      <w:r w:rsidR="00715ACD">
        <w:t>’</w:t>
      </w:r>
      <w:r>
        <w:t>OAA peuvent servir d</w:t>
      </w:r>
      <w:r w:rsidR="00715ACD">
        <w:t>’</w:t>
      </w:r>
      <w:r>
        <w:t>intermédiaires dans le cadre de l</w:t>
      </w:r>
      <w:r w:rsidR="00715ACD">
        <w:t>’</w:t>
      </w:r>
      <w:r>
        <w:t>adoption internationale</w:t>
      </w:r>
      <w:r w:rsidRPr="002E65D8">
        <w:rPr>
          <w:rStyle w:val="FootnoteReference"/>
        </w:rPr>
        <w:footnoteReference w:id="141"/>
      </w:r>
      <w:r>
        <w:t xml:space="preserve">. Du fait du nombre restreint de personnes intervenant dans </w:t>
      </w:r>
      <w:r w:rsidR="00F527A8">
        <w:t xml:space="preserve">une </w:t>
      </w:r>
      <w:r>
        <w:t>adoption internationale, il est plus facile de suivre la procédure, y compris ses aspects financiers, et donc potentiellement d</w:t>
      </w:r>
      <w:r w:rsidR="00715ACD">
        <w:t>’</w:t>
      </w:r>
      <w:r>
        <w:t>atténuer les risques de pratiques illicites.</w:t>
      </w:r>
    </w:p>
    <w:p w14:paraId="655F91E6" w14:textId="2AB3FE9D" w:rsidR="00371E8A" w:rsidRPr="002E65D8" w:rsidRDefault="00371E8A" w:rsidP="008F3518">
      <w:pPr>
        <w:pStyle w:val="Bluebox"/>
      </w:pPr>
      <w:r>
        <w:t>En Italie, le nombre d</w:t>
      </w:r>
      <w:r w:rsidR="00715ACD">
        <w:t>’</w:t>
      </w:r>
      <w:r>
        <w:t>OAA a été réduit depuis qu</w:t>
      </w:r>
      <w:r w:rsidR="00715ACD">
        <w:t>’</w:t>
      </w:r>
      <w:r>
        <w:t>ils ont fusionné pour répondre aux besoins des États d</w:t>
      </w:r>
      <w:r w:rsidR="00715ACD">
        <w:t>’</w:t>
      </w:r>
      <w:r>
        <w:t>origine, lesquels ont imposé des limites au nombre d</w:t>
      </w:r>
      <w:r w:rsidR="00715ACD">
        <w:t>’</w:t>
      </w:r>
      <w:r>
        <w:t>OAA dans les États d</w:t>
      </w:r>
      <w:r w:rsidR="00715ACD">
        <w:t>’</w:t>
      </w:r>
      <w:r>
        <w:t>accueil. Tous les OAA doivent être inscrits au « Registre des OAA » de l</w:t>
      </w:r>
      <w:r w:rsidR="00715ACD">
        <w:t>’</w:t>
      </w:r>
      <w:r>
        <w:t>Autorité centrale italienne, qui les supervise</w:t>
      </w:r>
      <w:r w:rsidR="009F4E1C" w:rsidRPr="002E65D8">
        <w:rPr>
          <w:rStyle w:val="FootnoteReference"/>
        </w:rPr>
        <w:footnoteReference w:id="142"/>
      </w:r>
      <w:r>
        <w:t>.</w:t>
      </w:r>
    </w:p>
    <w:p w14:paraId="3D0870DD" w14:textId="3E28F5DE" w:rsidR="00A332DF" w:rsidRPr="002E65D8" w:rsidRDefault="00612966" w:rsidP="008F3518">
      <w:pPr>
        <w:pStyle w:val="Bluebox"/>
      </w:pPr>
      <w:r>
        <w:t>Aux Philippines, les OAA étrangers doivent bénéficier d</w:t>
      </w:r>
      <w:r w:rsidR="00715ACD">
        <w:t>’</w:t>
      </w:r>
      <w:r>
        <w:t>une autorisation avant de pouvoir travailler avec l</w:t>
      </w:r>
      <w:r w:rsidR="00715ACD">
        <w:t>’</w:t>
      </w:r>
      <w:r>
        <w:t>Autorité centrale. Pour ce faire, ils doivent fournir des documents tels que des rapports d</w:t>
      </w:r>
      <w:r w:rsidR="00715ACD">
        <w:t>’</w:t>
      </w:r>
      <w:r>
        <w:t>audits financiers, leurs sources de financements, leurs frais et leurs charges ainsi qu</w:t>
      </w:r>
      <w:r w:rsidR="00715ACD">
        <w:t>’</w:t>
      </w:r>
      <w:r>
        <w:t>une description détaillée de leur programme et des services qu</w:t>
      </w:r>
      <w:r w:rsidR="00715ACD">
        <w:t>’</w:t>
      </w:r>
      <w:r>
        <w:t xml:space="preserve">ils proposent. Des visites sont également effectuées au sein des OAA étrangers pour valider les documents transmis et évoquer </w:t>
      </w:r>
      <w:r w:rsidR="00866EF6">
        <w:t>toute question ou préoccupation</w:t>
      </w:r>
      <w:r w:rsidR="00A332DF" w:rsidRPr="002E65D8">
        <w:rPr>
          <w:rStyle w:val="FootnoteReference"/>
        </w:rPr>
        <w:footnoteReference w:id="143"/>
      </w:r>
      <w:r w:rsidR="00866EF6">
        <w:t>.</w:t>
      </w:r>
    </w:p>
    <w:p w14:paraId="496FF849" w14:textId="69D73BF4" w:rsidR="00612966" w:rsidRPr="002E65D8" w:rsidRDefault="51399839" w:rsidP="008A1470">
      <w:pPr>
        <w:pStyle w:val="Bluebox"/>
      </w:pPr>
      <w:r>
        <w:lastRenderedPageBreak/>
        <w:t>Au Viet Nam, la loi sur l</w:t>
      </w:r>
      <w:r w:rsidR="00715ACD">
        <w:t>’</w:t>
      </w:r>
      <w:r>
        <w:t xml:space="preserve">adoption prévoit le contrôle des autorités </w:t>
      </w:r>
      <w:r w:rsidR="00094FA9">
        <w:t>responsable</w:t>
      </w:r>
      <w:r w:rsidR="003E07BC">
        <w:t>s</w:t>
      </w:r>
      <w:r>
        <w:t xml:space="preserve"> de la procédure d</w:t>
      </w:r>
      <w:r w:rsidR="00715ACD">
        <w:t>’</w:t>
      </w:r>
      <w:r>
        <w:t>adoption, grâce à un système de suivi et d</w:t>
      </w:r>
      <w:r w:rsidR="00715ACD">
        <w:t>’</w:t>
      </w:r>
      <w:r>
        <w:t>inspection</w:t>
      </w:r>
      <w:r w:rsidR="006B3848" w:rsidRPr="002E65D8">
        <w:rPr>
          <w:rStyle w:val="FootnoteReference"/>
        </w:rPr>
        <w:footnoteReference w:id="144"/>
      </w:r>
      <w:r>
        <w:t>.</w:t>
      </w:r>
    </w:p>
    <w:p w14:paraId="705273BC" w14:textId="77777777" w:rsidR="006B3848" w:rsidRPr="002E65D8" w:rsidRDefault="006B3848" w:rsidP="004047D5">
      <w:pPr>
        <w:pStyle w:val="Heading2"/>
      </w:pPr>
      <w:bookmarkStart w:id="102" w:name="_Toc236061673"/>
      <w:r>
        <w:t>Mise en œuvre : sanctions renforcées</w:t>
      </w:r>
      <w:bookmarkEnd w:id="102"/>
    </w:p>
    <w:p w14:paraId="262EDC33" w14:textId="674E45AC" w:rsidR="006B3848" w:rsidRPr="002E65D8" w:rsidRDefault="006B3848" w:rsidP="004047D5">
      <w:pPr>
        <w:pStyle w:val="Heading3"/>
      </w:pPr>
      <w:bookmarkStart w:id="103" w:name="_Toc236061674"/>
      <w:r>
        <w:t>Problème : légèreté des sanctions et inefficacité des moyens de dissuasion</w:t>
      </w:r>
      <w:bookmarkEnd w:id="103"/>
    </w:p>
    <w:p w14:paraId="2C7C07CA" w14:textId="6249CA7D" w:rsidR="00EA6210" w:rsidRPr="002E65D8" w:rsidRDefault="006B3848" w:rsidP="0007371B">
      <w:pPr>
        <w:pStyle w:val="PBParagraph"/>
      </w:pPr>
      <w:r>
        <w:t>La Convention ne prévoit pas de mécanisme de contrôle du respect de ses dispositions et laisse aux États le soin de déterminer les sanctions applicables aux acteurs en cas de violation. Les mesures de droit interne prises par les différents États pour faire respecter la Convention par des mécanismes de sanctions sont très variables</w:t>
      </w:r>
      <w:r w:rsidRPr="002E65D8">
        <w:rPr>
          <w:rStyle w:val="FootnoteReference"/>
        </w:rPr>
        <w:footnoteReference w:id="145"/>
      </w:r>
      <w:r>
        <w:t xml:space="preserve">. </w:t>
      </w:r>
    </w:p>
    <w:p w14:paraId="6EC24F64" w14:textId="29D7D401" w:rsidR="006B3848" w:rsidRPr="002E65D8" w:rsidRDefault="00EA6210" w:rsidP="006B3848">
      <w:pPr>
        <w:pStyle w:val="PBParagraph"/>
      </w:pPr>
      <w:r>
        <w:t xml:space="preserve">On peut notamment observer </w:t>
      </w:r>
      <w:r w:rsidR="00170C1F">
        <w:t>l</w:t>
      </w:r>
      <w:r w:rsidR="00715ACD">
        <w:t>’</w:t>
      </w:r>
      <w:r>
        <w:t xml:space="preserve">« [a]bsence de dispositions de droit pénal visant à sanctionner les activités liées aux gains matériels indus et / ou de ressources permettant de les mettre dûment en œuvre, ou </w:t>
      </w:r>
      <w:r w:rsidR="00170C1F">
        <w:t xml:space="preserve">[des] </w:t>
      </w:r>
      <w:r>
        <w:t>carences en la matière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14</w:t>
      </w:r>
      <w:r>
        <w:t>) ou des lois ayant un champ d</w:t>
      </w:r>
      <w:r w:rsidR="00715ACD">
        <w:t>’</w:t>
      </w:r>
      <w:r>
        <w:t>application trop limité. À titre d</w:t>
      </w:r>
      <w:r w:rsidR="00715ACD">
        <w:t>’</w:t>
      </w:r>
      <w:r>
        <w:t>exemple, dans le droit pénal d</w:t>
      </w:r>
      <w:r w:rsidR="00715ACD">
        <w:t>’</w:t>
      </w:r>
      <w:r>
        <w:t>un des États, la définition de la traite se limite au déplacement des enfants « à des fins de travail forcé »</w:t>
      </w:r>
      <w:r w:rsidR="007E7903" w:rsidRPr="002E65D8">
        <w:rPr>
          <w:rStyle w:val="FootnoteReference"/>
        </w:rPr>
        <w:footnoteReference w:id="146"/>
      </w:r>
      <w:r>
        <w:t xml:space="preserve">, ce qui signifie que les cas de </w:t>
      </w:r>
      <w:r>
        <w:rPr>
          <w:i/>
          <w:iCs/>
        </w:rPr>
        <w:t>child laundering</w:t>
      </w:r>
      <w:r w:rsidR="006B3848" w:rsidRPr="002E65D8">
        <w:rPr>
          <w:rStyle w:val="FootnoteReference"/>
        </w:rPr>
        <w:footnoteReference w:id="147"/>
      </w:r>
      <w:r>
        <w:t xml:space="preserve"> en vue de l</w:t>
      </w:r>
      <w:r w:rsidR="00715ACD">
        <w:t>’</w:t>
      </w:r>
      <w:r>
        <w:t>adoption peuvent y échapper. Le champ d</w:t>
      </w:r>
      <w:r w:rsidR="00715ACD">
        <w:t>’</w:t>
      </w:r>
      <w:r>
        <w:t>application des lois peut également être trop étroit parce qu</w:t>
      </w:r>
      <w:r w:rsidR="00715ACD">
        <w:t>’</w:t>
      </w:r>
      <w:r>
        <w:t xml:space="preserve">elles ne sanctionnent pas tous les types de violations ou tous les acteurs concernés. </w:t>
      </w:r>
    </w:p>
    <w:p w14:paraId="2F6C9861" w14:textId="39878F1B" w:rsidR="006B3848" w:rsidRPr="002E65D8" w:rsidRDefault="006B3848" w:rsidP="006B3848">
      <w:pPr>
        <w:pStyle w:val="PBParagraph"/>
      </w:pPr>
      <w:r>
        <w:t>Les sanctions sont souvent trop légères pour avoir un réel effet dissuasif</w:t>
      </w:r>
      <w:bookmarkStart w:id="104" w:name="_Ref210828471"/>
      <w:r w:rsidRPr="002E65D8">
        <w:rPr>
          <w:rStyle w:val="FootnoteReference"/>
        </w:rPr>
        <w:footnoteReference w:id="148"/>
      </w:r>
      <w:bookmarkEnd w:id="104"/>
      <w:r w:rsidR="00866EF6">
        <w:t>.</w:t>
      </w:r>
      <w:r>
        <w:t xml:space="preserve"> B. Mezmur pointe le manque de sanctions « suffisamment lourdes pour dissuader les personnes qui ciblent les enfants à des fins d</w:t>
      </w:r>
      <w:r w:rsidR="00715ACD">
        <w:t>’</w:t>
      </w:r>
      <w:r>
        <w:t>enlèvement, de traite et de vente, ou une exploitation sous d</w:t>
      </w:r>
      <w:r w:rsidR="00715ACD">
        <w:t>’</w:t>
      </w:r>
      <w:r>
        <w:t>autres formes »</w:t>
      </w:r>
      <w:bookmarkStart w:id="105" w:name="_Ref209019668"/>
      <w:r w:rsidRPr="002E65D8">
        <w:rPr>
          <w:rStyle w:val="FootnoteReference"/>
        </w:rPr>
        <w:footnoteReference w:id="149"/>
      </w:r>
      <w:bookmarkEnd w:id="105"/>
      <w:r w:rsidR="00866EF6">
        <w:t>.</w:t>
      </w:r>
      <w:r>
        <w:t xml:space="preserve"> La prévention des abus en est fragilisée, voire compromise, les auteurs des délits pouvant poursuivre leurs pratiques contraires à l</w:t>
      </w:r>
      <w:r w:rsidR="00715ACD">
        <w:t>’</w:t>
      </w:r>
      <w:r>
        <w:t>éthique ou illicites sans crainte des conséquences</w:t>
      </w:r>
      <w:r w:rsidRPr="002E65D8">
        <w:rPr>
          <w:rStyle w:val="FootnoteReference"/>
        </w:rPr>
        <w:footnoteReference w:id="150"/>
      </w:r>
      <w:r>
        <w:t xml:space="preserve">. </w:t>
      </w:r>
    </w:p>
    <w:p w14:paraId="741E8E30" w14:textId="58996F26" w:rsidR="006B3848" w:rsidRPr="002E65D8" w:rsidRDefault="006B3848" w:rsidP="006B3848">
      <w:pPr>
        <w:pStyle w:val="PBParagraph"/>
      </w:pPr>
      <w:r>
        <w:t>De même, les lois peuvent avoir une portée limitée parce qu</w:t>
      </w:r>
      <w:r w:rsidR="00715ACD">
        <w:t>’</w:t>
      </w:r>
      <w:r>
        <w:t>il est parfois difficile de prouver une violation. D</w:t>
      </w:r>
      <w:r w:rsidR="00715ACD">
        <w:t>’</w:t>
      </w:r>
      <w:r>
        <w:t>autre part, les États n</w:t>
      </w:r>
      <w:r w:rsidR="00715ACD">
        <w:t>’</w:t>
      </w:r>
      <w:r>
        <w:t>ont pas toujours les ressources nécessaires pour enquêter sur les abus signalés et poursuivre leurs auteurs, ce qui peut être compliqué et coûteux, car les abus impliquent souvent plus d</w:t>
      </w:r>
      <w:r w:rsidR="00715ACD">
        <w:t>’</w:t>
      </w:r>
      <w:r>
        <w:t>un État. Sans coopération renforcée entre les États, les enquêtes peuvent être difficiles. À titre d</w:t>
      </w:r>
      <w:r w:rsidR="00715ACD">
        <w:t>’</w:t>
      </w:r>
      <w:r>
        <w:t xml:space="preserve">exemple, un État qui enquête sur des suspicions de </w:t>
      </w:r>
      <w:r>
        <w:rPr>
          <w:i/>
          <w:iCs/>
        </w:rPr>
        <w:t>child laundering</w:t>
      </w:r>
      <w:r>
        <w:t xml:space="preserve"> peut être incapable de poursuivre l</w:t>
      </w:r>
      <w:r w:rsidR="00715ACD">
        <w:t>’</w:t>
      </w:r>
      <w:r>
        <w:t>enquête si les autorités de l</w:t>
      </w:r>
      <w:r w:rsidR="00715ACD">
        <w:t>’</w:t>
      </w:r>
      <w:r>
        <w:t>autre État refusent de produire les registres ou refusent l</w:t>
      </w:r>
      <w:r w:rsidR="00715ACD">
        <w:t>’</w:t>
      </w:r>
      <w:r>
        <w:t>accès aux témoins clés</w:t>
      </w:r>
      <w:r w:rsidRPr="002E65D8">
        <w:rPr>
          <w:rStyle w:val="FootnoteReference"/>
        </w:rPr>
        <w:footnoteReference w:id="151"/>
      </w:r>
      <w:r>
        <w:t>.</w:t>
      </w:r>
    </w:p>
    <w:p w14:paraId="5341B62E" w14:textId="40092D81" w:rsidR="006B3848" w:rsidRPr="002E65D8" w:rsidRDefault="006B3848" w:rsidP="006B3848">
      <w:pPr>
        <w:pStyle w:val="PBParagraph"/>
      </w:pPr>
      <w:r>
        <w:t>Les condamnations dans le contexte de l</w:t>
      </w:r>
      <w:r w:rsidR="00715ACD">
        <w:t>’</w:t>
      </w:r>
      <w:r>
        <w:t>adoption internationale</w:t>
      </w:r>
      <w:r w:rsidRPr="002E65D8">
        <w:rPr>
          <w:rStyle w:val="FootnoteReference"/>
        </w:rPr>
        <w:footnoteReference w:id="152"/>
      </w:r>
      <w:r>
        <w:t xml:space="preserve">, quoique </w:t>
      </w:r>
      <w:r w:rsidR="00D25B9C">
        <w:t>notables</w:t>
      </w:r>
      <w:r>
        <w:t>, restent rares en comparaison des nombreuses allégations d</w:t>
      </w:r>
      <w:r w:rsidR="00715ACD">
        <w:t>’</w:t>
      </w:r>
      <w:r>
        <w:t xml:space="preserve">abus. Les États ne prennent pas </w:t>
      </w:r>
      <w:r>
        <w:lastRenderedPageBreak/>
        <w:t>suffisamment de mesures pour garantir que les gains matériels indus, résultant de l</w:t>
      </w:r>
      <w:r w:rsidR="00715ACD">
        <w:t>’</w:t>
      </w:r>
      <w:r>
        <w:t>adoption internationale, sont systématiquement poursuivis et sanctionnés efficacement.</w:t>
      </w:r>
    </w:p>
    <w:p w14:paraId="1AF6EE89" w14:textId="72D3417B" w:rsidR="006B3848" w:rsidRPr="002E65D8" w:rsidRDefault="006B3848" w:rsidP="004047D5">
      <w:pPr>
        <w:pStyle w:val="Heading3"/>
      </w:pPr>
      <w:bookmarkStart w:id="106" w:name="_Toc236061675"/>
      <w:r>
        <w:t>Exemples de pratiques visant à renforcer les sanctions et leur effet dissuasif</w:t>
      </w:r>
      <w:bookmarkEnd w:id="106"/>
    </w:p>
    <w:p w14:paraId="0E29BFDC" w14:textId="6A9EC631" w:rsidR="006B3848" w:rsidRPr="002E65D8" w:rsidRDefault="006B3848" w:rsidP="004047D5">
      <w:pPr>
        <w:pStyle w:val="Heading4"/>
      </w:pPr>
      <w:r>
        <w:t xml:space="preserve">Sanctions et mesures </w:t>
      </w:r>
      <w:r w:rsidR="00A239D4">
        <w:t>dissuasives</w:t>
      </w:r>
      <w:r>
        <w:t xml:space="preserve"> efficaces</w:t>
      </w:r>
    </w:p>
    <w:p w14:paraId="72B21656" w14:textId="76DF5E03" w:rsidR="006B3848" w:rsidRPr="002E65D8" w:rsidRDefault="006B3848" w:rsidP="006B3848">
      <w:pPr>
        <w:pStyle w:val="PBParagraph"/>
      </w:pPr>
      <w:r>
        <w:t>Les condamnations prononcées révèlent que les sanctions constituent un moyen possible et efficace de lutter contre certaines pratiques illicites. Afin que des sanctions puissent être appliquées, la législation ou la réglementation devrait définir ce qui constitue une violation et les sanctions correspondantes. À titre d</w:t>
      </w:r>
      <w:r w:rsidR="00715ACD">
        <w:t>’</w:t>
      </w:r>
      <w:r>
        <w:t>exemple, en 2012, la Conférence internationale sur l</w:t>
      </w:r>
      <w:r w:rsidR="00715ACD">
        <w:t>’</w:t>
      </w:r>
      <w:r>
        <w:t>enfant africain a formulé la recommandation suivante : « les États devraient s</w:t>
      </w:r>
      <w:r w:rsidR="00715ACD">
        <w:t>’</w:t>
      </w:r>
      <w:r>
        <w:t>assurer qu</w:t>
      </w:r>
      <w:r w:rsidR="00715ACD">
        <w:t>’</w:t>
      </w:r>
      <w:r>
        <w:t>au minimum les actes et activités suivants sont entièrement couverts par le droit pénal, que ces délits soient commis sur le territoire national ou à l</w:t>
      </w:r>
      <w:r w:rsidR="00715ACD">
        <w:t>’</w:t>
      </w:r>
      <w:r>
        <w:t>échelle internationale et individuellement ou de manière organisée : a) la vente d</w:t>
      </w:r>
      <w:r w:rsidR="00715ACD">
        <w:t>’</w:t>
      </w:r>
      <w:r>
        <w:t>enfants, b) l</w:t>
      </w:r>
      <w:r w:rsidR="00715ACD">
        <w:t>’</w:t>
      </w:r>
      <w:r>
        <w:t>obtention indue du consentement à l</w:t>
      </w:r>
      <w:r w:rsidR="00715ACD">
        <w:t>’</w:t>
      </w:r>
      <w:r>
        <w:t>adoption d</w:t>
      </w:r>
      <w:r w:rsidR="00715ACD">
        <w:t>’</w:t>
      </w:r>
      <w:r>
        <w:t xml:space="preserve">un enfant en violation des instruments juridiques internationaux applicables en la matière, c) le </w:t>
      </w:r>
      <w:r>
        <w:rPr>
          <w:i/>
          <w:iCs/>
        </w:rPr>
        <w:t>child laundering</w:t>
      </w:r>
      <w:r>
        <w:t>, d) la falsification de documents et e) les gains matériels indus »</w:t>
      </w:r>
      <w:r w:rsidRPr="002E65D8">
        <w:rPr>
          <w:rStyle w:val="FootnoteReference"/>
        </w:rPr>
        <w:footnoteReference w:id="153"/>
      </w:r>
      <w:r>
        <w:t xml:space="preserve">. </w:t>
      </w:r>
    </w:p>
    <w:p w14:paraId="350FE305" w14:textId="14EDE156" w:rsidR="006B3848" w:rsidRPr="002E65D8" w:rsidRDefault="006B3848" w:rsidP="006B3848">
      <w:pPr>
        <w:pStyle w:val="PBParagraph"/>
      </w:pPr>
      <w:r>
        <w:t xml:space="preserve">Les sanctions peuvent être plus efficaces : </w:t>
      </w:r>
    </w:p>
    <w:p w14:paraId="3D85015F" w14:textId="3CFB4AB8" w:rsidR="006B3848" w:rsidRPr="002E65D8" w:rsidRDefault="006B3848" w:rsidP="006B3848">
      <w:pPr>
        <w:pStyle w:val="PBBulletList"/>
      </w:pPr>
      <w:r>
        <w:t>si elles visent toutes les atteintes relatives à des gains matériels indus (sans se limiter aux plus graves</w:t>
      </w:r>
      <w:r w:rsidR="009D688D">
        <w:t>,</w:t>
      </w:r>
      <w:r>
        <w:t xml:space="preserve"> comme la vente d</w:t>
      </w:r>
      <w:r w:rsidR="00715ACD">
        <w:t>’</w:t>
      </w:r>
      <w:r>
        <w:t xml:space="preserve">enfants) ; </w:t>
      </w:r>
    </w:p>
    <w:p w14:paraId="32926916" w14:textId="7BDCBCB2" w:rsidR="006B3848" w:rsidRPr="002E65D8" w:rsidRDefault="006B3848" w:rsidP="006B3848">
      <w:pPr>
        <w:pStyle w:val="PBBulletList"/>
      </w:pPr>
      <w:r>
        <w:t>si, afin de limiter l</w:t>
      </w:r>
      <w:r w:rsidR="00715ACD">
        <w:t>’</w:t>
      </w:r>
      <w:r>
        <w:t>impunité, elles sanctionnent l</w:t>
      </w:r>
      <w:r w:rsidR="00715ACD">
        <w:t>’</w:t>
      </w:r>
      <w:r>
        <w:t>ensemble des personnes, autorités et organismes impliqués (y compris ceux qui n</w:t>
      </w:r>
      <w:r w:rsidR="00715ACD">
        <w:t>’</w:t>
      </w:r>
      <w:r>
        <w:t>ont pas arrêté ou signalé la violation s</w:t>
      </w:r>
      <w:r w:rsidR="00715ACD">
        <w:t>’</w:t>
      </w:r>
      <w:r>
        <w:t>ils en avaient la responsabilité) ; et</w:t>
      </w:r>
    </w:p>
    <w:p w14:paraId="35D64716" w14:textId="53BD368A" w:rsidR="006B3848" w:rsidRPr="002E65D8" w:rsidRDefault="006B3848" w:rsidP="006B3848">
      <w:pPr>
        <w:pStyle w:val="PBBulletList"/>
      </w:pPr>
      <w:r>
        <w:t>si elles sont proportionne</w:t>
      </w:r>
      <w:r w:rsidR="00A1581C">
        <w:t>lle</w:t>
      </w:r>
      <w:r>
        <w:t>s à l</w:t>
      </w:r>
      <w:r w:rsidR="00715ACD">
        <w:t>’</w:t>
      </w:r>
      <w:r>
        <w:t xml:space="preserve">atteinte tout en étant suffisamment sévères pour avoir un effet dissuasif et donc participer aux efforts de prévention. </w:t>
      </w:r>
    </w:p>
    <w:p w14:paraId="7871E584" w14:textId="6338B072" w:rsidR="006B3848" w:rsidRPr="002E65D8" w:rsidRDefault="006B3848" w:rsidP="006B3848">
      <w:pPr>
        <w:pStyle w:val="PBParagraph"/>
      </w:pPr>
      <w:r>
        <w:t xml:space="preserve">Les États devraient donc « [é]dicter et appliquer de manière efficace des </w:t>
      </w:r>
      <w:r>
        <w:rPr>
          <w:b/>
          <w:bCs/>
        </w:rPr>
        <w:t>lois solides</w:t>
      </w:r>
      <w:r>
        <w:t xml:space="preserve"> visant toutes les atteintes liées aux gains matériels indus, contenant des sanctions exemplaires à des fins dissuasives » (</w:t>
      </w:r>
      <w:r>
        <w:rPr>
          <w:color w:val="00B050"/>
        </w:rPr>
        <w:t xml:space="preserve">FS3, </w:t>
      </w:r>
      <w:r w:rsidR="00250381">
        <w:rPr>
          <w:color w:val="00B050"/>
        </w:rPr>
        <w:t>boîte </w:t>
      </w:r>
      <w:r>
        <w:rPr>
          <w:color w:val="00B050"/>
        </w:rPr>
        <w:t>14</w:t>
      </w:r>
      <w:r>
        <w:t xml:space="preserve">). Ils devraient également « [p]rendre des mesures visant à prévenir la </w:t>
      </w:r>
      <w:r>
        <w:rPr>
          <w:b/>
          <w:bCs/>
        </w:rPr>
        <w:t>corruption</w:t>
      </w:r>
      <w:r>
        <w:t>, à la mettre en évidence et à y remédier » (</w:t>
      </w:r>
      <w:r>
        <w:rPr>
          <w:color w:val="00B050"/>
        </w:rPr>
        <w:t xml:space="preserve">FS3, </w:t>
      </w:r>
      <w:r w:rsidR="00250381">
        <w:rPr>
          <w:color w:val="00B050"/>
        </w:rPr>
        <w:t>boîte </w:t>
      </w:r>
      <w:r>
        <w:rPr>
          <w:color w:val="00B050"/>
        </w:rPr>
        <w:t>15</w:t>
      </w:r>
      <w:r>
        <w:t>). La législation et la réglementation devraient préciser les différents moyens de preuve d</w:t>
      </w:r>
      <w:r w:rsidR="00715ACD">
        <w:t>’</w:t>
      </w:r>
      <w:r>
        <w:t>une violation et le régime de la preuve devrait tenir compte de la difficulté à recueillir des preuves auprès d</w:t>
      </w:r>
      <w:r w:rsidR="00715ACD">
        <w:t>’</w:t>
      </w:r>
      <w:r>
        <w:t>un autre État</w:t>
      </w:r>
      <w:r w:rsidRPr="002E65D8">
        <w:rPr>
          <w:rStyle w:val="FootnoteReference"/>
        </w:rPr>
        <w:footnoteReference w:id="154"/>
      </w:r>
      <w:r>
        <w:t>. Il devrait être possible de prouver que quelqu</w:t>
      </w:r>
      <w:r w:rsidR="00715ACD">
        <w:t>’</w:t>
      </w:r>
      <w:r>
        <w:t>un a commis une violation même lorsqu</w:t>
      </w:r>
      <w:r w:rsidR="00715ACD">
        <w:t>’</w:t>
      </w:r>
      <w:r>
        <w:t>il est impossible de recueillir de nombreux documents à l</w:t>
      </w:r>
      <w:r w:rsidR="00715ACD">
        <w:t>’</w:t>
      </w:r>
      <w:r>
        <w:t>appui parce que l</w:t>
      </w:r>
      <w:r w:rsidR="00715ACD">
        <w:t>’</w:t>
      </w:r>
      <w:r>
        <w:t>État dans lequel la violation s</w:t>
      </w:r>
      <w:r w:rsidR="00715ACD">
        <w:t>’</w:t>
      </w:r>
      <w:r>
        <w:t xml:space="preserve">est produite ne tient pas de registres systématiques. </w:t>
      </w:r>
    </w:p>
    <w:p w14:paraId="447EE094" w14:textId="15A58190" w:rsidR="006B3848" w:rsidRPr="002E65D8" w:rsidRDefault="006B3848" w:rsidP="006B3848">
      <w:pPr>
        <w:pStyle w:val="PBParagraph"/>
      </w:pPr>
      <w:r>
        <w:lastRenderedPageBreak/>
        <w:t xml:space="preserve">Les sanctions prévues par les différentes législations nationales sont très variables : </w:t>
      </w:r>
      <w:r w:rsidR="00342EA4">
        <w:t xml:space="preserve">elles peuvent aller </w:t>
      </w:r>
      <w:r>
        <w:t>de la suspension temporaire de l</w:t>
      </w:r>
      <w:r w:rsidR="00715ACD">
        <w:t>’</w:t>
      </w:r>
      <w:r>
        <w:t>agrément</w:t>
      </w:r>
      <w:r w:rsidRPr="002E65D8">
        <w:rPr>
          <w:rStyle w:val="FootnoteReference"/>
        </w:rPr>
        <w:footnoteReference w:id="155"/>
      </w:r>
      <w:r>
        <w:t xml:space="preserve"> à l</w:t>
      </w:r>
      <w:r w:rsidR="00715ACD">
        <w:t>’</w:t>
      </w:r>
      <w:r>
        <w:t>emprisonnement pour certains cas impliquant la corruption ou la traite d</w:t>
      </w:r>
      <w:r w:rsidR="00715ACD">
        <w:t>’</w:t>
      </w:r>
      <w:r>
        <w:t>enfants. Les principaux types de sanctions sont les suivants :</w:t>
      </w:r>
    </w:p>
    <w:p w14:paraId="527A6FB2" w14:textId="02F9C6A7" w:rsidR="006B3848" w:rsidRPr="002E65D8" w:rsidRDefault="006B3848" w:rsidP="006B3848">
      <w:pPr>
        <w:pStyle w:val="PBBulletList"/>
      </w:pPr>
      <w:r>
        <w:rPr>
          <w:u w:val="single"/>
        </w:rPr>
        <w:t>Amendes et sanctions pécuniaires</w:t>
      </w:r>
      <w:r>
        <w:t xml:space="preserve"> : la législation de nombreux États prévoit des sanctions pécuniaires. </w:t>
      </w:r>
    </w:p>
    <w:p w14:paraId="3E1BE904" w14:textId="1962F432" w:rsidR="006B3848" w:rsidRPr="002E65D8" w:rsidRDefault="006B3848" w:rsidP="006B3848">
      <w:pPr>
        <w:pStyle w:val="PBBulletList"/>
      </w:pPr>
      <w:r>
        <w:rPr>
          <w:u w:val="single"/>
        </w:rPr>
        <w:t>Perte de licence ou d</w:t>
      </w:r>
      <w:r w:rsidR="00715ACD">
        <w:rPr>
          <w:u w:val="single"/>
        </w:rPr>
        <w:t>’</w:t>
      </w:r>
      <w:r>
        <w:rPr>
          <w:u w:val="single"/>
        </w:rPr>
        <w:t>agrément et d</w:t>
      </w:r>
      <w:r w:rsidR="00715ACD">
        <w:rPr>
          <w:u w:val="single"/>
        </w:rPr>
        <w:t>’</w:t>
      </w:r>
      <w:r>
        <w:rPr>
          <w:u w:val="single"/>
        </w:rPr>
        <w:t>autorisation</w:t>
      </w:r>
      <w:r>
        <w:t> : un juge ou un ordre professionnel peut annuler la licence d</w:t>
      </w:r>
      <w:r w:rsidR="00715ACD">
        <w:t>’</w:t>
      </w:r>
      <w:r>
        <w:t>un professionnel et le radier d</w:t>
      </w:r>
      <w:r w:rsidR="00715ACD">
        <w:t>’</w:t>
      </w:r>
      <w:r>
        <w:t>une liste de référence si les gains matériels indus sous-jacents ont également violé les règles applicables à sa profession. Dans le cas des OAA, l</w:t>
      </w:r>
      <w:r w:rsidR="00715ACD">
        <w:t>’</w:t>
      </w:r>
      <w:r>
        <w:t>autorité qui délivre l</w:t>
      </w:r>
      <w:r w:rsidR="00715ACD">
        <w:t>’</w:t>
      </w:r>
      <w:r>
        <w:t>agrément peut refuser de</w:t>
      </w:r>
      <w:r w:rsidR="00835A99">
        <w:t xml:space="preserve"> le</w:t>
      </w:r>
      <w:r>
        <w:t xml:space="preserve"> reconduire, </w:t>
      </w:r>
      <w:r w:rsidR="00835A99">
        <w:t xml:space="preserve">le </w:t>
      </w:r>
      <w:r>
        <w:t xml:space="preserve">suspendre temporairement ou </w:t>
      </w:r>
      <w:r w:rsidR="00835A99">
        <w:t>l</w:t>
      </w:r>
      <w:r w:rsidR="00715ACD">
        <w:t>’</w:t>
      </w:r>
      <w:r>
        <w:t xml:space="preserve">annuler définitivement. Des dispositions particulières doivent être prises pour les adoptions en cours lorsque la mesure est prononcée et </w:t>
      </w:r>
      <w:r w:rsidR="004A456C">
        <w:t xml:space="preserve">il doit y avoir </w:t>
      </w:r>
      <w:r>
        <w:t>une large publicité autour de la cessation d</w:t>
      </w:r>
      <w:r w:rsidR="00715ACD">
        <w:t>’</w:t>
      </w:r>
      <w:r>
        <w:t>activité de l</w:t>
      </w:r>
      <w:r w:rsidR="00715ACD">
        <w:t>’</w:t>
      </w:r>
      <w:r>
        <w:t>OAA</w:t>
      </w:r>
      <w:r w:rsidRPr="002E65D8">
        <w:rPr>
          <w:rStyle w:val="FootnoteReference"/>
        </w:rPr>
        <w:footnoteReference w:id="156"/>
      </w:r>
      <w:r>
        <w:t>.</w:t>
      </w:r>
    </w:p>
    <w:p w14:paraId="7871A02D" w14:textId="25CE6B87" w:rsidR="00C06453" w:rsidRPr="002E65D8" w:rsidDel="0099244B" w:rsidRDefault="006B3848" w:rsidP="002F6D10">
      <w:pPr>
        <w:pStyle w:val="PBBulletList"/>
      </w:pPr>
      <w:r>
        <w:rPr>
          <w:u w:val="single"/>
        </w:rPr>
        <w:t>Peine de prison</w:t>
      </w:r>
      <w:r>
        <w:t> : certains États prévoient également une peine de prison pour les délits les plus graves.</w:t>
      </w:r>
    </w:p>
    <w:p w14:paraId="4C32FAE3" w14:textId="1F2BE531" w:rsidR="004F29E7" w:rsidRPr="002E65D8" w:rsidDel="0099244B" w:rsidRDefault="00FF4289" w:rsidP="00C0513F">
      <w:pPr>
        <w:pStyle w:val="PBParagraph"/>
      </w:pPr>
      <w:r>
        <w:t>Les principales mesures de dissuasion sont les suivantes :</w:t>
      </w:r>
    </w:p>
    <w:p w14:paraId="78F7F322" w14:textId="7C01FFD4" w:rsidR="00ED495A" w:rsidRPr="002E65D8" w:rsidRDefault="005D5E23" w:rsidP="00C5597F">
      <w:pPr>
        <w:pStyle w:val="PBBulletList"/>
      </w:pPr>
      <w:r>
        <w:rPr>
          <w:u w:val="single"/>
        </w:rPr>
        <w:t>Non-délivrance du certificat visé à l</w:t>
      </w:r>
      <w:r w:rsidR="00715ACD">
        <w:rPr>
          <w:u w:val="single"/>
        </w:rPr>
        <w:t>’</w:t>
      </w:r>
      <w:r>
        <w:rPr>
          <w:u w:val="single"/>
        </w:rPr>
        <w:t>article 23</w:t>
      </w:r>
      <w:r>
        <w:t> : Dans des cas où la Convention n</w:t>
      </w:r>
      <w:r w:rsidR="00715ACD">
        <w:t>’</w:t>
      </w:r>
      <w:r>
        <w:t>est pas respectée, « les autorités de l</w:t>
      </w:r>
      <w:r w:rsidR="00715ACD">
        <w:t>’</w:t>
      </w:r>
      <w:r>
        <w:t>État qui rendent la décision d</w:t>
      </w:r>
      <w:r w:rsidR="00715ACD">
        <w:t>’</w:t>
      </w:r>
      <w:r>
        <w:t>adoption ne seront pas en mesure de certifier, en application de l</w:t>
      </w:r>
      <w:r w:rsidR="00715ACD">
        <w:t>’</w:t>
      </w:r>
      <w:r>
        <w:t>article 23, que l</w:t>
      </w:r>
      <w:r w:rsidR="00715ACD">
        <w:t>’</w:t>
      </w:r>
      <w:r>
        <w:t>adoption a bel et bien été réalisée en vertu de la Convention. En conséquence, l</w:t>
      </w:r>
      <w:r w:rsidR="00715ACD">
        <w:t>’</w:t>
      </w:r>
      <w:r>
        <w:t>adoption ne bénéficiera pas d</w:t>
      </w:r>
      <w:r w:rsidR="00715ACD">
        <w:t>’</w:t>
      </w:r>
      <w:r>
        <w:t>une reconnaissance de plein droit dans d</w:t>
      </w:r>
      <w:r w:rsidR="00715ACD">
        <w:t>’</w:t>
      </w:r>
      <w:r>
        <w:t>autres États contractants, comme prévu par la Convention »</w:t>
      </w:r>
      <w:r w:rsidR="00245559" w:rsidRPr="002E65D8">
        <w:rPr>
          <w:rStyle w:val="FootnoteReference"/>
        </w:rPr>
        <w:footnoteReference w:id="157"/>
      </w:r>
      <w:r>
        <w:t xml:space="preserve">. </w:t>
      </w:r>
    </w:p>
    <w:p w14:paraId="15A17E38" w14:textId="292D438E" w:rsidR="00FC43B2" w:rsidRPr="00FC43B2" w:rsidRDefault="00E35665" w:rsidP="000F2513">
      <w:pPr>
        <w:pStyle w:val="PBBulletList"/>
      </w:pPr>
      <w:r w:rsidRPr="00FC43B2">
        <w:rPr>
          <w:u w:val="single"/>
        </w:rPr>
        <w:t>Refus de reconnaître la décision d</w:t>
      </w:r>
      <w:r w:rsidR="00715ACD">
        <w:rPr>
          <w:u w:val="single"/>
        </w:rPr>
        <w:t>’</w:t>
      </w:r>
      <w:r w:rsidRPr="00FC43B2">
        <w:rPr>
          <w:u w:val="single"/>
        </w:rPr>
        <w:t>adoption (art. 24)</w:t>
      </w:r>
      <w:r>
        <w:t> : En cas de violation grave de la procédure d</w:t>
      </w:r>
      <w:r w:rsidR="00715ACD">
        <w:t>’</w:t>
      </w:r>
      <w:r>
        <w:t>adoption, les États peuvent envisager de refuser de reconnaître la décision d</w:t>
      </w:r>
      <w:r w:rsidR="00715ACD">
        <w:t>’</w:t>
      </w:r>
      <w:r>
        <w:t>adoption. L</w:t>
      </w:r>
      <w:r w:rsidR="00715ACD">
        <w:t>’</w:t>
      </w:r>
      <w:r>
        <w:t>article 24 de la Convention dispose que ce peut être le cas si l</w:t>
      </w:r>
      <w:r w:rsidR="00715ACD">
        <w:t>’</w:t>
      </w:r>
      <w:r>
        <w:t>adoption est manifestement contraire à l</w:t>
      </w:r>
      <w:r w:rsidR="00715ACD">
        <w:t>’</w:t>
      </w:r>
      <w:r>
        <w:t>ordre public, compte tenu de l</w:t>
      </w:r>
      <w:r w:rsidR="00715ACD">
        <w:t>’</w:t>
      </w:r>
      <w:r>
        <w:t>intérêt supérieur de l</w:t>
      </w:r>
      <w:r w:rsidR="00715ACD">
        <w:t>’</w:t>
      </w:r>
      <w:r>
        <w:t>enfant</w:t>
      </w:r>
      <w:r w:rsidRPr="002E65D8">
        <w:rPr>
          <w:rStyle w:val="FootnoteReference"/>
        </w:rPr>
        <w:footnoteReference w:id="158"/>
      </w:r>
      <w:r>
        <w:t>. Cette sanction devrait être employée avec précaution, en particulier lorsque l</w:t>
      </w:r>
      <w:r w:rsidR="00715ACD">
        <w:t>’</w:t>
      </w:r>
      <w:r>
        <w:t xml:space="preserve">enfant est avec ses parents adoptifs depuis un certain temps, du fait des conséquences </w:t>
      </w:r>
      <w:r w:rsidR="004A4D3B">
        <w:t>que cela peut avoir sur lui</w:t>
      </w:r>
      <w:r>
        <w:t>, qui est aussi victime de l</w:t>
      </w:r>
      <w:r w:rsidR="00715ACD">
        <w:t>’</w:t>
      </w:r>
      <w:r>
        <w:t>abus</w:t>
      </w:r>
      <w:r w:rsidRPr="002E65D8">
        <w:rPr>
          <w:rStyle w:val="FootnoteReference"/>
        </w:rPr>
        <w:footnoteReference w:id="159"/>
      </w:r>
      <w:r>
        <w:t>. Les États devraient travailler ensemble afin de trouver des solutions pragmatiques dans de tels cas. Certains États peuvent aussi avoir des dispositions législatives permettant aux parties à l</w:t>
      </w:r>
      <w:r w:rsidR="00715ACD">
        <w:t>’</w:t>
      </w:r>
      <w:r>
        <w:t>adoption d</w:t>
      </w:r>
      <w:r w:rsidR="00AD0900">
        <w:t>e l</w:t>
      </w:r>
      <w:r w:rsidR="00715ACD">
        <w:t>’</w:t>
      </w:r>
      <w:r>
        <w:t xml:space="preserve">annuler ou de </w:t>
      </w:r>
      <w:r w:rsidR="00AD0900">
        <w:t xml:space="preserve">la </w:t>
      </w:r>
      <w:r>
        <w:t>révoquer.</w:t>
      </w:r>
    </w:p>
    <w:p w14:paraId="486ABE0A" w14:textId="42A01855" w:rsidR="003D1A5A" w:rsidRPr="002E65D8" w:rsidRDefault="002E7A3B" w:rsidP="003D1A5A">
      <w:pPr>
        <w:pStyle w:val="Blueboxtitle"/>
        <w:spacing w:after="0" w:line="240" w:lineRule="auto"/>
        <w:outlineLvl w:val="2"/>
      </w:pPr>
      <w:bookmarkStart w:id="107" w:name="_Toc236061676"/>
      <w:r>
        <w:t>Boîte</w:t>
      </w:r>
      <w:r w:rsidR="003D1A5A">
        <w:t> 4 : Sanctions et mesures dissuasi</w:t>
      </w:r>
      <w:r w:rsidR="00A239D4">
        <w:t>ves</w:t>
      </w:r>
      <w:bookmarkEnd w:id="107"/>
    </w:p>
    <w:p w14:paraId="260F40A0" w14:textId="7D2B70F0" w:rsidR="00BC102D" w:rsidRPr="00B00632" w:rsidRDefault="003D1A5A" w:rsidP="00B00632">
      <w:pPr>
        <w:pStyle w:val="Blueboxtitle"/>
        <w:rPr>
          <w:b w:val="0"/>
        </w:rPr>
      </w:pPr>
      <w:r>
        <w:rPr>
          <w:b w:val="0"/>
        </w:rPr>
        <w:t xml:space="preserve">Quelques exemples de mesures mises en œuvre par les États </w:t>
      </w:r>
      <w:r w:rsidR="006B3848">
        <w:rPr>
          <w:sz w:val="17"/>
        </w:rPr>
        <w:tab/>
      </w:r>
    </w:p>
    <w:p w14:paraId="2F1075E4" w14:textId="302211BD" w:rsidR="006B3848" w:rsidRPr="002E65D8" w:rsidRDefault="51399839" w:rsidP="009070A5">
      <w:pPr>
        <w:pStyle w:val="Bluebox"/>
        <w:numPr>
          <w:ilvl w:val="0"/>
          <w:numId w:val="0"/>
        </w:numPr>
        <w:ind w:left="1134" w:hanging="567"/>
      </w:pPr>
      <w:r>
        <w:rPr>
          <w:u w:val="single"/>
        </w:rPr>
        <w:t>Amendes et sanctions pécuniaires</w:t>
      </w:r>
      <w:r>
        <w:t xml:space="preserve"> : </w:t>
      </w:r>
    </w:p>
    <w:p w14:paraId="24C6E045" w14:textId="10C23303" w:rsidR="00630D92" w:rsidRPr="002E65D8" w:rsidRDefault="00A332DF">
      <w:pPr>
        <w:pStyle w:val="Bluebox"/>
        <w:rPr>
          <w:szCs w:val="16"/>
        </w:rPr>
      </w:pPr>
      <w:r>
        <w:t>En Australie (Australie-Occidentale), la loi punit d</w:t>
      </w:r>
      <w:r w:rsidR="00715ACD">
        <w:t>’</w:t>
      </w:r>
      <w:r>
        <w:t>une amende de 25 000 dollars australiens (soit environ 16 500 dollars américains) et de deux ans d</w:t>
      </w:r>
      <w:r w:rsidR="00715ACD">
        <w:t>’</w:t>
      </w:r>
      <w:r>
        <w:t>emprisonnement</w:t>
      </w:r>
      <w:r w:rsidR="004A61AF">
        <w:t>,</w:t>
      </w:r>
      <w:r>
        <w:t xml:space="preserve"> </w:t>
      </w:r>
      <w:r w:rsidR="004A61AF">
        <w:t xml:space="preserve">toute </w:t>
      </w:r>
      <w:r>
        <w:t>personne qui reçoit un paiement pour influencer le consentement à l</w:t>
      </w:r>
      <w:r w:rsidR="00715ACD">
        <w:t>’</w:t>
      </w:r>
      <w:r>
        <w:t>adoption d</w:t>
      </w:r>
      <w:r w:rsidR="00715ACD">
        <w:t>’</w:t>
      </w:r>
      <w:r>
        <w:t>un enfant</w:t>
      </w:r>
      <w:r w:rsidR="006B3848" w:rsidRPr="002E65D8">
        <w:rPr>
          <w:rStyle w:val="FootnoteReference"/>
        </w:rPr>
        <w:footnoteReference w:id="160"/>
      </w:r>
      <w:r>
        <w:t>. Dans d</w:t>
      </w:r>
      <w:r w:rsidR="00715ACD">
        <w:t>’</w:t>
      </w:r>
      <w:r>
        <w:t>autres États et territoires d</w:t>
      </w:r>
      <w:r w:rsidR="00715ACD">
        <w:t>’</w:t>
      </w:r>
      <w:r>
        <w:t>Australie, il existe des dispositions similaires, bien que les sanctions puissent varier. Ces peines ne peuvent être infligées que pour des infractions commises en Australie, les lois fédérales et des territoires ne s</w:t>
      </w:r>
      <w:r w:rsidR="00715ACD">
        <w:t>’</w:t>
      </w:r>
      <w:r>
        <w:t>appliquent pas de manière extraterritoriale aux intervenants australiens implantés à l</w:t>
      </w:r>
      <w:r w:rsidR="00715ACD">
        <w:t>’</w:t>
      </w:r>
      <w:r>
        <w:t>étranger.</w:t>
      </w:r>
    </w:p>
    <w:p w14:paraId="6861A797" w14:textId="53F7114A" w:rsidR="002032F8" w:rsidRPr="002E65D8" w:rsidRDefault="00B702E0" w:rsidP="0049293B">
      <w:pPr>
        <w:pStyle w:val="Bluebox"/>
        <w:rPr>
          <w:szCs w:val="16"/>
        </w:rPr>
      </w:pPr>
      <w:r>
        <w:t>Aux Philippines, en cas d</w:t>
      </w:r>
      <w:r w:rsidR="00715ACD">
        <w:t>’</w:t>
      </w:r>
      <w:r>
        <w:t>obtention du consentement à l</w:t>
      </w:r>
      <w:r w:rsidR="00715ACD">
        <w:t>’</w:t>
      </w:r>
      <w:r>
        <w:t>adoption par la contrainte, l</w:t>
      </w:r>
      <w:r w:rsidR="00715ACD">
        <w:t>’</w:t>
      </w:r>
      <w:r>
        <w:t>influence indue, la fraude, l</w:t>
      </w:r>
      <w:r w:rsidR="00715ACD">
        <w:t>’</w:t>
      </w:r>
      <w:r>
        <w:t>incitation par le biais d</w:t>
      </w:r>
      <w:r w:rsidR="00715ACD">
        <w:t>’</w:t>
      </w:r>
      <w:r>
        <w:t>un avantage matériel ou d</w:t>
      </w:r>
      <w:r w:rsidR="00715ACD">
        <w:t>’</w:t>
      </w:r>
      <w:r>
        <w:t>autres actes similaires, de non-respect des procédures et garanties pertinentes ou de soumission ou d</w:t>
      </w:r>
      <w:r w:rsidR="00715ACD">
        <w:t>’</w:t>
      </w:r>
      <w:r>
        <w:t>exposition de l</w:t>
      </w:r>
      <w:r w:rsidR="00715ACD">
        <w:t>’</w:t>
      </w:r>
      <w:r>
        <w:t>enfant à adopter à un danger, à des abus ou à l</w:t>
      </w:r>
      <w:r w:rsidR="00715ACD">
        <w:t>’</w:t>
      </w:r>
      <w:r>
        <w:t>exploitation, un tribunal peut</w:t>
      </w:r>
      <w:r w:rsidR="00B92F45">
        <w:t>, dans l</w:t>
      </w:r>
      <w:r w:rsidR="00715ACD">
        <w:t>’</w:t>
      </w:r>
      <w:r w:rsidR="00B92F45">
        <w:t>exercice de son pouvoir d</w:t>
      </w:r>
      <w:r w:rsidR="00715ACD">
        <w:t>’</w:t>
      </w:r>
      <w:r w:rsidR="00B92F45">
        <w:t>appréciation,</w:t>
      </w:r>
      <w:r>
        <w:t xml:space="preserve"> prononcer une </w:t>
      </w:r>
      <w:r>
        <w:lastRenderedPageBreak/>
        <w:t>amende allant de 50 000 à 200 000 pesos philippins (soit entre 860 et 3 450 dollars américains) ou une peine allant de six ans et un jour à 12 ans d</w:t>
      </w:r>
      <w:r w:rsidR="00715ACD">
        <w:t>’</w:t>
      </w:r>
      <w:r>
        <w:t xml:space="preserve">emprisonnement, </w:t>
      </w:r>
      <w:r w:rsidR="00B92F45">
        <w:t>voire</w:t>
      </w:r>
      <w:r>
        <w:t xml:space="preserve"> les deux</w:t>
      </w:r>
      <w:r w:rsidR="007828BE" w:rsidRPr="002E65D8">
        <w:rPr>
          <w:rStyle w:val="FootnoteReference"/>
          <w:szCs w:val="16"/>
        </w:rPr>
        <w:footnoteReference w:id="161"/>
      </w:r>
      <w:r>
        <w:t>.</w:t>
      </w:r>
      <w:r w:rsidR="00E6549D">
        <w:t xml:space="preserve"> </w:t>
      </w:r>
    </w:p>
    <w:p w14:paraId="25878705" w14:textId="431049C1" w:rsidR="006B3848" w:rsidRPr="002E65D8" w:rsidRDefault="006B3848" w:rsidP="00017C48">
      <w:pPr>
        <w:pStyle w:val="Bluebox"/>
        <w:rPr>
          <w:szCs w:val="16"/>
        </w:rPr>
      </w:pPr>
      <w:r>
        <w:t>Les sanctions pécuniaires pour les gains matériels indus sont très variables. Elles peuvent notamment aller jusqu</w:t>
      </w:r>
      <w:r w:rsidR="00715ACD">
        <w:t>’</w:t>
      </w:r>
      <w:r>
        <w:t>à 10 000 euros au Luxembourg (soit environ 12 000 dollars américains)</w:t>
      </w:r>
      <w:r w:rsidRPr="002E65D8">
        <w:rPr>
          <w:rStyle w:val="FootnoteReference"/>
          <w:szCs w:val="16"/>
        </w:rPr>
        <w:footnoteReference w:id="162"/>
      </w:r>
      <w:r>
        <w:t xml:space="preserve"> et jusqu</w:t>
      </w:r>
      <w:r w:rsidR="00715ACD">
        <w:t>’</w:t>
      </w:r>
      <w:r>
        <w:t>à 250 000 dollars amé</w:t>
      </w:r>
      <w:r w:rsidR="00866EF6">
        <w:t>ricains aux États</w:t>
      </w:r>
      <w:r w:rsidR="00866EF6">
        <w:noBreakHyphen/>
      </w:r>
      <w:r>
        <w:t>Unis</w:t>
      </w:r>
      <w:bookmarkStart w:id="108" w:name="_Ref231302890"/>
      <w:r w:rsidRPr="002E65D8">
        <w:rPr>
          <w:rStyle w:val="FootnoteReference"/>
          <w:szCs w:val="16"/>
        </w:rPr>
        <w:footnoteReference w:id="163"/>
      </w:r>
      <w:bookmarkEnd w:id="108"/>
      <w:r>
        <w:t>. Au Canada (Québec), les personnes physiques encourent des amendes pouvant aller de 10 000 à 100 000 dollars canadiens (soit entre 7 200 à 72 000 dollars américains), mais lorsque l</w:t>
      </w:r>
      <w:r w:rsidR="00715ACD">
        <w:t>’</w:t>
      </w:r>
      <w:r>
        <w:t>infraction est commise par une autorité, l</w:t>
      </w:r>
      <w:r w:rsidR="00715ACD">
        <w:t>’</w:t>
      </w:r>
      <w:r>
        <w:t>amende peut varier entre 25 000 et 200 000 dollars canadiens (soit entre 18 000 et 145 000 dollars américains)</w:t>
      </w:r>
      <w:r w:rsidR="00470351" w:rsidRPr="002E65D8">
        <w:rPr>
          <w:rStyle w:val="FootnoteReference"/>
          <w:szCs w:val="16"/>
        </w:rPr>
        <w:footnoteReference w:id="164"/>
      </w:r>
      <w:r>
        <w:t xml:space="preserve">. </w:t>
      </w:r>
    </w:p>
    <w:p w14:paraId="5B538077" w14:textId="03BF3A13" w:rsidR="006B3848" w:rsidRPr="002E65D8" w:rsidRDefault="006B3848" w:rsidP="015D103D">
      <w:pPr>
        <w:pStyle w:val="Bluebox"/>
        <w:numPr>
          <w:ilvl w:val="0"/>
          <w:numId w:val="0"/>
        </w:numPr>
        <w:spacing w:before="120" w:after="0"/>
        <w:ind w:left="567"/>
        <w:contextualSpacing w:val="0"/>
        <w:rPr>
          <w:color w:val="00B0F0"/>
        </w:rPr>
      </w:pPr>
      <w:r>
        <w:rPr>
          <w:u w:val="single"/>
        </w:rPr>
        <w:t>Perte de licence ou d</w:t>
      </w:r>
      <w:r w:rsidR="00715ACD">
        <w:rPr>
          <w:u w:val="single"/>
        </w:rPr>
        <w:t>’</w:t>
      </w:r>
      <w:r>
        <w:rPr>
          <w:u w:val="single"/>
        </w:rPr>
        <w:t>agrément et d</w:t>
      </w:r>
      <w:r w:rsidR="00715ACD">
        <w:rPr>
          <w:u w:val="single"/>
        </w:rPr>
        <w:t>’</w:t>
      </w:r>
      <w:r>
        <w:rPr>
          <w:u w:val="single"/>
        </w:rPr>
        <w:t>autorisation</w:t>
      </w:r>
      <w:r>
        <w:t> :</w:t>
      </w:r>
    </w:p>
    <w:p w14:paraId="596A4494" w14:textId="769D4A7F" w:rsidR="00802D77" w:rsidRPr="002E65D8" w:rsidRDefault="00802D77" w:rsidP="00802D77">
      <w:pPr>
        <w:pStyle w:val="Bluebox"/>
        <w:rPr>
          <w:szCs w:val="16"/>
        </w:rPr>
      </w:pPr>
      <w:r>
        <w:t>Au Canada (Manitoba), en cas de découverte d</w:t>
      </w:r>
      <w:r w:rsidR="00715ACD">
        <w:t>’</w:t>
      </w:r>
      <w:r>
        <w:t>activités financières illicites, la licence d</w:t>
      </w:r>
      <w:r w:rsidR="00715ACD">
        <w:t>’</w:t>
      </w:r>
      <w:r>
        <w:t>un OAA peut être immédiatement suspendue ou annulée</w:t>
      </w:r>
      <w:r w:rsidRPr="002E65D8">
        <w:rPr>
          <w:rStyle w:val="FootnoteReference"/>
          <w:szCs w:val="16"/>
        </w:rPr>
        <w:footnoteReference w:id="165"/>
      </w:r>
      <w:r>
        <w:t>.</w:t>
      </w:r>
    </w:p>
    <w:p w14:paraId="1708A6CC" w14:textId="77777777" w:rsidR="00152E7E" w:rsidRPr="002E65D8" w:rsidRDefault="00152E7E" w:rsidP="00152E7E">
      <w:pPr>
        <w:pStyle w:val="Bluebox"/>
      </w:pPr>
      <w:r>
        <w:t>En Espagne, les OAA sont tenus de veiller à ce qu’il n’y ait ni paiement ni compensation d’aucune sorte pour l’adoption d’un enfant, autre que ceux prévus par la loi. Ils sont tenus de signaler et de dénoncer aux autorités compétentes, le cas échéant, le moindre abus, irrégularité ou gain matériel autres que les montants strictement nécessaires pour couvrir les frais de l’intermédiation dont ils ont connaissance. Dans le cas contraire, ils seront sanctionnés et se verront retirer leur agrément</w:t>
      </w:r>
      <w:r w:rsidRPr="002E65D8">
        <w:rPr>
          <w:rStyle w:val="FootnoteReference"/>
        </w:rPr>
        <w:footnoteReference w:id="166"/>
      </w:r>
      <w:r>
        <w:t>.</w:t>
      </w:r>
    </w:p>
    <w:p w14:paraId="41F3AC50" w14:textId="77777777" w:rsidR="00152E7E" w:rsidRPr="002E65D8" w:rsidRDefault="00152E7E" w:rsidP="00152E7E">
      <w:pPr>
        <w:pStyle w:val="Bluebox"/>
      </w:pPr>
      <w:r>
        <w:t>Aux États-Unis, les pratiques financières inappropriées peuvent être motifs de suspension, d’annulation ou de refus de l’agrément d’un OAA</w:t>
      </w:r>
      <w:r w:rsidRPr="002E65D8">
        <w:rPr>
          <w:rStyle w:val="FootnoteReference"/>
        </w:rPr>
        <w:footnoteReference w:id="167"/>
      </w:r>
      <w:r>
        <w:t>.</w:t>
      </w:r>
    </w:p>
    <w:p w14:paraId="36047CF0" w14:textId="0A0E9C02" w:rsidR="009A5E97" w:rsidRPr="002E65D8" w:rsidRDefault="009A5E97" w:rsidP="009A5E97">
      <w:pPr>
        <w:pStyle w:val="Bluebox"/>
        <w:rPr>
          <w:szCs w:val="16"/>
        </w:rPr>
      </w:pPr>
      <w:r>
        <w:t>En France, le fait qu</w:t>
      </w:r>
      <w:r w:rsidR="00715ACD">
        <w:t>’</w:t>
      </w:r>
      <w:r>
        <w:t xml:space="preserve">un OAA reçoive, de la part des FPA, des fonds qui ne figurent pas </w:t>
      </w:r>
      <w:r w:rsidR="00E756C6">
        <w:t>dans le décompte des sommes</w:t>
      </w:r>
      <w:r>
        <w:t xml:space="preserve"> validé par l</w:t>
      </w:r>
      <w:r w:rsidR="00715ACD">
        <w:t>’</w:t>
      </w:r>
      <w:r>
        <w:t>Autorité centrale ou qui sont versés avant la signature du contrat est un motif de retrait de l</w:t>
      </w:r>
      <w:r w:rsidR="00715ACD">
        <w:t>’</w:t>
      </w:r>
      <w:r>
        <w:t>agrément de l</w:t>
      </w:r>
      <w:r w:rsidR="00715ACD">
        <w:t>’</w:t>
      </w:r>
      <w:r>
        <w:t>OAA concerné</w:t>
      </w:r>
      <w:r w:rsidRPr="002E65D8">
        <w:rPr>
          <w:rStyle w:val="FootnoteReference"/>
          <w:szCs w:val="16"/>
        </w:rPr>
        <w:footnoteReference w:id="168"/>
      </w:r>
      <w:r>
        <w:t>.</w:t>
      </w:r>
    </w:p>
    <w:p w14:paraId="56A124D2" w14:textId="6D69CFF8" w:rsidR="006B3848" w:rsidRPr="002E65D8" w:rsidDel="00EC307D" w:rsidRDefault="00342349" w:rsidP="003325AB">
      <w:pPr>
        <w:pStyle w:val="Bluebox"/>
      </w:pPr>
      <w:r>
        <w:t>En Italie, les OAA font l</w:t>
      </w:r>
      <w:r w:rsidR="00715ACD">
        <w:t>’</w:t>
      </w:r>
      <w:r>
        <w:t>objet de contrôles rigoureux, en conséquence desquels ils peuvent se voir retirer leur agrément en cas de grave non-respect</w:t>
      </w:r>
      <w:r w:rsidR="0086251B" w:rsidRPr="002E65D8" w:rsidDel="00EC307D">
        <w:rPr>
          <w:rStyle w:val="FootnoteReference"/>
        </w:rPr>
        <w:footnoteReference w:id="169"/>
      </w:r>
      <w:r>
        <w:t xml:space="preserve">. </w:t>
      </w:r>
    </w:p>
    <w:p w14:paraId="28C7E538" w14:textId="623263DC" w:rsidR="006B3848" w:rsidRPr="002E65D8" w:rsidRDefault="003C725C" w:rsidP="003325AB">
      <w:pPr>
        <w:pStyle w:val="Bluebox"/>
      </w:pPr>
      <w:r>
        <w:t>Au Pa</w:t>
      </w:r>
      <w:r w:rsidR="00E008CD">
        <w:t>nama</w:t>
      </w:r>
      <w:r>
        <w:t>, tout fonctionnaire qui influence le consentement à l</w:t>
      </w:r>
      <w:r w:rsidR="00715ACD">
        <w:t>’</w:t>
      </w:r>
      <w:r>
        <w:t>adoption ou qui en tire un profit économique ou autre devrait être licencié. En outre, les fonctionnaires qui ne respectent pas la loi sont soumis à des sanctions disciplinaires infligées par leurs supérieurs, en fonction de la gravité des faits</w:t>
      </w:r>
      <w:r w:rsidR="00342349" w:rsidRPr="002E65D8">
        <w:rPr>
          <w:rStyle w:val="FootnoteReference"/>
        </w:rPr>
        <w:footnoteReference w:id="170"/>
      </w:r>
      <w:r>
        <w:t>.</w:t>
      </w:r>
    </w:p>
    <w:p w14:paraId="315B2A00" w14:textId="4B1E6943" w:rsidR="001647F2" w:rsidRPr="002E65D8" w:rsidRDefault="001647F2" w:rsidP="009C112F">
      <w:pPr>
        <w:pStyle w:val="Bluebox"/>
      </w:pPr>
      <w:r>
        <w:t>Aux Philippines, tout médecin, sage-femme, infirmier ou personnel hospitalier qui se rend complice d</w:t>
      </w:r>
      <w:r w:rsidR="00715ACD">
        <w:t>’</w:t>
      </w:r>
      <w:r>
        <w:t>infractions telles que l</w:t>
      </w:r>
      <w:r w:rsidR="00715ACD">
        <w:t>’</w:t>
      </w:r>
      <w:r>
        <w:t>obtention du consentement par l</w:t>
      </w:r>
      <w:r w:rsidR="00715ACD">
        <w:t>’</w:t>
      </w:r>
      <w:r>
        <w:t>exercice d</w:t>
      </w:r>
      <w:r w:rsidR="00715ACD">
        <w:t>’</w:t>
      </w:r>
      <w:r>
        <w:t>une influence indue fera l</w:t>
      </w:r>
      <w:r w:rsidR="00715ACD">
        <w:t>’</w:t>
      </w:r>
      <w:r>
        <w:t>objet de sanctions pénales et sera interdit d</w:t>
      </w:r>
      <w:r w:rsidR="00715ACD">
        <w:t>’</w:t>
      </w:r>
      <w:r>
        <w:t>exercer en application de la loi</w:t>
      </w:r>
      <w:r w:rsidR="00CE55BA" w:rsidRPr="002E65D8">
        <w:rPr>
          <w:rStyle w:val="FootnoteReference"/>
        </w:rPr>
        <w:footnoteReference w:id="171"/>
      </w:r>
      <w:r>
        <w:t>.</w:t>
      </w:r>
    </w:p>
    <w:p w14:paraId="54EF60F2" w14:textId="77777777" w:rsidR="006B3848" w:rsidRPr="002E65D8" w:rsidRDefault="006B3848" w:rsidP="00D10546">
      <w:pPr>
        <w:pStyle w:val="Bluebox"/>
        <w:numPr>
          <w:ilvl w:val="0"/>
          <w:numId w:val="0"/>
        </w:numPr>
        <w:spacing w:before="120" w:after="0"/>
        <w:ind w:left="567"/>
        <w:contextualSpacing w:val="0"/>
        <w:rPr>
          <w:szCs w:val="16"/>
        </w:rPr>
      </w:pPr>
      <w:r>
        <w:rPr>
          <w:u w:val="single"/>
        </w:rPr>
        <w:t>Peine de prison</w:t>
      </w:r>
      <w:r>
        <w:t xml:space="preserve"> : </w:t>
      </w:r>
    </w:p>
    <w:p w14:paraId="577B5453" w14:textId="33DAB183" w:rsidR="178F40F5" w:rsidRPr="002E65D8" w:rsidRDefault="5D43E2EB" w:rsidP="003E2996">
      <w:pPr>
        <w:pStyle w:val="Bluebox"/>
      </w:pPr>
      <w:r>
        <w:t>Certains États peuvent infliger des peines d</w:t>
      </w:r>
      <w:r w:rsidR="00715ACD">
        <w:t>’</w:t>
      </w:r>
      <w:r>
        <w:t>emprisonnement, notamment les États-Unis, la France, la Lituanie, le Luxembourg, les Philippines, la Roumanie et la Suisse. La durée de la peine d</w:t>
      </w:r>
      <w:r w:rsidR="00715ACD">
        <w:t>’</w:t>
      </w:r>
      <w:r>
        <w:t xml:space="preserve">emprisonnement peut aller de huit jours (Luxembourg), trois ans (Suisse), sept ans (Roumanie) </w:t>
      </w:r>
      <w:r w:rsidR="007576C1">
        <w:t>à</w:t>
      </w:r>
      <w:r>
        <w:t xml:space="preserve"> 12 ans (Lituanie et Philippines)</w:t>
      </w:r>
      <w:r w:rsidR="006B3848" w:rsidRPr="002E65D8">
        <w:rPr>
          <w:rStyle w:val="FootnoteReference"/>
        </w:rPr>
        <w:footnoteReference w:id="172"/>
      </w:r>
      <w:r>
        <w:t>.</w:t>
      </w:r>
    </w:p>
    <w:p w14:paraId="614E6EEF" w14:textId="0698A2AC" w:rsidR="00866EF6" w:rsidRPr="004D490C" w:rsidRDefault="0064509D" w:rsidP="00A62872">
      <w:pPr>
        <w:pStyle w:val="Bluebox"/>
        <w:rPr>
          <w:u w:val="single"/>
        </w:rPr>
      </w:pPr>
      <w:r>
        <w:t>Au Sri Lanka, toute personne se livrant à l</w:t>
      </w:r>
      <w:r w:rsidR="00715ACD">
        <w:t>’</w:t>
      </w:r>
      <w:r>
        <w:t>obtention d</w:t>
      </w:r>
      <w:r w:rsidR="00715ACD">
        <w:t>’</w:t>
      </w:r>
      <w:r>
        <w:t>enfants encourt une peine d</w:t>
      </w:r>
      <w:r w:rsidR="00715ACD">
        <w:t>’</w:t>
      </w:r>
      <w:r>
        <w:t>emprisonnement et / ou une amende</w:t>
      </w:r>
      <w:r w:rsidRPr="002E65D8">
        <w:rPr>
          <w:rStyle w:val="FootnoteReference"/>
        </w:rPr>
        <w:footnoteReference w:id="173"/>
      </w:r>
      <w:r>
        <w:t>.</w:t>
      </w:r>
    </w:p>
    <w:p w14:paraId="4FF688B9" w14:textId="466F5A75" w:rsidR="006B3848" w:rsidRPr="002E65D8" w:rsidRDefault="51399839" w:rsidP="00D10546">
      <w:pPr>
        <w:pStyle w:val="Bluebox"/>
        <w:numPr>
          <w:ilvl w:val="0"/>
          <w:numId w:val="0"/>
        </w:numPr>
        <w:spacing w:before="120" w:after="0"/>
        <w:ind w:left="567"/>
        <w:contextualSpacing w:val="0"/>
      </w:pPr>
      <w:r>
        <w:rPr>
          <w:u w:val="single"/>
        </w:rPr>
        <w:t>Refus de reconnaître la décision d</w:t>
      </w:r>
      <w:r w:rsidR="00715ACD">
        <w:rPr>
          <w:u w:val="single"/>
        </w:rPr>
        <w:t>’</w:t>
      </w:r>
      <w:r>
        <w:rPr>
          <w:u w:val="single"/>
        </w:rPr>
        <w:t>adoption</w:t>
      </w:r>
      <w:r>
        <w:t> :</w:t>
      </w:r>
    </w:p>
    <w:p w14:paraId="3FE81220" w14:textId="1C5A02DB" w:rsidR="006B3848" w:rsidRPr="002E65D8" w:rsidRDefault="006B3848" w:rsidP="00017C48">
      <w:pPr>
        <w:pStyle w:val="Bluebox"/>
        <w:rPr>
          <w:szCs w:val="16"/>
        </w:rPr>
      </w:pPr>
      <w:r>
        <w:t>En Irlande, l</w:t>
      </w:r>
      <w:r w:rsidR="00715ACD">
        <w:t>’</w:t>
      </w:r>
      <w:r>
        <w:t>Autorité centrale adopte une démarche consistant à suivre tous les paiements et se réserve le droit de rechercher la preuve de leur montant en demandant des justificatifs. Les FPA peuvent avoir à présenter les factures et reçus originaux et détaillés. Lorsqu</w:t>
      </w:r>
      <w:r w:rsidR="00715ACD">
        <w:t>’</w:t>
      </w:r>
      <w:r>
        <w:t>il apparaît à l</w:t>
      </w:r>
      <w:r w:rsidR="00715ACD">
        <w:t>’</w:t>
      </w:r>
      <w:r>
        <w:t>Autorité centrale que des montants excessifs ont été payés et / ou que des transactions en numéraire sans justificatif ont eu lieu, elle peut refuser d</w:t>
      </w:r>
      <w:r w:rsidR="00715ACD">
        <w:t>’</w:t>
      </w:r>
      <w:r>
        <w:t>enregistrer l</w:t>
      </w:r>
      <w:r w:rsidR="00715ACD">
        <w:t>’</w:t>
      </w:r>
      <w:r>
        <w:t>adoption dans le Registre des adoptions internationales (autrement dit, de la reconnaître)</w:t>
      </w:r>
      <w:r w:rsidRPr="002E65D8">
        <w:rPr>
          <w:szCs w:val="16"/>
          <w:vertAlign w:val="superscript"/>
        </w:rPr>
        <w:footnoteReference w:id="174"/>
      </w:r>
      <w:r>
        <w:t>. Cependant, comme susmentionné, ces mesures devraient être utilisées avec parcimonie et uniquement lorsqu</w:t>
      </w:r>
      <w:r w:rsidR="00715ACD">
        <w:t>’</w:t>
      </w:r>
      <w:r>
        <w:t>elles ne portent pas atteinte à l</w:t>
      </w:r>
      <w:r w:rsidR="00715ACD">
        <w:t>’</w:t>
      </w:r>
      <w:r>
        <w:t>intérêt supérieur de l</w:t>
      </w:r>
      <w:r w:rsidR="00715ACD">
        <w:t>’</w:t>
      </w:r>
      <w:r>
        <w:t xml:space="preserve">enfant. </w:t>
      </w:r>
    </w:p>
    <w:p w14:paraId="4E582064" w14:textId="77777777" w:rsidR="00717D5B" w:rsidRPr="002E65D8" w:rsidRDefault="00717D5B" w:rsidP="00717D5B">
      <w:pPr>
        <w:pStyle w:val="Bluebox"/>
        <w:numPr>
          <w:ilvl w:val="0"/>
          <w:numId w:val="0"/>
        </w:numPr>
        <w:spacing w:before="120" w:after="0"/>
        <w:ind w:left="567"/>
        <w:contextualSpacing w:val="0"/>
        <w:rPr>
          <w:szCs w:val="16"/>
          <w:u w:val="single"/>
        </w:rPr>
      </w:pPr>
      <w:r>
        <w:rPr>
          <w:u w:val="single"/>
        </w:rPr>
        <w:t>Autres exemples :</w:t>
      </w:r>
    </w:p>
    <w:p w14:paraId="25DF69E1" w14:textId="601B0A84" w:rsidR="00717D5B" w:rsidRPr="002E65D8" w:rsidRDefault="00717D5B" w:rsidP="00717D5B">
      <w:pPr>
        <w:pStyle w:val="Bluebox"/>
        <w:rPr>
          <w:szCs w:val="16"/>
        </w:rPr>
      </w:pPr>
      <w:r>
        <w:t>Au Canada (Québec), le procureur général a le pouvoir d</w:t>
      </w:r>
      <w:r w:rsidR="00715ACD">
        <w:t>’</w:t>
      </w:r>
      <w:r>
        <w:t>annuler une décision d</w:t>
      </w:r>
      <w:r w:rsidR="00715ACD">
        <w:t>’</w:t>
      </w:r>
      <w:r>
        <w:t>adoption</w:t>
      </w:r>
      <w:r w:rsidRPr="002E65D8">
        <w:rPr>
          <w:szCs w:val="16"/>
          <w:vertAlign w:val="superscript"/>
        </w:rPr>
        <w:footnoteReference w:id="175"/>
      </w:r>
      <w:r>
        <w:t>.</w:t>
      </w:r>
    </w:p>
    <w:p w14:paraId="450C2533" w14:textId="2E931F26" w:rsidR="006B3848" w:rsidRPr="002E65D8" w:rsidRDefault="0066537B" w:rsidP="004047D5">
      <w:pPr>
        <w:pStyle w:val="Heading4"/>
      </w:pPr>
      <w:r>
        <w:lastRenderedPageBreak/>
        <w:t>Coopération entre autorités et entre États pour appliquer les sanctions</w:t>
      </w:r>
    </w:p>
    <w:p w14:paraId="7DFBEB9E" w14:textId="23DBC12C" w:rsidR="006B3848" w:rsidRPr="002E65D8" w:rsidRDefault="006B3848" w:rsidP="006B3848">
      <w:pPr>
        <w:pStyle w:val="PBParagraph"/>
      </w:pPr>
      <w:r>
        <w:t>La coopération entre les autorités et entre les États</w:t>
      </w:r>
      <w:r w:rsidRPr="002E65D8">
        <w:rPr>
          <w:rStyle w:val="FootnoteReference"/>
        </w:rPr>
        <w:footnoteReference w:id="176"/>
      </w:r>
      <w:r>
        <w:t xml:space="preserve"> est indispensable dans tout travail d</w:t>
      </w:r>
      <w:r w:rsidR="00715ACD">
        <w:t>’</w:t>
      </w:r>
      <w:r>
        <w:t>enquête et de poursuites visant à sanctionner les auteurs des abus. Par exemple, les États peuvent mettre en place un système clair en vue de consigner les allégations de violation de la Convention. Ce système devrait préciser comment et à qui les violations devraient être signalées. Les États peuvent aussi s</w:t>
      </w:r>
      <w:r w:rsidR="00715ACD">
        <w:t>’</w:t>
      </w:r>
      <w:r>
        <w:t>entraider pour trouver l</w:t>
      </w:r>
      <w:r w:rsidR="00715ACD">
        <w:t>’</w:t>
      </w:r>
      <w:r>
        <w:t>auteur d</w:t>
      </w:r>
      <w:r w:rsidR="00715ACD">
        <w:t>’</w:t>
      </w:r>
      <w:r>
        <w:t>un délit par-delà la frontière ou en autorisant l</w:t>
      </w:r>
      <w:r w:rsidR="00715ACD">
        <w:t>’</w:t>
      </w:r>
      <w:r>
        <w:t>accès aux registres qui faciliteraient une enquête.</w:t>
      </w:r>
    </w:p>
    <w:p w14:paraId="448B0149" w14:textId="6D7EE872" w:rsidR="006B3848" w:rsidRPr="002E65D8" w:rsidRDefault="006B3848" w:rsidP="006B3848">
      <w:pPr>
        <w:pStyle w:val="PBParagraph"/>
      </w:pPr>
      <w:r>
        <w:t>Les autorités peuvent améliorer la coopération en définissant des circuits clairs pour transmettre les informations. À cet égard, les États peuvent faire appel à des organisations internationales telles qu</w:t>
      </w:r>
      <w:r w:rsidR="00715ACD">
        <w:t>’</w:t>
      </w:r>
      <w:r>
        <w:t>INTERPOL</w:t>
      </w:r>
      <w:r w:rsidRPr="002E65D8">
        <w:rPr>
          <w:rStyle w:val="FootnoteReference"/>
        </w:rPr>
        <w:footnoteReference w:id="177"/>
      </w:r>
      <w:r>
        <w:t xml:space="preserve">. </w:t>
      </w:r>
    </w:p>
    <w:p w14:paraId="13EE6101" w14:textId="77777777" w:rsidR="005A5F01" w:rsidRPr="002E65D8" w:rsidRDefault="005A5F01">
      <w:pPr>
        <w:spacing w:after="160" w:line="276" w:lineRule="auto"/>
        <w:rPr>
          <w:rFonts w:ascii="Raleway" w:eastAsiaTheme="majorEastAsia" w:hAnsi="Raleway" w:cstheme="majorBidi"/>
          <w:b/>
          <w:bCs/>
          <w:color w:val="03295A" w:themeColor="accent4"/>
          <w:sz w:val="28"/>
          <w:szCs w:val="28"/>
        </w:rPr>
      </w:pPr>
      <w:bookmarkStart w:id="109" w:name="_Toc184237757"/>
      <w:bookmarkStart w:id="110" w:name="_Toc184237758"/>
      <w:bookmarkStart w:id="111" w:name="_Toc184237759"/>
      <w:bookmarkStart w:id="112" w:name="_Toc184237760"/>
      <w:bookmarkStart w:id="113" w:name="_Toc184237761"/>
      <w:bookmarkStart w:id="114" w:name="_Toc184237762"/>
      <w:bookmarkStart w:id="115" w:name="_Toc184237769"/>
      <w:bookmarkEnd w:id="109"/>
      <w:bookmarkEnd w:id="110"/>
      <w:bookmarkEnd w:id="111"/>
      <w:bookmarkEnd w:id="112"/>
      <w:bookmarkEnd w:id="113"/>
      <w:bookmarkEnd w:id="114"/>
      <w:bookmarkEnd w:id="115"/>
      <w:r>
        <w:br w:type="page"/>
      </w:r>
    </w:p>
    <w:p w14:paraId="7972090B" w14:textId="7BB6191D" w:rsidR="00D529F4" w:rsidRPr="002E65D8" w:rsidRDefault="00D529F4" w:rsidP="00D529F4">
      <w:pPr>
        <w:pStyle w:val="Heading1"/>
        <w:rPr>
          <w:rFonts w:ascii="Raleway" w:hAnsi="Raleway"/>
          <w:b/>
        </w:rPr>
      </w:pPr>
      <w:bookmarkStart w:id="116" w:name="_Ref211003302"/>
      <w:bookmarkStart w:id="117" w:name="_Toc236061677"/>
      <w:r>
        <w:rPr>
          <w:rFonts w:ascii="Raleway" w:hAnsi="Raleway"/>
          <w:b/>
        </w:rPr>
        <w:lastRenderedPageBreak/>
        <w:t>TRASNPARENCE ET CARACTÈRE RAISONNABLE</w:t>
      </w:r>
      <w:bookmarkEnd w:id="116"/>
      <w:bookmarkEnd w:id="117"/>
    </w:p>
    <w:p w14:paraId="306A7A97" w14:textId="77777777" w:rsidR="00D529F4" w:rsidRPr="002E65D8" w:rsidRDefault="00D529F4" w:rsidP="004047D5">
      <w:pPr>
        <w:pStyle w:val="Heading2"/>
        <w:numPr>
          <w:ilvl w:val="1"/>
          <w:numId w:val="3"/>
        </w:numPr>
      </w:pPr>
      <w:bookmarkStart w:id="118" w:name="_Ref212145702"/>
      <w:bookmarkStart w:id="119" w:name="_Toc236061678"/>
      <w:r>
        <w:t>Transparence</w:t>
      </w:r>
      <w:bookmarkEnd w:id="118"/>
      <w:bookmarkEnd w:id="119"/>
    </w:p>
    <w:p w14:paraId="7FEDBB88" w14:textId="77777777" w:rsidR="00D529F4" w:rsidRPr="002E65D8" w:rsidRDefault="00D529F4" w:rsidP="004047D5">
      <w:pPr>
        <w:pStyle w:val="Heading3"/>
        <w:numPr>
          <w:ilvl w:val="2"/>
          <w:numId w:val="4"/>
        </w:numPr>
      </w:pPr>
      <w:bookmarkStart w:id="120" w:name="_Toc236061679"/>
      <w:r>
        <w:t>Problème : manque de transparence</w:t>
      </w:r>
      <w:bookmarkEnd w:id="120"/>
    </w:p>
    <w:p w14:paraId="64A6DB1A" w14:textId="299B3059" w:rsidR="00BA6EBD" w:rsidRPr="002E65D8" w:rsidRDefault="00A929FC" w:rsidP="0007371B">
      <w:pPr>
        <w:pStyle w:val="PBParagraph"/>
      </w:pPr>
      <w:r>
        <w:t>La « </w:t>
      </w:r>
      <w:r>
        <w:rPr>
          <w:b/>
        </w:rPr>
        <w:t>[t]ransparence inexistante ou restreinte</w:t>
      </w:r>
      <w:r>
        <w:t> » (non souligné dans l</w:t>
      </w:r>
      <w:r w:rsidR="00715ACD">
        <w:t>’</w:t>
      </w:r>
      <w:r>
        <w:t>original)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22</w:t>
      </w:r>
      <w:r w:rsidR="00DA7DA7">
        <w:t xml:space="preserve">) </w:t>
      </w:r>
      <w:r>
        <w:t>est un problème majeur des aspects financiers de l</w:t>
      </w:r>
      <w:r w:rsidR="00715ACD">
        <w:t>’</w:t>
      </w:r>
      <w:r>
        <w:t xml:space="preserve">adoption internationale. Souvent, « les informations concernant les aspects financiers ne sont </w:t>
      </w:r>
      <w:r>
        <w:rPr>
          <w:b/>
        </w:rPr>
        <w:t>pas entièrement communiquées</w:t>
      </w:r>
      <w:r>
        <w:t xml:space="preserve"> ou, lorsqu</w:t>
      </w:r>
      <w:r w:rsidR="00715ACD">
        <w:t>’</w:t>
      </w:r>
      <w:r>
        <w:t xml:space="preserve">elles le sont, sont </w:t>
      </w:r>
      <w:r>
        <w:rPr>
          <w:b/>
          <w:bCs/>
        </w:rPr>
        <w:t>difficiles d</w:t>
      </w:r>
      <w:r w:rsidR="00715ACD">
        <w:rPr>
          <w:b/>
          <w:bCs/>
        </w:rPr>
        <w:t>’</w:t>
      </w:r>
      <w:r>
        <w:rPr>
          <w:b/>
          <w:bCs/>
        </w:rPr>
        <w:t>accès</w:t>
      </w:r>
      <w:r>
        <w:t xml:space="preserve"> et / ou </w:t>
      </w:r>
      <w:r w:rsidRPr="00DA7DA7">
        <w:rPr>
          <w:b/>
        </w:rPr>
        <w:t>ne sont pas à jour</w:t>
      </w:r>
      <w:r>
        <w:t> » (non souligné dans l</w:t>
      </w:r>
      <w:r w:rsidR="00715ACD">
        <w:t>’</w:t>
      </w:r>
      <w:r>
        <w:t>original)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23</w:t>
      </w:r>
      <w:r>
        <w:t>). Cela tient en partie à l</w:t>
      </w:r>
      <w:r w:rsidR="00715ACD">
        <w:t>’</w:t>
      </w:r>
      <w:r>
        <w:t>absence d</w:t>
      </w:r>
      <w:r w:rsidR="00715ACD">
        <w:t>’</w:t>
      </w:r>
      <w:r>
        <w:t xml:space="preserve">outils généralement acceptés pour enregistrer et comparer les données, à des tabous, aux réticences de certaines autorités ou de certains organismes à communiquer des informations financières précises et, par conséquent, à une publicité insuffisante des coûts. </w:t>
      </w:r>
    </w:p>
    <w:p w14:paraId="5E4057F3" w14:textId="28C99BB5" w:rsidR="00D529F4" w:rsidRPr="002E65D8" w:rsidRDefault="00D529F4" w:rsidP="00D529F4">
      <w:pPr>
        <w:pStyle w:val="PBParagraph"/>
      </w:pPr>
      <w:r>
        <w:t xml:space="preserve">Le manque de transparence est évident lorsque les </w:t>
      </w:r>
      <w:r>
        <w:rPr>
          <w:b/>
          <w:bCs/>
        </w:rPr>
        <w:t>Autorités centrales</w:t>
      </w:r>
      <w:r>
        <w:t xml:space="preserve"> des États d</w:t>
      </w:r>
      <w:r w:rsidR="00715ACD">
        <w:t>’</w:t>
      </w:r>
      <w:r>
        <w:t xml:space="preserve">accueil </w:t>
      </w:r>
      <w:r>
        <w:rPr>
          <w:b/>
          <w:bCs/>
        </w:rPr>
        <w:t>n</w:t>
      </w:r>
      <w:r w:rsidR="00715ACD">
        <w:rPr>
          <w:b/>
          <w:bCs/>
        </w:rPr>
        <w:t>’</w:t>
      </w:r>
      <w:r>
        <w:rPr>
          <w:b/>
          <w:bCs/>
        </w:rPr>
        <w:t>ont pas connaissance des coûts</w:t>
      </w:r>
      <w:r>
        <w:t xml:space="preserve"> pratiqués dans les États d</w:t>
      </w:r>
      <w:r w:rsidR="00715ACD">
        <w:t>’</w:t>
      </w:r>
      <w:r>
        <w:t>origine, en conséquence de quoi « les FPA ne sont pas informés à l</w:t>
      </w:r>
      <w:r w:rsidR="00715ACD">
        <w:t>’</w:t>
      </w:r>
      <w:r>
        <w:t>avance des frais et honoraires dont ils devront s</w:t>
      </w:r>
      <w:r w:rsidR="00715ACD">
        <w:t>’</w:t>
      </w:r>
      <w:r>
        <w:t>acquitter au cours des différentes étapes de la procédure d</w:t>
      </w:r>
      <w:r w:rsidR="00715ACD">
        <w:t>’</w:t>
      </w:r>
      <w:r>
        <w:t>adoption internationale ni de toute contribution (exigée)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24.1</w:t>
      </w:r>
      <w:r>
        <w:t>). Souvent, l</w:t>
      </w:r>
      <w:r w:rsidR="00715ACD">
        <w:t>’</w:t>
      </w:r>
      <w:r>
        <w:t>une des premières choses que font les FPA avant de former une demande d</w:t>
      </w:r>
      <w:r w:rsidR="00715ACD">
        <w:t>’</w:t>
      </w:r>
      <w:r>
        <w:t>adoption est de visiter les sites web des OAA. Toutefois, nombre de ces sites ne donnent pas d</w:t>
      </w:r>
      <w:r w:rsidR="00715ACD">
        <w:t>’</w:t>
      </w:r>
      <w:r>
        <w:t>informations détaillées sur les coûts. Les FPA peuvent également consulter les sites web de l</w:t>
      </w:r>
      <w:r w:rsidR="00715ACD">
        <w:t>’</w:t>
      </w:r>
      <w:r>
        <w:t>État d</w:t>
      </w:r>
      <w:r w:rsidR="00715ACD">
        <w:t>’</w:t>
      </w:r>
      <w:r>
        <w:t>origine, mais les informations ne sont pas toujours disponibles dans une langue qu</w:t>
      </w:r>
      <w:r w:rsidR="00715ACD">
        <w:t>’</w:t>
      </w:r>
      <w:r>
        <w:t>ils comprennent. Si les FPA ne disposent pas d</w:t>
      </w:r>
      <w:r w:rsidR="00715ACD">
        <w:t>’</w:t>
      </w:r>
      <w:r>
        <w:t>informations détaillées dès les premiers stades de la procédure, cela peut entraver leur choix d</w:t>
      </w:r>
      <w:r w:rsidR="00715ACD">
        <w:t>’</w:t>
      </w:r>
      <w:r>
        <w:t xml:space="preserve">un OAA. </w:t>
      </w:r>
    </w:p>
    <w:p w14:paraId="657AF5BE" w14:textId="036DBD4E" w:rsidR="00D529F4" w:rsidRPr="002E65D8" w:rsidRDefault="00D529F4" w:rsidP="00D529F4">
      <w:pPr>
        <w:pStyle w:val="PBParagraph"/>
      </w:pPr>
      <w:r>
        <w:t xml:space="preserve">Le manque de transparence tient également aux </w:t>
      </w:r>
      <w:r>
        <w:rPr>
          <w:b/>
          <w:bCs/>
        </w:rPr>
        <w:t>réticences à évoquer les aspects financiers</w:t>
      </w:r>
      <w:r>
        <w:t xml:space="preserve"> et à communiquer des informations. Par exemple, de nombreux FPA n</w:t>
      </w:r>
      <w:r w:rsidR="00715ACD">
        <w:t>’</w:t>
      </w:r>
      <w:r>
        <w:t>aiment pas y penser ni parler ouvertement de ces questions. Cela peut s</w:t>
      </w:r>
      <w:r w:rsidR="00715ACD">
        <w:t>’</w:t>
      </w:r>
      <w:r>
        <w:t>expliquer par le fait que, dans le cadre de la procédure d</w:t>
      </w:r>
      <w:r w:rsidR="00715ACD">
        <w:t>’</w:t>
      </w:r>
      <w:r>
        <w:t>adoption, ils se trouvent dans une position vulnérable. Ils peuvent notamment être peu disposés à formuler une plainte, par crainte des effets négatifs que cela pourrait avoir sur l</w:t>
      </w:r>
      <w:r w:rsidR="00715ACD">
        <w:t>’</w:t>
      </w:r>
      <w:r>
        <w:t>issue de leur procédure, en particulier si la plainte vise les autorités ou organismes responsables de l</w:t>
      </w:r>
      <w:r w:rsidR="00715ACD">
        <w:t>’</w:t>
      </w:r>
      <w:r>
        <w:t>adoption</w:t>
      </w:r>
      <w:r w:rsidRPr="002E65D8">
        <w:rPr>
          <w:rStyle w:val="FootnoteReference"/>
          <w:rFonts w:eastAsia="Verdana Pro" w:cs="Verdana Pro"/>
        </w:rPr>
        <w:footnoteReference w:id="178"/>
      </w:r>
      <w:r>
        <w:t>. Dans certains cas, ils se voient comme les « victimes d</w:t>
      </w:r>
      <w:r w:rsidR="00715ACD">
        <w:t>’</w:t>
      </w:r>
      <w:r>
        <w:t>un système qu</w:t>
      </w:r>
      <w:r w:rsidR="00715ACD">
        <w:t>’</w:t>
      </w:r>
      <w:r>
        <w:t>ils auraient le sentiment de nourrir un tant soit peu malgré eux »</w:t>
      </w:r>
      <w:r w:rsidRPr="002E65D8">
        <w:rPr>
          <w:rStyle w:val="FootnoteReference"/>
        </w:rPr>
        <w:footnoteReference w:id="179"/>
      </w:r>
      <w:r>
        <w:t>. La décence, la discrétion, la fierté, la peur et parfois même la honte peuvent expliquer ce silence</w:t>
      </w:r>
      <w:r w:rsidR="00CC0B89" w:rsidRPr="002E65D8">
        <w:rPr>
          <w:rStyle w:val="FootnoteReference"/>
        </w:rPr>
        <w:footnoteReference w:id="180"/>
      </w:r>
      <w:r w:rsidR="00866EF6">
        <w:t>.</w:t>
      </w:r>
    </w:p>
    <w:p w14:paraId="39326C84" w14:textId="7552EE27" w:rsidR="00D529F4" w:rsidRPr="002E65D8" w:rsidRDefault="3A18E8AB" w:rsidP="00D529F4">
      <w:pPr>
        <w:pStyle w:val="PBParagraph"/>
      </w:pPr>
      <w:r>
        <w:t xml:space="preserve">Les FPA peuvent parfois avoir du mal à </w:t>
      </w:r>
      <w:r>
        <w:rPr>
          <w:b/>
          <w:bCs/>
        </w:rPr>
        <w:t>distinguer ce qu</w:t>
      </w:r>
      <w:r w:rsidR="00715ACD">
        <w:rPr>
          <w:b/>
          <w:bCs/>
        </w:rPr>
        <w:t>’</w:t>
      </w:r>
      <w:r>
        <w:rPr>
          <w:b/>
          <w:bCs/>
        </w:rPr>
        <w:t>ils sont tenus de payer</w:t>
      </w:r>
      <w:r>
        <w:t xml:space="preserve"> (par ex., les frais correspondant à un service précis) de ce qui est facultatif (par ex., un don). Des honoraires d</w:t>
      </w:r>
      <w:r w:rsidR="00715ACD">
        <w:t>’</w:t>
      </w:r>
      <w:r>
        <w:t>adoption « non officiels » sont parfois demandés pour faire avancer un dossier. Certains OAA peuvent exhorter les FPA à payer des incitations aux fonctionnaires ou directeurs d</w:t>
      </w:r>
      <w:r w:rsidR="00715ACD">
        <w:t>’</w:t>
      </w:r>
      <w:r>
        <w:t>institutions pour enfants qui prennent les décisions de placement</w:t>
      </w:r>
      <w:r w:rsidR="00D529F4" w:rsidRPr="002E65D8">
        <w:rPr>
          <w:rStyle w:val="FootnoteReference"/>
        </w:rPr>
        <w:footnoteReference w:id="181"/>
      </w:r>
      <w:r>
        <w:t xml:space="preserve"> ou solliciter le paiement d</w:t>
      </w:r>
      <w:r w:rsidR="00715ACD">
        <w:t>’</w:t>
      </w:r>
      <w:r>
        <w:t>une somme d</w:t>
      </w:r>
      <w:r w:rsidR="00715ACD">
        <w:t>’</w:t>
      </w:r>
      <w:r>
        <w:t>argent destinée à améliorer</w:t>
      </w:r>
      <w:r w:rsidR="00676F04">
        <w:t xml:space="preserve"> les salaires des employés sous</w:t>
      </w:r>
      <w:r w:rsidR="00676F04">
        <w:noBreakHyphen/>
      </w:r>
      <w:r>
        <w:t>payés desdites institutions. S</w:t>
      </w:r>
      <w:r w:rsidR="00715ACD">
        <w:t>’</w:t>
      </w:r>
      <w:r>
        <w:t>ils ne sont pas informés que certains paiements sont facultatifs, les FPA peuvent ne pas savoir qu</w:t>
      </w:r>
      <w:r w:rsidR="00715ACD">
        <w:t>’</w:t>
      </w:r>
      <w:r>
        <w:t>ils sont en droit de refuser un paiement. Quoi qu</w:t>
      </w:r>
      <w:r w:rsidR="00715ACD">
        <w:t>’</w:t>
      </w:r>
      <w:r>
        <w:t>il en soit, ils peuvent toujours être réticents ou mal à l</w:t>
      </w:r>
      <w:r w:rsidR="00715ACD">
        <w:t>’</w:t>
      </w:r>
      <w:r>
        <w:t>aise à l</w:t>
      </w:r>
      <w:r w:rsidR="00715ACD">
        <w:t>’</w:t>
      </w:r>
      <w:r>
        <w:t>idée de refuser un paiement, parce qu</w:t>
      </w:r>
      <w:r w:rsidR="00715ACD">
        <w:t>’</w:t>
      </w:r>
      <w:r>
        <w:t>ils s</w:t>
      </w:r>
      <w:r w:rsidR="00715ACD">
        <w:t>’</w:t>
      </w:r>
      <w:r>
        <w:t>inquiètent des conséquences qu</w:t>
      </w:r>
      <w:r w:rsidR="00715ACD">
        <w:t>’</w:t>
      </w:r>
      <w:r>
        <w:t>un tel refus pourrait avoir sur leur demande d</w:t>
      </w:r>
      <w:r w:rsidR="00715ACD">
        <w:t>’</w:t>
      </w:r>
      <w:r>
        <w:t>adoption. De ce fait, il est facile d</w:t>
      </w:r>
      <w:r w:rsidR="00715ACD">
        <w:t>’</w:t>
      </w:r>
      <w:r>
        <w:t>abuser de la générosité des FPA et de leur faire payer des montants importants qui ne correspondent pas aux coûts réels d</w:t>
      </w:r>
      <w:r w:rsidR="00715ACD">
        <w:t>’</w:t>
      </w:r>
      <w:r>
        <w:t>une adoption dans un État d</w:t>
      </w:r>
      <w:r w:rsidR="00715ACD">
        <w:t>’</w:t>
      </w:r>
      <w:r>
        <w:t>origine. En outre, « des pressions [peuvent être] exercées sur les (futurs) parents adoptifs pour qu</w:t>
      </w:r>
      <w:r w:rsidR="00715ACD">
        <w:t>’</w:t>
      </w:r>
      <w:r>
        <w:t>ils effectuent des paiements qui n</w:t>
      </w:r>
      <w:r w:rsidR="00715ACD">
        <w:t>’</w:t>
      </w:r>
      <w:r>
        <w:t>étaient pas prévus initialement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24.2</w:t>
      </w:r>
      <w:r>
        <w:t>) et / ou des « [p]aiements effectués directement [...] au profit de personnes, d</w:t>
      </w:r>
      <w:r w:rsidR="00715ACD">
        <w:t>’</w:t>
      </w:r>
      <w:r>
        <w:t>organismes ou d</w:t>
      </w:r>
      <w:r w:rsidR="00715ACD">
        <w:t>’</w:t>
      </w:r>
      <w:r>
        <w:t>institutions de l</w:t>
      </w:r>
      <w:r w:rsidR="00715ACD">
        <w:t>’</w:t>
      </w:r>
      <w:r>
        <w:t>État d</w:t>
      </w:r>
      <w:r w:rsidR="00715ACD">
        <w:t>’</w:t>
      </w:r>
      <w:r>
        <w:t>origine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30</w:t>
      </w:r>
      <w:r>
        <w:t>).</w:t>
      </w:r>
    </w:p>
    <w:p w14:paraId="5E79CC68" w14:textId="65F95EEF" w:rsidR="00D529F4" w:rsidRPr="002E65D8" w:rsidRDefault="3A18E8AB" w:rsidP="00D529F4">
      <w:pPr>
        <w:pStyle w:val="PBParagraph"/>
      </w:pPr>
      <w:r>
        <w:lastRenderedPageBreak/>
        <w:t xml:space="preserve">Lorsque les « [f]rais, honoraires, contributions et dons [sont] versés en </w:t>
      </w:r>
      <w:r>
        <w:rPr>
          <w:b/>
          <w:bCs/>
        </w:rPr>
        <w:t>espèces</w:t>
      </w:r>
      <w:r>
        <w:t xml:space="preserve"> et / ou [ne sont </w:t>
      </w:r>
      <w:r>
        <w:rPr>
          <w:b/>
          <w:bCs/>
        </w:rPr>
        <w:t>pas] enregistrés</w:t>
      </w:r>
      <w:r>
        <w:t xml:space="preserve"> (et / ou </w:t>
      </w:r>
      <w:r>
        <w:rPr>
          <w:b/>
          <w:bCs/>
        </w:rPr>
        <w:t>non comptabilisés</w:t>
      </w:r>
      <w:r>
        <w:t>) » (non souligné dans l</w:t>
      </w:r>
      <w:r w:rsidR="00715ACD">
        <w:t>’</w:t>
      </w:r>
      <w:r>
        <w:t>original) (</w:t>
      </w:r>
      <w:r>
        <w:rPr>
          <w:color w:val="FFC000"/>
        </w:rPr>
        <w:t xml:space="preserve">FS3, </w:t>
      </w:r>
      <w:r w:rsidR="00250381">
        <w:rPr>
          <w:color w:val="FFC000"/>
        </w:rPr>
        <w:t>boîte </w:t>
      </w:r>
      <w:r>
        <w:rPr>
          <w:color w:val="FFC000"/>
        </w:rPr>
        <w:t>28</w:t>
      </w:r>
      <w:r>
        <w:t>) ou lorsque le « [p]aiement de frais, d</w:t>
      </w:r>
      <w:r w:rsidR="00715ACD">
        <w:t>’</w:t>
      </w:r>
      <w:r>
        <w:t xml:space="preserve">honoraires, de contributions et de dons [est effectué] </w:t>
      </w:r>
      <w:r>
        <w:rPr>
          <w:b/>
          <w:bCs/>
        </w:rPr>
        <w:t xml:space="preserve">sans facturation </w:t>
      </w:r>
      <w:r>
        <w:t xml:space="preserve">(sauf pour les dons) ni </w:t>
      </w:r>
      <w:r>
        <w:rPr>
          <w:b/>
          <w:bCs/>
        </w:rPr>
        <w:t>reçus</w:t>
      </w:r>
      <w:r>
        <w:t> » (non souligné dans l</w:t>
      </w:r>
      <w:r w:rsidR="00715ACD">
        <w:t>’</w:t>
      </w:r>
      <w:r>
        <w:t>original) (</w:t>
      </w:r>
      <w:r>
        <w:rPr>
          <w:color w:val="FFC000"/>
        </w:rPr>
        <w:t xml:space="preserve">FS3, </w:t>
      </w:r>
      <w:r w:rsidR="00250381">
        <w:rPr>
          <w:color w:val="FFC000"/>
        </w:rPr>
        <w:t>boîte </w:t>
      </w:r>
      <w:r>
        <w:rPr>
          <w:color w:val="FFC000"/>
        </w:rPr>
        <w:t>29</w:t>
      </w:r>
      <w:r>
        <w:t>), il est pour ainsi dire impossible de déterminer où</w:t>
      </w:r>
      <w:r w:rsidR="009C4B89">
        <w:t>,</w:t>
      </w:r>
      <w:r>
        <w:t xml:space="preserve"> ou à qui</w:t>
      </w:r>
      <w:r w:rsidR="009C4B89">
        <w:t>,</w:t>
      </w:r>
      <w:r>
        <w:t xml:space="preserve"> va l</w:t>
      </w:r>
      <w:r w:rsidR="00715ACD">
        <w:t>’</w:t>
      </w:r>
      <w:r>
        <w:t>argent. Même en cas de virements bancaires, les Autorités centrales des États d</w:t>
      </w:r>
      <w:r w:rsidR="00715ACD">
        <w:t>’</w:t>
      </w:r>
      <w:r>
        <w:t>origine peuvent ne pas disposer d</w:t>
      </w:r>
      <w:r w:rsidR="00715ACD">
        <w:t>’</w:t>
      </w:r>
      <w:r>
        <w:t>un compte bancaire officiel et, auquel cas, demander à ce que l</w:t>
      </w:r>
      <w:r w:rsidR="00715ACD">
        <w:t>’</w:t>
      </w:r>
      <w:r>
        <w:t>argent soit versé sur le compte privé d</w:t>
      </w:r>
      <w:r w:rsidR="00715ACD">
        <w:t>’</w:t>
      </w:r>
      <w:r>
        <w:t>un membre de son personnel. De plus, la simple fourniture d</w:t>
      </w:r>
      <w:r w:rsidR="00715ACD">
        <w:t>’</w:t>
      </w:r>
      <w:r>
        <w:t>un reçu n</w:t>
      </w:r>
      <w:r w:rsidR="00715ACD">
        <w:t>’</w:t>
      </w:r>
      <w:r>
        <w:t>est pas une garantie de traçabilité des fonds en cas de versement en espèces.</w:t>
      </w:r>
    </w:p>
    <w:p w14:paraId="051A53B8" w14:textId="0E163571" w:rsidR="009E4234" w:rsidRPr="002E65D8" w:rsidRDefault="3A18E8AB" w:rsidP="0007371B">
      <w:pPr>
        <w:pStyle w:val="PBParagraph"/>
      </w:pPr>
      <w:r>
        <w:t>L</w:t>
      </w:r>
      <w:r w:rsidR="00715ACD">
        <w:t>’</w:t>
      </w:r>
      <w:r>
        <w:t>« </w:t>
      </w:r>
      <w:r>
        <w:rPr>
          <w:b/>
          <w:bCs/>
        </w:rPr>
        <w:t>[u]tilisation projetée ou</w:t>
      </w:r>
      <w:r w:rsidR="00161998">
        <w:rPr>
          <w:b/>
          <w:bCs/>
        </w:rPr>
        <w:t xml:space="preserve"> [la]</w:t>
      </w:r>
      <w:r>
        <w:rPr>
          <w:b/>
          <w:bCs/>
        </w:rPr>
        <w:t xml:space="preserve"> finalité</w:t>
      </w:r>
      <w:r>
        <w:t xml:space="preserve"> de la contribution, du don ou du projet de coopération [peut être] </w:t>
      </w:r>
      <w:r>
        <w:rPr>
          <w:b/>
          <w:bCs/>
        </w:rPr>
        <w:t>vague</w:t>
      </w:r>
      <w:r>
        <w:t> » (non souligné dans l</w:t>
      </w:r>
      <w:r w:rsidR="00715ACD">
        <w:t>’</w:t>
      </w:r>
      <w:r>
        <w:t>original) (</w:t>
      </w:r>
      <w:r>
        <w:rPr>
          <w:color w:val="FFC000"/>
        </w:rPr>
        <w:t xml:space="preserve">FS3, </w:t>
      </w:r>
      <w:r w:rsidR="00250381">
        <w:rPr>
          <w:color w:val="FFC000"/>
        </w:rPr>
        <w:t>boîte </w:t>
      </w:r>
      <w:r>
        <w:rPr>
          <w:color w:val="FFC000"/>
        </w:rPr>
        <w:t>36</w:t>
      </w:r>
      <w:r>
        <w:t>), elle peut ne pas être précisée du tout ou l</w:t>
      </w:r>
      <w:r w:rsidR="00715ACD">
        <w:t>’</w:t>
      </w:r>
      <w:r>
        <w:t xml:space="preserve">être en des termes très généraux : </w:t>
      </w:r>
    </w:p>
    <w:p w14:paraId="0E099A56" w14:textId="33E3A4B5" w:rsidR="008D7386" w:rsidRPr="002E65D8" w:rsidRDefault="00D01A32" w:rsidP="009E4234">
      <w:pPr>
        <w:pStyle w:val="PBBulletList"/>
      </w:pPr>
      <w:r>
        <w:t>S</w:t>
      </w:r>
      <w:r w:rsidR="00715ACD">
        <w:t>’</w:t>
      </w:r>
      <w:r>
        <w:t>agissant des contributions, leur montant est parfois précisé en avance et annoncé aux FPA en toute transparence, mais la finalité n</w:t>
      </w:r>
      <w:r w:rsidR="00715ACD">
        <w:t>’</w:t>
      </w:r>
      <w:r>
        <w:t xml:space="preserve">est pas claire. </w:t>
      </w:r>
    </w:p>
    <w:p w14:paraId="62DCB4F2" w14:textId="77777777" w:rsidR="008D7386" w:rsidRPr="002E65D8" w:rsidRDefault="0088622B" w:rsidP="009E4234">
      <w:pPr>
        <w:pStyle w:val="PBBulletList"/>
      </w:pPr>
      <w:r>
        <w:t xml:space="preserve">En ce qui concerne les dons, leur destination peut également être dissimulée ou floue, les montants des dons étant souvent tenus secrets par les donataires et les bénéficiaires. </w:t>
      </w:r>
    </w:p>
    <w:p w14:paraId="01A3A46D" w14:textId="47C97E43" w:rsidR="00D529F4" w:rsidRPr="002E65D8" w:rsidRDefault="00EB2A35" w:rsidP="008D7386">
      <w:pPr>
        <w:pStyle w:val="PBBulletList"/>
      </w:pPr>
      <w:r>
        <w:t>Dans tous les cas, il peut arriver qu</w:t>
      </w:r>
      <w:r w:rsidR="00715ACD">
        <w:t>’</w:t>
      </w:r>
      <w:r>
        <w:t>on ne sache pas précisément quelle proportion du montant total versé va 1) directement à l</w:t>
      </w:r>
      <w:r w:rsidR="00715ACD">
        <w:t>’</w:t>
      </w:r>
      <w:r>
        <w:t>État d</w:t>
      </w:r>
      <w:r w:rsidR="00715ACD">
        <w:t>’</w:t>
      </w:r>
      <w:r>
        <w:t>origine, 2) à un OAA qui versera l</w:t>
      </w:r>
      <w:r w:rsidR="00715ACD">
        <w:t>’</w:t>
      </w:r>
      <w:r>
        <w:t>argent à l</w:t>
      </w:r>
      <w:r w:rsidR="00715ACD">
        <w:t>’</w:t>
      </w:r>
      <w:r>
        <w:t>Autorité centrale de l</w:t>
      </w:r>
      <w:r w:rsidR="00715ACD">
        <w:t>’</w:t>
      </w:r>
      <w:r>
        <w:t>État d</w:t>
      </w:r>
      <w:r w:rsidR="00715ACD">
        <w:t>’</w:t>
      </w:r>
      <w:r>
        <w:t>origine ou 3) à une institution locale pour enfants. Tout cela peut faciliter la corruption.</w:t>
      </w:r>
    </w:p>
    <w:p w14:paraId="7DE799A0" w14:textId="4DD564E7" w:rsidR="00D529F4" w:rsidRPr="002E65D8" w:rsidRDefault="62D33E80" w:rsidP="00D529F4">
      <w:pPr>
        <w:pStyle w:val="PBParagraph"/>
      </w:pPr>
      <w:r>
        <w:t>L</w:t>
      </w:r>
      <w:r w:rsidR="00715ACD">
        <w:t>’</w:t>
      </w:r>
      <w:r>
        <w:rPr>
          <w:b/>
          <w:bCs/>
        </w:rPr>
        <w:t>absence de coopération</w:t>
      </w:r>
      <w:r>
        <w:t xml:space="preserve"> entre États peut également s</w:t>
      </w:r>
      <w:r w:rsidR="00715ACD">
        <w:t>’</w:t>
      </w:r>
      <w:r>
        <w:t>avérer problématique. Tel peut notamment être le cas lorsqu</w:t>
      </w:r>
      <w:r w:rsidR="00715ACD">
        <w:t>’</w:t>
      </w:r>
      <w:r>
        <w:t>un État d</w:t>
      </w:r>
      <w:r w:rsidR="00715ACD">
        <w:t>’</w:t>
      </w:r>
      <w:r>
        <w:t>origine fait tout son possible pour communiquer des informations sur les coûts, les contributions et les dons, mais que celles-ci ne sont pas relayées aux FPA</w:t>
      </w:r>
      <w:r w:rsidR="00D529F4" w:rsidRPr="002E65D8">
        <w:rPr>
          <w:rStyle w:val="FootnoteReference"/>
        </w:rPr>
        <w:footnoteReference w:id="182"/>
      </w:r>
      <w:r>
        <w:t>. C</w:t>
      </w:r>
      <w:r w:rsidR="00715ACD">
        <w:t>’</w:t>
      </w:r>
      <w:r>
        <w:t>est également le cas lorsque les États d</w:t>
      </w:r>
      <w:r w:rsidR="00715ACD">
        <w:t>’</w:t>
      </w:r>
      <w:r>
        <w:t>accueil n</w:t>
      </w:r>
      <w:r w:rsidR="00715ACD">
        <w:t>’</w:t>
      </w:r>
      <w:r>
        <w:t>expliquent pas aux autorités des États d</w:t>
      </w:r>
      <w:r w:rsidR="00715ACD">
        <w:t>’</w:t>
      </w:r>
      <w:r>
        <w:t>origine comment les OAA sont financés ni comment ils fixent leurs honoraires</w:t>
      </w:r>
      <w:r w:rsidR="00D529F4" w:rsidRPr="002E65D8">
        <w:rPr>
          <w:rStyle w:val="FootnoteReference"/>
        </w:rPr>
        <w:footnoteReference w:id="183"/>
      </w:r>
      <w:r>
        <w:t>.</w:t>
      </w:r>
    </w:p>
    <w:p w14:paraId="38FD7986" w14:textId="0AEC3419" w:rsidR="00D529F4" w:rsidRPr="002E65D8" w:rsidRDefault="00D529F4" w:rsidP="015D103D">
      <w:pPr>
        <w:pStyle w:val="Heading3"/>
      </w:pPr>
      <w:bookmarkStart w:id="121" w:name="_Toc236061680"/>
      <w:r>
        <w:t>Exemples de pratiques en faveur de la transparence</w:t>
      </w:r>
      <w:bookmarkEnd w:id="121"/>
      <w:r>
        <w:t xml:space="preserve"> </w:t>
      </w:r>
    </w:p>
    <w:p w14:paraId="6F2BEC5C" w14:textId="77777777" w:rsidR="00D529F4" w:rsidRPr="002E65D8" w:rsidRDefault="00D529F4" w:rsidP="004047D5">
      <w:pPr>
        <w:pStyle w:val="Heading4"/>
      </w:pPr>
      <w:bookmarkStart w:id="122" w:name="_Ref211256024"/>
      <w:r>
        <w:t>Recueillir des données exhaustives</w:t>
      </w:r>
      <w:bookmarkEnd w:id="122"/>
    </w:p>
    <w:p w14:paraId="7E9C2B74" w14:textId="1E3E6890" w:rsidR="00AD6C63" w:rsidRPr="002E65D8" w:rsidRDefault="00BE6599" w:rsidP="00D529F4">
      <w:pPr>
        <w:pStyle w:val="PBParagraph"/>
      </w:pPr>
      <w:bookmarkStart w:id="123" w:name="_Ref209372013"/>
      <w:r>
        <w:t>Il est crucial de « [v]eiller à la transparence de tous les aspects financiers » (</w:t>
      </w:r>
      <w:r>
        <w:rPr>
          <w:color w:val="00B050"/>
        </w:rPr>
        <w:t xml:space="preserve">FS3, </w:t>
      </w:r>
      <w:r w:rsidR="00250381">
        <w:rPr>
          <w:color w:val="00B050"/>
        </w:rPr>
        <w:t>boîte </w:t>
      </w:r>
      <w:r>
        <w:rPr>
          <w:color w:val="00B050"/>
        </w:rPr>
        <w:t>22.1</w:t>
      </w:r>
      <w:r>
        <w:t>). Recueillir des données financières sur l</w:t>
      </w:r>
      <w:r w:rsidR="00715ACD">
        <w:t>’</w:t>
      </w:r>
      <w:r>
        <w:t>adoption internationale est un outil essentiel pour améliorer la transparence et les États ont différentes méthodes pour y parvenir.</w:t>
      </w:r>
      <w:bookmarkEnd w:id="123"/>
      <w:r>
        <w:t xml:space="preserve"> </w:t>
      </w:r>
    </w:p>
    <w:p w14:paraId="6A24F509" w14:textId="71FF1C71" w:rsidR="00E5036E" w:rsidRPr="002E65D8" w:rsidRDefault="00E5036E" w:rsidP="00E5036E">
      <w:pPr>
        <w:pStyle w:val="PBParagraph"/>
      </w:pPr>
      <w:r>
        <w:t>Les Autorités centrales des États d</w:t>
      </w:r>
      <w:r w:rsidR="00715ACD">
        <w:t>’</w:t>
      </w:r>
      <w:r>
        <w:t>accueil et les OAA devraient recueillir des informations sur les coûts réels, notamment sur tous les frais de traitement des documents par l</w:t>
      </w:r>
      <w:r w:rsidR="00715ACD">
        <w:t>’</w:t>
      </w:r>
      <w:r>
        <w:t xml:space="preserve">autorité compétente </w:t>
      </w:r>
      <w:r>
        <w:rPr>
          <w:b/>
          <w:bCs/>
        </w:rPr>
        <w:t>dans leur État</w:t>
      </w:r>
      <w:r>
        <w:t xml:space="preserve"> et toute modification des coûts. Ils devraient en outre collecter des données sur les différents paiements à effectuer dans les </w:t>
      </w:r>
      <w:r>
        <w:rPr>
          <w:b/>
          <w:bCs/>
        </w:rPr>
        <w:t>différents États d</w:t>
      </w:r>
      <w:r w:rsidR="00715ACD">
        <w:rPr>
          <w:b/>
          <w:bCs/>
        </w:rPr>
        <w:t>’</w:t>
      </w:r>
      <w:r>
        <w:rPr>
          <w:b/>
          <w:bCs/>
        </w:rPr>
        <w:t>origine</w:t>
      </w:r>
      <w:r>
        <w:t xml:space="preserve"> avec lesquels ils travaillent. </w:t>
      </w:r>
    </w:p>
    <w:p w14:paraId="031767BB" w14:textId="72FE458C" w:rsidR="00D529F4" w:rsidRPr="002E65D8" w:rsidRDefault="00AD6C63" w:rsidP="00D529F4">
      <w:pPr>
        <w:pStyle w:val="PBParagraph"/>
      </w:pPr>
      <w:bookmarkStart w:id="124" w:name="_Ref209372014"/>
      <w:r>
        <w:t xml:space="preserve">Comme le recommande la </w:t>
      </w:r>
      <w:r w:rsidR="00283B34">
        <w:t>CS</w:t>
      </w:r>
      <w:r>
        <w:t xml:space="preserve">, les États sont encouragés à compléter les </w:t>
      </w:r>
      <w:r>
        <w:rPr>
          <w:b/>
          <w:bCs/>
        </w:rPr>
        <w:t>Tableaux sur les aspects financiers</w:t>
      </w:r>
      <w:r>
        <w:t>, à les envoyer au BP aux fins de publication sur le site web de la HCCH et à les actualiser annuellement</w:t>
      </w:r>
      <w:r w:rsidRPr="002E65D8">
        <w:rPr>
          <w:rStyle w:val="FootnoteReference"/>
          <w:bCs/>
        </w:rPr>
        <w:footnoteReference w:id="184"/>
      </w:r>
      <w:r>
        <w:t>. Les Tableaux sont conçus pour permettre une plus grande transparence grâce à la compilation des informations dont disposent les États d</w:t>
      </w:r>
      <w:r w:rsidR="00715ACD">
        <w:t>’</w:t>
      </w:r>
      <w:r>
        <w:t>origine et les États d</w:t>
      </w:r>
      <w:r w:rsidR="00715ACD">
        <w:t>’</w:t>
      </w:r>
      <w:r>
        <w:t>accueil sur les frais ainsi que sur les contributions. L</w:t>
      </w:r>
      <w:r w:rsidR="00715ACD">
        <w:t>’</w:t>
      </w:r>
      <w:r>
        <w:t>objectif n</w:t>
      </w:r>
      <w:r w:rsidR="00715ACD">
        <w:t>’</w:t>
      </w:r>
      <w:r>
        <w:t>est pas de donner le « coût total » ferme d</w:t>
      </w:r>
      <w:r w:rsidR="00715ACD">
        <w:t>’</w:t>
      </w:r>
      <w:r>
        <w:t>une adoption internationale, mais plutôt de fournir des informations sur le coût moyen ou une fourchette des frais, ainsi qu</w:t>
      </w:r>
      <w:r w:rsidR="00715ACD">
        <w:t>’</w:t>
      </w:r>
      <w:r>
        <w:t>un aperçu des contributions. Une fois complétés et publiés, ces Tableaux pourront servir de référence aux FPA et à d</w:t>
      </w:r>
      <w:r w:rsidR="00715ACD">
        <w:t>’</w:t>
      </w:r>
      <w:r>
        <w:t>autres acteurs, et leur permettre de savoir si les frais qu</w:t>
      </w:r>
      <w:r w:rsidR="00715ACD">
        <w:t>’</w:t>
      </w:r>
      <w:r>
        <w:t xml:space="preserve">ils rencontrent entrent dans les catégories et fourchettes données. « [L]es </w:t>
      </w:r>
      <w:r>
        <w:lastRenderedPageBreak/>
        <w:t>Autorités centrales, en coopération avec les autorités et organismes compétents, [devraient] renseigne[r] et mett[re] à jour régulièrement les Tableaux [...] sur les aspects financiers » (retrait du gras présent dans l</w:t>
      </w:r>
      <w:r w:rsidR="00715ACD">
        <w:t>’</w:t>
      </w:r>
      <w:r>
        <w:t>orignal) (</w:t>
      </w:r>
      <w:r>
        <w:rPr>
          <w:color w:val="00B050"/>
        </w:rPr>
        <w:t xml:space="preserve">FS3, </w:t>
      </w:r>
      <w:r w:rsidR="00250381">
        <w:rPr>
          <w:color w:val="00B050"/>
        </w:rPr>
        <w:t>boîte </w:t>
      </w:r>
      <w:r>
        <w:rPr>
          <w:color w:val="00B050"/>
        </w:rPr>
        <w:t>22.2</w:t>
      </w:r>
      <w:r>
        <w:t>).</w:t>
      </w:r>
      <w:bookmarkEnd w:id="124"/>
    </w:p>
    <w:p w14:paraId="0788AE25" w14:textId="039514DE" w:rsidR="003D1A5A" w:rsidRPr="002E65D8" w:rsidRDefault="002E7A3B" w:rsidP="003D1A5A">
      <w:pPr>
        <w:pStyle w:val="Blueboxtitle"/>
        <w:spacing w:after="0" w:line="240" w:lineRule="auto"/>
        <w:outlineLvl w:val="2"/>
      </w:pPr>
      <w:bookmarkStart w:id="125" w:name="_Toc236061681"/>
      <w:r>
        <w:t>Boîte</w:t>
      </w:r>
      <w:r w:rsidR="003D1A5A">
        <w:t xml:space="preserve"> 5 : Recueil des données et Tableaux </w:t>
      </w:r>
      <w:r w:rsidR="000050C6">
        <w:t>sur les</w:t>
      </w:r>
      <w:r w:rsidR="003D1A5A">
        <w:t xml:space="preserve"> aspects financiers</w:t>
      </w:r>
      <w:bookmarkEnd w:id="125"/>
    </w:p>
    <w:p w14:paraId="218D74B2" w14:textId="77777777" w:rsidR="003D1A5A" w:rsidRPr="002E65D8" w:rsidRDefault="003D1A5A" w:rsidP="003D1A5A">
      <w:pPr>
        <w:pStyle w:val="Blueboxtitle"/>
        <w:rPr>
          <w:b w:val="0"/>
          <w:bCs w:val="0"/>
        </w:rPr>
      </w:pPr>
      <w:r>
        <w:rPr>
          <w:b w:val="0"/>
        </w:rPr>
        <w:t xml:space="preserve">Quelques exemples de mesures mises en œuvre par les États </w:t>
      </w:r>
    </w:p>
    <w:p w14:paraId="6B4D2E8F" w14:textId="20F918F4" w:rsidR="002E1862" w:rsidRPr="002E65D8" w:rsidRDefault="001163D1" w:rsidP="00017C48">
      <w:pPr>
        <w:pStyle w:val="Bluebox"/>
        <w:rPr>
          <w:szCs w:val="16"/>
        </w:rPr>
      </w:pPr>
      <w:r>
        <w:t>Les Tableaux sur les aspects financiers de plus de 50 États ont été complétés et publiés sur le site web de la HCCH</w:t>
      </w:r>
      <w:r w:rsidR="00D12713" w:rsidRPr="002E65D8">
        <w:rPr>
          <w:rStyle w:val="FootnoteReference"/>
          <w:szCs w:val="16"/>
        </w:rPr>
        <w:footnoteReference w:id="185"/>
      </w:r>
      <w:r>
        <w:t xml:space="preserve">. </w:t>
      </w:r>
    </w:p>
    <w:p w14:paraId="066D3B45" w14:textId="1544538D" w:rsidR="00CB7B6C" w:rsidRPr="002E65D8" w:rsidRDefault="00CB7B6C" w:rsidP="0093545E">
      <w:pPr>
        <w:pStyle w:val="Bluebox"/>
      </w:pPr>
      <w:r>
        <w:t>En Australie (Nouvelle-Galles du Sud), l</w:t>
      </w:r>
      <w:r w:rsidR="00715ACD">
        <w:t>’</w:t>
      </w:r>
      <w:r>
        <w:t>Autorité centrale (ministère des Communautés et de la Justice) publie une fiche de synthèse sur les dépenses liées à l</w:t>
      </w:r>
      <w:r w:rsidR="00715ACD">
        <w:t>’</w:t>
      </w:r>
      <w:r>
        <w:t>adoption internationale, tandis que le site web d</w:t>
      </w:r>
      <w:r w:rsidR="00715ACD">
        <w:t>’</w:t>
      </w:r>
      <w:r>
        <w:t>information du Gouvernement (</w:t>
      </w:r>
      <w:r>
        <w:rPr>
          <w:i/>
          <w:iCs/>
        </w:rPr>
        <w:t>Intercountry Adoption Australia</w:t>
      </w:r>
      <w:r>
        <w:t xml:space="preserve"> </w:t>
      </w:r>
      <w:r w:rsidR="00E86DE2">
        <w:t>–</w:t>
      </w:r>
      <w:r>
        <w:t xml:space="preserve"> Adoption internationale Australie) publie les frais facturés par les États d</w:t>
      </w:r>
      <w:r w:rsidR="00715ACD">
        <w:t>’</w:t>
      </w:r>
      <w:r>
        <w:t>origine avec lesquels il travaille, sur le fondement d</w:t>
      </w:r>
      <w:r w:rsidR="00E86DE2">
        <w:t xml:space="preserve">es </w:t>
      </w:r>
      <w:r>
        <w:t>informations actualisées</w:t>
      </w:r>
      <w:r w:rsidR="00E86DE2">
        <w:t xml:space="preserve"> à sa disposition</w:t>
      </w:r>
      <w:r w:rsidR="00473AAF" w:rsidRPr="002E65D8">
        <w:rPr>
          <w:rStyle w:val="FootnoteReference"/>
          <w:szCs w:val="16"/>
        </w:rPr>
        <w:footnoteReference w:id="186"/>
      </w:r>
      <w:r>
        <w:t>.</w:t>
      </w:r>
    </w:p>
    <w:p w14:paraId="5C60E1D1" w14:textId="106ACA73" w:rsidR="002F2166" w:rsidRPr="002E65D8" w:rsidRDefault="00040F25" w:rsidP="00017C48">
      <w:pPr>
        <w:pStyle w:val="Bluebox"/>
        <w:rPr>
          <w:szCs w:val="16"/>
        </w:rPr>
      </w:pPr>
      <w:r>
        <w:t xml:space="preserve">En Bulgarie, les OAA bulgares sont tenus de publier sur leur site les Tableaux sur les aspects financiers. Le ministère de la Justice </w:t>
      </w:r>
      <w:r w:rsidR="00C345EC">
        <w:t>s</w:t>
      </w:r>
      <w:r w:rsidR="00715ACD">
        <w:t>’</w:t>
      </w:r>
      <w:r w:rsidR="00C345EC">
        <w:t>assure du</w:t>
      </w:r>
      <w:r>
        <w:t xml:space="preserve"> respect de cette obligation</w:t>
      </w:r>
      <w:r w:rsidRPr="002E65D8">
        <w:rPr>
          <w:rStyle w:val="FootnoteReference"/>
          <w:szCs w:val="16"/>
        </w:rPr>
        <w:footnoteReference w:id="187"/>
      </w:r>
      <w:r>
        <w:t>.</w:t>
      </w:r>
    </w:p>
    <w:p w14:paraId="2368E96D" w14:textId="562BD251" w:rsidR="00040490" w:rsidRPr="002E65D8" w:rsidRDefault="00040490" w:rsidP="00214403">
      <w:pPr>
        <w:pStyle w:val="Bluebox"/>
        <w:rPr>
          <w:szCs w:val="16"/>
        </w:rPr>
      </w:pPr>
      <w:r>
        <w:t>En Espagne, les Tableaux sur les aspects financiers figurent dans le Registre public national des OAA</w:t>
      </w:r>
      <w:r w:rsidRPr="002E65D8">
        <w:rPr>
          <w:rStyle w:val="FootnoteReference"/>
          <w:szCs w:val="16"/>
        </w:rPr>
        <w:footnoteReference w:id="188"/>
      </w:r>
      <w:r>
        <w:t xml:space="preserve">. En outre, dans la Communauté de Madrid précisément, les OAA sont tenus de procéder à un audit annuel : ils </w:t>
      </w:r>
      <w:r w:rsidR="00626A43">
        <w:t xml:space="preserve">conservent </w:t>
      </w:r>
      <w:r>
        <w:t xml:space="preserve">dans un </w:t>
      </w:r>
      <w:r w:rsidR="00DE7A26">
        <w:t>fichier</w:t>
      </w:r>
      <w:r>
        <w:t xml:space="preserve"> unique l</w:t>
      </w:r>
      <w:r w:rsidR="00715ACD">
        <w:t>’</w:t>
      </w:r>
      <w:r>
        <w:t>ensemble des dossiers traités par l</w:t>
      </w:r>
      <w:r w:rsidR="00715ACD">
        <w:t>’</w:t>
      </w:r>
      <w:r>
        <w:t>OAA, organisés en dossiers individuels contenant : le contrat signé avec les FPA, les documents prouvant l</w:t>
      </w:r>
      <w:r w:rsidR="00715ACD">
        <w:t>’</w:t>
      </w:r>
      <w:r>
        <w:t xml:space="preserve">envoi et la présentation de la demande des FPA </w:t>
      </w:r>
      <w:r w:rsidR="00626A43">
        <w:t xml:space="preserve">au représentant de </w:t>
      </w:r>
      <w:r>
        <w:t>l</w:t>
      </w:r>
      <w:r w:rsidR="00715ACD">
        <w:t>’</w:t>
      </w:r>
      <w:r>
        <w:t>OAA dans l</w:t>
      </w:r>
      <w:r w:rsidR="00715ACD">
        <w:t>’</w:t>
      </w:r>
      <w:r>
        <w:t>État d</w:t>
      </w:r>
      <w:r w:rsidR="00715ACD">
        <w:t>’</w:t>
      </w:r>
      <w:r>
        <w:t>origine, la proposition d</w:t>
      </w:r>
      <w:r w:rsidR="00715ACD">
        <w:t>’</w:t>
      </w:r>
      <w:r>
        <w:t>apparentement, les documents d</w:t>
      </w:r>
      <w:r w:rsidR="00715ACD">
        <w:t>’</w:t>
      </w:r>
      <w:r>
        <w:t>acceptation et toute information écrite transmise par les FPA. Doivent également y figurer, les factures des autres services fournis aux FPA, ainsi que les justificatifs de paiements et de virements effectués à raison du traitement de leur dossier</w:t>
      </w:r>
      <w:r w:rsidR="003D5CA8" w:rsidRPr="002E65D8">
        <w:rPr>
          <w:rStyle w:val="FootnoteReference"/>
          <w:szCs w:val="16"/>
        </w:rPr>
        <w:footnoteReference w:id="189"/>
      </w:r>
      <w:r>
        <w:t>.</w:t>
      </w:r>
    </w:p>
    <w:p w14:paraId="768A87BC" w14:textId="5AA07C90" w:rsidR="007F5FE3" w:rsidRPr="002E65D8" w:rsidRDefault="0074179A" w:rsidP="00214403">
      <w:pPr>
        <w:pStyle w:val="Bluebox"/>
        <w:rPr>
          <w:szCs w:val="16"/>
        </w:rPr>
      </w:pPr>
      <w:r>
        <w:t>En Suisse, l</w:t>
      </w:r>
      <w:r w:rsidR="00715ACD">
        <w:t>’</w:t>
      </w:r>
      <w:r>
        <w:t>Autorité centrale fédérale exige un tableau détaillé des coûts que les OAA sont tenus de remplir pour obtenir leur agrément ou le renouvellement de celui-ci</w:t>
      </w:r>
      <w:r w:rsidRPr="002E65D8">
        <w:rPr>
          <w:rStyle w:val="FootnoteReference"/>
          <w:szCs w:val="16"/>
        </w:rPr>
        <w:footnoteReference w:id="190"/>
      </w:r>
      <w:r>
        <w:t>.</w:t>
      </w:r>
    </w:p>
    <w:p w14:paraId="44F6EDD3" w14:textId="6A0F9AAB" w:rsidR="00D529F4" w:rsidRPr="002E65D8" w:rsidRDefault="00D529F4" w:rsidP="004047D5">
      <w:pPr>
        <w:pStyle w:val="Heading4"/>
      </w:pPr>
      <w:bookmarkStart w:id="126" w:name="_Ref211256033"/>
      <w:r>
        <w:t>Fournir des informations exactes et à jour</w:t>
      </w:r>
      <w:bookmarkEnd w:id="126"/>
    </w:p>
    <w:p w14:paraId="500E9264" w14:textId="11ACC7F0" w:rsidR="00D529F4" w:rsidRPr="002E65D8" w:rsidRDefault="00D529F4" w:rsidP="00D529F4">
      <w:pPr>
        <w:pStyle w:val="PBParagraph"/>
      </w:pPr>
      <w:bookmarkStart w:id="127" w:name="_Ref210988132"/>
      <w:r>
        <w:t xml:space="preserve">Les </w:t>
      </w:r>
      <w:r>
        <w:rPr>
          <w:b/>
          <w:bCs/>
        </w:rPr>
        <w:t>Autorités centrales</w:t>
      </w:r>
      <w:r>
        <w:t xml:space="preserve"> devraient </w:t>
      </w:r>
      <w:r>
        <w:rPr>
          <w:b/>
          <w:bCs/>
        </w:rPr>
        <w:t>communiquer le détail des frais</w:t>
      </w:r>
      <w:r>
        <w:t xml:space="preserve"> associés à leurs services d</w:t>
      </w:r>
      <w:r w:rsidR="00715ACD">
        <w:t>’</w:t>
      </w:r>
      <w:r>
        <w:t xml:space="preserve">adoption et, le cas échéant, la </w:t>
      </w:r>
      <w:r>
        <w:rPr>
          <w:b/>
          <w:bCs/>
        </w:rPr>
        <w:t>contribution</w:t>
      </w:r>
      <w:r>
        <w:t xml:space="preserve"> qu</w:t>
      </w:r>
      <w:r w:rsidR="00715ACD">
        <w:t>’</w:t>
      </w:r>
      <w:r>
        <w:t>elles demandent.</w:t>
      </w:r>
      <w:bookmarkEnd w:id="127"/>
      <w:r>
        <w:t xml:space="preserve"> </w:t>
      </w:r>
    </w:p>
    <w:p w14:paraId="228DAECD" w14:textId="308B9D9A" w:rsidR="003D1A5A" w:rsidRPr="002E65D8" w:rsidRDefault="002E7A3B" w:rsidP="003D1A5A">
      <w:pPr>
        <w:pStyle w:val="Blueboxtitle"/>
        <w:spacing w:after="0" w:line="240" w:lineRule="auto"/>
        <w:outlineLvl w:val="2"/>
      </w:pPr>
      <w:bookmarkStart w:id="128" w:name="_Toc236061682"/>
      <w:r>
        <w:t>Boîte</w:t>
      </w:r>
      <w:r w:rsidR="003D1A5A">
        <w:t> 6 : Informations transmises par les autorités</w:t>
      </w:r>
      <w:bookmarkEnd w:id="128"/>
    </w:p>
    <w:p w14:paraId="3077AC71" w14:textId="77777777" w:rsidR="003D1A5A" w:rsidRPr="002E65D8" w:rsidRDefault="003D1A5A" w:rsidP="003D1A5A">
      <w:pPr>
        <w:pStyle w:val="Blueboxtitle"/>
        <w:rPr>
          <w:b w:val="0"/>
          <w:bCs w:val="0"/>
        </w:rPr>
      </w:pPr>
      <w:r>
        <w:rPr>
          <w:b w:val="0"/>
        </w:rPr>
        <w:t xml:space="preserve">Quelques exemples de mesures mises en œuvre par les États </w:t>
      </w:r>
    </w:p>
    <w:p w14:paraId="56086018" w14:textId="0E91166D" w:rsidR="00D150C8" w:rsidRPr="002E65D8" w:rsidRDefault="00CA69A9" w:rsidP="00017C48">
      <w:pPr>
        <w:pStyle w:val="Bluebox"/>
        <w:rPr>
          <w:szCs w:val="16"/>
        </w:rPr>
      </w:pPr>
      <w:r>
        <w:t xml:space="preserve">En Belgique, </w:t>
      </w:r>
      <w:r w:rsidR="00D8448E">
        <w:t xml:space="preserve">tous </w:t>
      </w:r>
      <w:r>
        <w:t>les frais liés à la procédure d</w:t>
      </w:r>
      <w:r w:rsidR="00715ACD">
        <w:t>’</w:t>
      </w:r>
      <w:r>
        <w:t xml:space="preserve">adoption sont clairement énoncés par les </w:t>
      </w:r>
      <w:r w:rsidRPr="00781FD6">
        <w:rPr>
          <w:bCs/>
        </w:rPr>
        <w:t>autorités compétentes</w:t>
      </w:r>
      <w:r w:rsidR="00D8448E">
        <w:t xml:space="preserve">, </w:t>
      </w:r>
      <w:r>
        <w:t>en toute transparence</w:t>
      </w:r>
      <w:r w:rsidR="00D8448E">
        <w:t>,</w:t>
      </w:r>
      <w:r>
        <w:t xml:space="preserve"> sur les plateformes officielles liées à l</w:t>
      </w:r>
      <w:r w:rsidR="00715ACD">
        <w:t>’</w:t>
      </w:r>
      <w:r>
        <w:t>adoption</w:t>
      </w:r>
      <w:r w:rsidRPr="002E65D8">
        <w:rPr>
          <w:rStyle w:val="FootnoteReference"/>
          <w:szCs w:val="16"/>
        </w:rPr>
        <w:footnoteReference w:id="191"/>
      </w:r>
      <w:r>
        <w:t xml:space="preserve">. </w:t>
      </w:r>
    </w:p>
    <w:p w14:paraId="670CE0FE" w14:textId="665B459B" w:rsidR="00D529F4" w:rsidRPr="002E65D8" w:rsidRDefault="007C359F" w:rsidP="00017C48">
      <w:pPr>
        <w:pStyle w:val="Bluebox"/>
        <w:rPr>
          <w:szCs w:val="16"/>
        </w:rPr>
      </w:pPr>
      <w:r>
        <w:t xml:space="preserve">Au Burkina Faso, </w:t>
      </w:r>
      <w:r w:rsidRPr="00781FD6">
        <w:t>l</w:t>
      </w:r>
      <w:r w:rsidR="00715ACD">
        <w:t>’</w:t>
      </w:r>
      <w:r w:rsidRPr="00781FD6">
        <w:rPr>
          <w:bCs/>
        </w:rPr>
        <w:t>Autorité centrale</w:t>
      </w:r>
      <w:r>
        <w:t xml:space="preserve"> a publié un Manuel sur la procédure d</w:t>
      </w:r>
      <w:r w:rsidR="00715ACD">
        <w:t>’</w:t>
      </w:r>
      <w:r>
        <w:t>adoption, qui présente les dépenses liées à une adoption</w:t>
      </w:r>
      <w:r w:rsidR="00D529F4" w:rsidRPr="002E65D8">
        <w:rPr>
          <w:rStyle w:val="FootnoteReference"/>
          <w:szCs w:val="16"/>
        </w:rPr>
        <w:footnoteReference w:id="192"/>
      </w:r>
      <w:r>
        <w:t>.</w:t>
      </w:r>
    </w:p>
    <w:p w14:paraId="20D26A23" w14:textId="0FBC9214" w:rsidR="00230D60" w:rsidRPr="002E65D8" w:rsidRDefault="00230D60" w:rsidP="00230D60">
      <w:pPr>
        <w:pStyle w:val="Bluebox"/>
        <w:rPr>
          <w:szCs w:val="16"/>
        </w:rPr>
      </w:pPr>
      <w:r>
        <w:t>Au Cambodge, le site web de l</w:t>
      </w:r>
      <w:r w:rsidR="00715ACD">
        <w:t>’</w:t>
      </w:r>
      <w:r>
        <w:t xml:space="preserve">Autorité centrale </w:t>
      </w:r>
      <w:r w:rsidR="00B7448C">
        <w:t>énumère</w:t>
      </w:r>
      <w:r>
        <w:t xml:space="preserve"> les frais à la charge des FPA</w:t>
      </w:r>
      <w:r w:rsidRPr="002E65D8">
        <w:rPr>
          <w:rStyle w:val="FootnoteReference"/>
          <w:szCs w:val="16"/>
        </w:rPr>
        <w:footnoteReference w:id="193"/>
      </w:r>
      <w:r>
        <w:t>.</w:t>
      </w:r>
    </w:p>
    <w:p w14:paraId="74205187" w14:textId="0E9DC64D" w:rsidR="00D529F4" w:rsidRPr="002E65D8" w:rsidRDefault="00D529F4" w:rsidP="00017C48">
      <w:pPr>
        <w:pStyle w:val="Bluebox"/>
        <w:rPr>
          <w:szCs w:val="16"/>
        </w:rPr>
      </w:pPr>
      <w:r>
        <w:t>En Côte d</w:t>
      </w:r>
      <w:r w:rsidR="00715ACD">
        <w:t>’</w:t>
      </w:r>
      <w:r>
        <w:t xml:space="preserve">Ivoire, un </w:t>
      </w:r>
      <w:r w:rsidRPr="00781FD6">
        <w:rPr>
          <w:bCs/>
        </w:rPr>
        <w:t>décret</w:t>
      </w:r>
      <w:r>
        <w:t xml:space="preserve"> fixe les coûts d</w:t>
      </w:r>
      <w:r w:rsidR="00715ACD">
        <w:t>’</w:t>
      </w:r>
      <w:r>
        <w:t>une adoption internationale</w:t>
      </w:r>
      <w:r w:rsidR="006E3FEB" w:rsidRPr="002E65D8">
        <w:rPr>
          <w:rStyle w:val="FootnoteReference"/>
          <w:szCs w:val="16"/>
        </w:rPr>
        <w:footnoteReference w:id="194"/>
      </w:r>
      <w:r>
        <w:t>.</w:t>
      </w:r>
    </w:p>
    <w:p w14:paraId="5AB90740" w14:textId="26166BD1" w:rsidR="00230D60" w:rsidRPr="002E65D8" w:rsidRDefault="00230D60" w:rsidP="00230D60">
      <w:pPr>
        <w:pStyle w:val="Bluebox"/>
        <w:rPr>
          <w:szCs w:val="16"/>
        </w:rPr>
      </w:pPr>
      <w:r>
        <w:t>En France, le site web de l</w:t>
      </w:r>
      <w:r w:rsidR="00715ACD">
        <w:t>’</w:t>
      </w:r>
      <w:r>
        <w:t>Autorité centrale précise, par État d</w:t>
      </w:r>
      <w:r w:rsidR="00715ACD">
        <w:t>’</w:t>
      </w:r>
      <w:r>
        <w:t>origine, les frais dont les FPA doivent s</w:t>
      </w:r>
      <w:r w:rsidR="00715ACD">
        <w:t>’</w:t>
      </w:r>
      <w:r>
        <w:t>acquitter auprès de l</w:t>
      </w:r>
      <w:r w:rsidR="00715ACD">
        <w:t>’</w:t>
      </w:r>
      <w:r>
        <w:t>OAA</w:t>
      </w:r>
      <w:r w:rsidRPr="002E65D8">
        <w:rPr>
          <w:rStyle w:val="FootnoteReference"/>
          <w:szCs w:val="16"/>
        </w:rPr>
        <w:footnoteReference w:id="195"/>
      </w:r>
      <w:r>
        <w:t xml:space="preserve">. </w:t>
      </w:r>
    </w:p>
    <w:p w14:paraId="3E6949C4" w14:textId="4E70BE12" w:rsidR="00230D60" w:rsidRPr="002E65D8" w:rsidRDefault="00230D60" w:rsidP="00230D60">
      <w:pPr>
        <w:pStyle w:val="Bluebox"/>
        <w:rPr>
          <w:szCs w:val="16"/>
        </w:rPr>
      </w:pPr>
      <w:r>
        <w:t>En Norvège, les OAA norvégiens publient les frais qu</w:t>
      </w:r>
      <w:r w:rsidR="00715ACD">
        <w:t>’</w:t>
      </w:r>
      <w:r>
        <w:t>ils facturent sur leur site web</w:t>
      </w:r>
      <w:r w:rsidRPr="002E65D8">
        <w:rPr>
          <w:rStyle w:val="FootnoteReference"/>
          <w:szCs w:val="16"/>
        </w:rPr>
        <w:footnoteReference w:id="196"/>
      </w:r>
      <w:r>
        <w:t>.</w:t>
      </w:r>
    </w:p>
    <w:p w14:paraId="13E983D0" w14:textId="5290EDB4" w:rsidR="00581C01" w:rsidRPr="002E65D8" w:rsidRDefault="00581C01" w:rsidP="00017C48">
      <w:pPr>
        <w:pStyle w:val="Bluebox"/>
        <w:rPr>
          <w:szCs w:val="16"/>
        </w:rPr>
      </w:pPr>
      <w:r>
        <w:t xml:space="preserve">Aux Philippines, le montant des frais et des dépenses figure sur le site web de </w:t>
      </w:r>
      <w:r w:rsidRPr="00781FD6">
        <w:t>l</w:t>
      </w:r>
      <w:r w:rsidR="00715ACD">
        <w:t>’</w:t>
      </w:r>
      <w:r w:rsidRPr="00781FD6">
        <w:rPr>
          <w:bCs/>
        </w:rPr>
        <w:t>Autorité centrale</w:t>
      </w:r>
      <w:bookmarkStart w:id="129" w:name="_Ref203985327"/>
      <w:r w:rsidR="00E87461" w:rsidRPr="002E65D8">
        <w:rPr>
          <w:rStyle w:val="FootnoteReference"/>
          <w:szCs w:val="16"/>
        </w:rPr>
        <w:footnoteReference w:id="197"/>
      </w:r>
      <w:bookmarkEnd w:id="129"/>
      <w:r w:rsidR="003A38E2">
        <w:rPr>
          <w:b/>
          <w:bCs/>
        </w:rPr>
        <w:t>.</w:t>
      </w:r>
    </w:p>
    <w:p w14:paraId="0EF4A0B8" w14:textId="1EFEEF2B" w:rsidR="00495256" w:rsidRPr="002E65D8" w:rsidRDefault="00495256" w:rsidP="00017C48">
      <w:pPr>
        <w:pStyle w:val="Bluebox"/>
        <w:rPr>
          <w:szCs w:val="16"/>
        </w:rPr>
      </w:pPr>
      <w:r>
        <w:t>Au Sénégal, l</w:t>
      </w:r>
      <w:r w:rsidR="00715ACD">
        <w:t>’</w:t>
      </w:r>
      <w:r>
        <w:t>Autorité centrale a publié un Guide relatif à l</w:t>
      </w:r>
      <w:r w:rsidR="00715ACD">
        <w:t>’</w:t>
      </w:r>
      <w:r>
        <w:t>adoption internationale, qui présente les dépenses liées à une adoption</w:t>
      </w:r>
      <w:r w:rsidR="006C720C" w:rsidRPr="002E65D8">
        <w:rPr>
          <w:rStyle w:val="FootnoteReference"/>
          <w:szCs w:val="16"/>
        </w:rPr>
        <w:footnoteReference w:id="198"/>
      </w:r>
      <w:r>
        <w:t>.</w:t>
      </w:r>
    </w:p>
    <w:p w14:paraId="2BD1368B" w14:textId="2B162F98" w:rsidR="00C63ED6" w:rsidRPr="002E65D8" w:rsidRDefault="00D529F4" w:rsidP="00017C48">
      <w:pPr>
        <w:pStyle w:val="Bluebox"/>
        <w:rPr>
          <w:szCs w:val="16"/>
        </w:rPr>
      </w:pPr>
      <w:r>
        <w:lastRenderedPageBreak/>
        <w:t xml:space="preserve">En Suisse, </w:t>
      </w:r>
      <w:r w:rsidRPr="00781FD6">
        <w:t>l</w:t>
      </w:r>
      <w:r w:rsidR="00715ACD">
        <w:t>’</w:t>
      </w:r>
      <w:r w:rsidRPr="00781FD6">
        <w:rPr>
          <w:bCs/>
        </w:rPr>
        <w:t>Autorité centrale</w:t>
      </w:r>
      <w:r>
        <w:t xml:space="preserve"> fédérale indique le montant forfaitaire facturé pour ses services dans chaque cas et les montants additionnels qui peuvent être demandés lorsque la procédure est particulièrement longue ou engendre des frais supplémentaires pour la transmission du dossier</w:t>
      </w:r>
      <w:bookmarkStart w:id="130" w:name="_Ref190714826"/>
      <w:r w:rsidRPr="002E65D8">
        <w:rPr>
          <w:rStyle w:val="FootnoteReference"/>
          <w:szCs w:val="16"/>
        </w:rPr>
        <w:footnoteReference w:id="199"/>
      </w:r>
      <w:bookmarkEnd w:id="130"/>
      <w:r w:rsidR="003A38E2">
        <w:t>.</w:t>
      </w:r>
    </w:p>
    <w:p w14:paraId="5BC419E4" w14:textId="362CF078" w:rsidR="00D529F4" w:rsidRPr="002E65D8" w:rsidRDefault="00D529F4" w:rsidP="00D529F4">
      <w:pPr>
        <w:pStyle w:val="PBParagraph"/>
      </w:pPr>
      <w:bookmarkStart w:id="131" w:name="_Ref210988133"/>
      <w:r>
        <w:t xml:space="preserve">Les </w:t>
      </w:r>
      <w:r w:rsidRPr="00A62872">
        <w:rPr>
          <w:b/>
        </w:rPr>
        <w:t>OAA</w:t>
      </w:r>
      <w:r>
        <w:t xml:space="preserve"> devraient </w:t>
      </w:r>
      <w:r>
        <w:rPr>
          <w:b/>
          <w:bCs/>
        </w:rPr>
        <w:t>communiquer le détail des frais</w:t>
      </w:r>
      <w:r>
        <w:t xml:space="preserve"> des services d</w:t>
      </w:r>
      <w:r w:rsidR="00715ACD">
        <w:t>’</w:t>
      </w:r>
      <w:r>
        <w:t xml:space="preserve">adoption et des </w:t>
      </w:r>
      <w:r>
        <w:rPr>
          <w:b/>
          <w:bCs/>
        </w:rPr>
        <w:t>contributions</w:t>
      </w:r>
      <w:r>
        <w:t xml:space="preserve"> associés à chacun des États pour lesquels ils sont agréés et autorisés. Ils peuvent notamment le faire au moyen d</w:t>
      </w:r>
      <w:r w:rsidR="00715ACD">
        <w:t>’</w:t>
      </w:r>
      <w:r>
        <w:t>une publication sur leur site web. Les Autorités centrales des États d</w:t>
      </w:r>
      <w:r w:rsidR="00715ACD">
        <w:t>’</w:t>
      </w:r>
      <w:r>
        <w:t>origine et des États d</w:t>
      </w:r>
      <w:r w:rsidR="00715ACD">
        <w:t>’</w:t>
      </w:r>
      <w:r>
        <w:t>accueil devraient être informées des coûts et être en mesure de renseigner toute personne au sujet des frais facturés par l</w:t>
      </w:r>
      <w:r w:rsidR="00715ACD">
        <w:t>’</w:t>
      </w:r>
      <w:r>
        <w:t>ensemble des OAA travaillant sur leur territoire. La fonction de surveillance de l</w:t>
      </w:r>
      <w:r w:rsidR="00715ACD">
        <w:t>’</w:t>
      </w:r>
      <w:r>
        <w:t>Autorité centrale est cruciale dans ce contexte. Il devrait être demandé aux OAA de remonter régulièrement ces informations financières à l</w:t>
      </w:r>
      <w:r w:rsidR="00715ACD">
        <w:t>’</w:t>
      </w:r>
      <w:r>
        <w:t>Autorité centrale.</w:t>
      </w:r>
      <w:bookmarkEnd w:id="131"/>
      <w:r>
        <w:t xml:space="preserve"> Dans l</w:t>
      </w:r>
      <w:r w:rsidR="00715ACD">
        <w:t>’</w:t>
      </w:r>
      <w:r>
        <w:t>éventualité où un OAA renvoie des FPA vers des prestataires de services autres que l</w:t>
      </w:r>
      <w:r w:rsidR="00715ACD">
        <w:t>’</w:t>
      </w:r>
      <w:r>
        <w:t>adoption, il devrait informer l</w:t>
      </w:r>
      <w:r w:rsidR="00715ACD">
        <w:t>’</w:t>
      </w:r>
      <w:r>
        <w:t>Autorité centrale et les FPA de tout lien institutionnel, financier ou familial avec ces prestataires.</w:t>
      </w:r>
    </w:p>
    <w:p w14:paraId="6B6478D9" w14:textId="6737F276" w:rsidR="00604BC2" w:rsidRPr="002E65D8" w:rsidRDefault="002E7A3B" w:rsidP="00604BC2">
      <w:pPr>
        <w:pStyle w:val="Blueboxtitle"/>
        <w:spacing w:after="0" w:line="240" w:lineRule="auto"/>
        <w:outlineLvl w:val="2"/>
      </w:pPr>
      <w:bookmarkStart w:id="132" w:name="_Toc236061683"/>
      <w:r>
        <w:t>Boîte</w:t>
      </w:r>
      <w:r w:rsidR="00604BC2">
        <w:t> 7 : Informations transmises par les OAA</w:t>
      </w:r>
      <w:bookmarkEnd w:id="132"/>
    </w:p>
    <w:p w14:paraId="087CFA59" w14:textId="77777777" w:rsidR="00604BC2" w:rsidRPr="002E65D8" w:rsidRDefault="00604BC2" w:rsidP="00604BC2">
      <w:pPr>
        <w:pStyle w:val="Blueboxtitle"/>
        <w:rPr>
          <w:b w:val="0"/>
          <w:bCs w:val="0"/>
        </w:rPr>
      </w:pPr>
      <w:r>
        <w:rPr>
          <w:b w:val="0"/>
        </w:rPr>
        <w:t xml:space="preserve">Quelques exemples de mesures mises en œuvre par les États </w:t>
      </w:r>
    </w:p>
    <w:p w14:paraId="15486F67" w14:textId="6F1CB62F" w:rsidR="00113853" w:rsidRPr="002E65D8" w:rsidRDefault="00113853" w:rsidP="00113853">
      <w:pPr>
        <w:pStyle w:val="Bluebox"/>
        <w:rPr>
          <w:szCs w:val="16"/>
        </w:rPr>
      </w:pPr>
      <w:r>
        <w:t xml:space="preserve">En Bulgarie, les </w:t>
      </w:r>
      <w:r w:rsidRPr="00E600DB">
        <w:rPr>
          <w:bCs/>
        </w:rPr>
        <w:t>OAA</w:t>
      </w:r>
      <w:r>
        <w:t xml:space="preserve"> sont tenus de </w:t>
      </w:r>
      <w:r w:rsidRPr="00E600DB">
        <w:rPr>
          <w:bCs/>
        </w:rPr>
        <w:t>publier</w:t>
      </w:r>
      <w:r>
        <w:t xml:space="preserve"> sur leur site web </w:t>
      </w:r>
      <w:r w:rsidRPr="00E600DB">
        <w:rPr>
          <w:bCs/>
        </w:rPr>
        <w:t>les Tableaux sur les aspects financiers</w:t>
      </w:r>
      <w:r>
        <w:t xml:space="preserve"> ainsi que les coûts liés à l</w:t>
      </w:r>
      <w:r w:rsidR="00715ACD">
        <w:t>’</w:t>
      </w:r>
      <w:r>
        <w:t>adoption internationale</w:t>
      </w:r>
      <w:r w:rsidR="003E07BC">
        <w:t>.</w:t>
      </w:r>
      <w:r>
        <w:t xml:space="preserve"> Le ministère de la Justice contrôle ce processus et veille à la transparence de la procédure d</w:t>
      </w:r>
      <w:r w:rsidR="00715ACD">
        <w:t>’</w:t>
      </w:r>
      <w:r>
        <w:t>adoption</w:t>
      </w:r>
      <w:r w:rsidRPr="002E65D8">
        <w:rPr>
          <w:rStyle w:val="FootnoteReference"/>
          <w:szCs w:val="16"/>
        </w:rPr>
        <w:footnoteReference w:id="200"/>
      </w:r>
      <w:r>
        <w:t>.</w:t>
      </w:r>
    </w:p>
    <w:p w14:paraId="0141CE26" w14:textId="21D99DEC" w:rsidR="00A66442" w:rsidRPr="002E65D8" w:rsidRDefault="00A66442" w:rsidP="00A66442">
      <w:pPr>
        <w:pStyle w:val="Bluebox"/>
        <w:numPr>
          <w:ilvl w:val="0"/>
          <w:numId w:val="1"/>
        </w:numPr>
        <w:rPr>
          <w:szCs w:val="16"/>
        </w:rPr>
      </w:pPr>
      <w:r>
        <w:t xml:space="preserve">Au Canada (Colombie-Britannique), la loi exige de chaque </w:t>
      </w:r>
      <w:r w:rsidRPr="00E600DB">
        <w:rPr>
          <w:bCs/>
        </w:rPr>
        <w:t>OAA</w:t>
      </w:r>
      <w:r>
        <w:t xml:space="preserve"> qu</w:t>
      </w:r>
      <w:r w:rsidR="00715ACD">
        <w:t>’</w:t>
      </w:r>
      <w:r>
        <w:t xml:space="preserve">il mette à disposition de toute personne </w:t>
      </w:r>
      <w:r w:rsidR="003920A7">
        <w:t>sa</w:t>
      </w:r>
      <w:r>
        <w:t xml:space="preserve"> grille tarifaire. </w:t>
      </w:r>
      <w:r w:rsidR="00A36BEF">
        <w:t>Les OAA</w:t>
      </w:r>
      <w:r>
        <w:t xml:space="preserve"> doivent donc faire preuve de transparence en matière de coûts, soit en les publiant sur leur site web, soit en fournissant les informations par écrit aux FPA</w:t>
      </w:r>
      <w:r w:rsidR="002C3A3D" w:rsidRPr="003A38E2">
        <w:rPr>
          <w:rStyle w:val="FootnoteReference"/>
          <w:iCs/>
          <w:szCs w:val="16"/>
        </w:rPr>
        <w:footnoteReference w:id="201"/>
      </w:r>
      <w:r>
        <w:t>.</w:t>
      </w:r>
    </w:p>
    <w:p w14:paraId="66B3BA56" w14:textId="77777777" w:rsidR="000F7947" w:rsidRPr="002E65D8" w:rsidRDefault="000F7947" w:rsidP="000F7947">
      <w:pPr>
        <w:pStyle w:val="Bluebox"/>
        <w:rPr>
          <w:szCs w:val="16"/>
        </w:rPr>
      </w:pPr>
      <w:r>
        <w:t xml:space="preserve">Au Chili, l’Autorité centrale exige des </w:t>
      </w:r>
      <w:r w:rsidRPr="00E600DB">
        <w:rPr>
          <w:bCs/>
        </w:rPr>
        <w:t>OAA</w:t>
      </w:r>
      <w:r>
        <w:t xml:space="preserve"> nationaux qu’ils publient sur leur site web respectif les coûts qu’ils pratiquent en matière d’adoption. Les représentants des OAA étrangers doivent informer les FPA des coûts d’une adoption, tant au Chili que dans l’État d’accueil</w:t>
      </w:r>
      <w:r w:rsidRPr="002E65D8">
        <w:rPr>
          <w:rStyle w:val="FootnoteReference"/>
          <w:szCs w:val="16"/>
        </w:rPr>
        <w:footnoteReference w:id="202"/>
      </w:r>
      <w:r>
        <w:t xml:space="preserve">. </w:t>
      </w:r>
    </w:p>
    <w:p w14:paraId="4801D975" w14:textId="01BBCE6B" w:rsidR="00C92468" w:rsidRPr="002E65D8" w:rsidRDefault="00C92468" w:rsidP="00C92468">
      <w:pPr>
        <w:pStyle w:val="Bluebox"/>
        <w:rPr>
          <w:szCs w:val="16"/>
        </w:rPr>
      </w:pPr>
      <w:r>
        <w:t>En Colombie, les OAA sont tenus de rendre publiques toutes les informations relatives aux frais et honoraires qu</w:t>
      </w:r>
      <w:r w:rsidR="00715ACD">
        <w:t>’</w:t>
      </w:r>
      <w:r>
        <w:t>ils facturent</w:t>
      </w:r>
      <w:r w:rsidRPr="002E65D8">
        <w:rPr>
          <w:rStyle w:val="FootnoteReference"/>
          <w:szCs w:val="16"/>
        </w:rPr>
        <w:footnoteReference w:id="203"/>
      </w:r>
      <w:r>
        <w:t xml:space="preserve">. </w:t>
      </w:r>
    </w:p>
    <w:p w14:paraId="14806938" w14:textId="77777777" w:rsidR="00EE3477" w:rsidRPr="002E65D8" w:rsidRDefault="00EE3477" w:rsidP="00EE3477">
      <w:pPr>
        <w:pStyle w:val="Bluebox"/>
        <w:rPr>
          <w:szCs w:val="16"/>
        </w:rPr>
      </w:pPr>
      <w:r>
        <w:t xml:space="preserve">En Espagne, il existe un registre national des </w:t>
      </w:r>
      <w:r w:rsidRPr="00E600DB">
        <w:rPr>
          <w:bCs/>
        </w:rPr>
        <w:t>OAA</w:t>
      </w:r>
      <w:r>
        <w:t xml:space="preserve"> qui répertorie les coûts autorisés d’une adoption en Espagne et dans l’État d’origine, ainsi que les coûts relatifs aux rapports de suivi de l’adoption. Ce registre est accessible au public et gratuit</w:t>
      </w:r>
      <w:r w:rsidRPr="002E65D8">
        <w:rPr>
          <w:rStyle w:val="FootnoteReference"/>
          <w:szCs w:val="16"/>
        </w:rPr>
        <w:footnoteReference w:id="204"/>
      </w:r>
      <w:r>
        <w:t>. Les frais liés à l’adoption internationale sont en outre présentés en pièce jointe du contrat signé entre les FPA et l’OAA. Les OAA sont également tenus de publier sur leur site web les Tableaux sur les aspects financiers</w:t>
      </w:r>
      <w:r w:rsidRPr="002E65D8">
        <w:rPr>
          <w:rStyle w:val="FootnoteReference"/>
          <w:szCs w:val="16"/>
        </w:rPr>
        <w:footnoteReference w:id="205"/>
      </w:r>
      <w:r>
        <w:t>.</w:t>
      </w:r>
    </w:p>
    <w:p w14:paraId="67B1CF2A" w14:textId="04005003" w:rsidR="007E718B" w:rsidRPr="002E65D8" w:rsidRDefault="007E718B" w:rsidP="007E718B">
      <w:pPr>
        <w:pStyle w:val="Bluebox"/>
        <w:rPr>
          <w:szCs w:val="16"/>
        </w:rPr>
      </w:pPr>
      <w:r>
        <w:t>En Italie, les OAA publient sur leur site web les coûts liés à la procédure d</w:t>
      </w:r>
      <w:r w:rsidR="00715ACD">
        <w:t>’</w:t>
      </w:r>
      <w:r>
        <w:t>adoption</w:t>
      </w:r>
      <w:r w:rsidRPr="002E65D8">
        <w:rPr>
          <w:rStyle w:val="FootnoteReference"/>
          <w:szCs w:val="16"/>
        </w:rPr>
        <w:footnoteReference w:id="206"/>
      </w:r>
      <w:r>
        <w:t xml:space="preserve">. </w:t>
      </w:r>
    </w:p>
    <w:p w14:paraId="6D4FE1F4" w14:textId="4A795285" w:rsidR="007E718B" w:rsidRPr="002E65D8" w:rsidRDefault="007E718B" w:rsidP="007E718B">
      <w:pPr>
        <w:pStyle w:val="Bluebox"/>
      </w:pPr>
      <w:r>
        <w:t>En Suède, les OAA sont tenus d</w:t>
      </w:r>
      <w:r w:rsidR="00715ACD">
        <w:t>’</w:t>
      </w:r>
      <w:r>
        <w:t xml:space="preserve">énumérer sur leur site web les coûts, couvrant à la fois les coûts et honoraires liés aux services fournis localement et </w:t>
      </w:r>
      <w:r w:rsidR="006833CD">
        <w:t>supportés</w:t>
      </w:r>
      <w:r>
        <w:t xml:space="preserve"> dans chaque État d</w:t>
      </w:r>
      <w:r w:rsidR="00715ACD">
        <w:t>’</w:t>
      </w:r>
      <w:r>
        <w:t>origine</w:t>
      </w:r>
      <w:r w:rsidRPr="002E65D8">
        <w:rPr>
          <w:rStyle w:val="FootnoteReference"/>
        </w:rPr>
        <w:footnoteReference w:id="207"/>
      </w:r>
      <w:r>
        <w:t xml:space="preserve">. </w:t>
      </w:r>
    </w:p>
    <w:p w14:paraId="1A4BFAF3" w14:textId="0A0FB5E2" w:rsidR="00A92F5B" w:rsidRPr="002E65D8" w:rsidRDefault="007E718B" w:rsidP="00017C48">
      <w:pPr>
        <w:pStyle w:val="Bluebox"/>
      </w:pPr>
      <w:r>
        <w:t>En Suisse, l</w:t>
      </w:r>
      <w:r w:rsidR="00715ACD">
        <w:t>’</w:t>
      </w:r>
      <w:r>
        <w:t>Autorité centrale fédérale et les OAA fournissent sur leur site web des informations financières</w:t>
      </w:r>
      <w:r w:rsidRPr="002E65D8">
        <w:rPr>
          <w:rStyle w:val="FootnoteReference"/>
        </w:rPr>
        <w:footnoteReference w:id="208"/>
      </w:r>
      <w:r>
        <w:t>.</w:t>
      </w:r>
    </w:p>
    <w:p w14:paraId="562BBFFC" w14:textId="708A024F" w:rsidR="00B06469" w:rsidRPr="002E65D8" w:rsidRDefault="004B54B6" w:rsidP="004B54B6">
      <w:pPr>
        <w:pStyle w:val="PBParagraph"/>
      </w:pPr>
      <w:r>
        <w:t xml:space="preserve">Les Autorités centrales et les OAA devraient « [v]eiller à ce que toutes les </w:t>
      </w:r>
      <w:r>
        <w:rPr>
          <w:b/>
          <w:bCs/>
        </w:rPr>
        <w:t>informations concernant les aspects financiers</w:t>
      </w:r>
      <w:r>
        <w:t xml:space="preserve"> de l</w:t>
      </w:r>
      <w:r w:rsidR="00715ACD">
        <w:t>’</w:t>
      </w:r>
      <w:r>
        <w:t xml:space="preserve">adoption soient </w:t>
      </w:r>
      <w:r>
        <w:rPr>
          <w:b/>
          <w:bCs/>
        </w:rPr>
        <w:t>complètes, précises, fiables et à jour</w:t>
      </w:r>
      <w:r>
        <w:t> » (non souligné dans l</w:t>
      </w:r>
      <w:r w:rsidR="00715ACD">
        <w:t>’</w:t>
      </w:r>
      <w:r>
        <w:t>original) (</w:t>
      </w:r>
      <w:r>
        <w:rPr>
          <w:color w:val="00B050"/>
        </w:rPr>
        <w:t xml:space="preserve">FS3, </w:t>
      </w:r>
      <w:r w:rsidR="00250381">
        <w:rPr>
          <w:color w:val="00B050"/>
        </w:rPr>
        <w:t>boîte </w:t>
      </w:r>
      <w:r>
        <w:rPr>
          <w:color w:val="00B050"/>
        </w:rPr>
        <w:t>23.1</w:t>
      </w:r>
      <w:r>
        <w:t>)</w:t>
      </w:r>
      <w:r w:rsidRPr="002E65D8">
        <w:rPr>
          <w:rStyle w:val="FootnoteReference"/>
        </w:rPr>
        <w:footnoteReference w:id="209"/>
      </w:r>
      <w:r>
        <w:t>. Afin d</w:t>
      </w:r>
      <w:r w:rsidR="00715ACD">
        <w:t>’</w:t>
      </w:r>
      <w:r>
        <w:t xml:space="preserve">éviter que ces informations ne deviennent obsolètes, elles devraient être mises à jour au moins une fois par an, et la date de la dernière mise à jour devrait être mentionnée. </w:t>
      </w:r>
    </w:p>
    <w:p w14:paraId="529D042A" w14:textId="761AB746" w:rsidR="004B54B6" w:rsidRPr="002E65D8" w:rsidRDefault="00F32E88" w:rsidP="004B54B6">
      <w:pPr>
        <w:pStyle w:val="PBParagraph"/>
      </w:pPr>
      <w:bookmarkStart w:id="133" w:name="_Ref211255565"/>
      <w:r>
        <w:t>Les Autorités centrales ou les autorités qui délivrent l</w:t>
      </w:r>
      <w:r w:rsidR="00715ACD">
        <w:t>’</w:t>
      </w:r>
      <w:r>
        <w:t xml:space="preserve">agrément devraient régulièrement suivre les informations publiées sur les </w:t>
      </w:r>
      <w:r>
        <w:rPr>
          <w:b/>
          <w:bCs/>
        </w:rPr>
        <w:t>sites web</w:t>
      </w:r>
      <w:r>
        <w:t xml:space="preserve"> de leurs </w:t>
      </w:r>
      <w:r>
        <w:rPr>
          <w:b/>
          <w:bCs/>
        </w:rPr>
        <w:t>OAA</w:t>
      </w:r>
      <w:r>
        <w:t xml:space="preserve"> et / ou des OAA étrangers autorisés à travailler dans leur </w:t>
      </w:r>
      <w:r w:rsidR="00A36BEF">
        <w:t>État</w:t>
      </w:r>
      <w:r>
        <w:t xml:space="preserve"> afin d</w:t>
      </w:r>
      <w:r w:rsidR="00715ACD">
        <w:t>’</w:t>
      </w:r>
      <w:r>
        <w:t>e</w:t>
      </w:r>
      <w:r w:rsidR="00E4556E">
        <w:t>n</w:t>
      </w:r>
      <w:r>
        <w:t xml:space="preserve"> garantir l</w:t>
      </w:r>
      <w:r w:rsidR="00715ACD">
        <w:t>’</w:t>
      </w:r>
      <w:r>
        <w:t>exactitude. Établir des normes de calcul et de présentation des coûts des OAA qui travaillent dans un même État d</w:t>
      </w:r>
      <w:r w:rsidR="00715ACD">
        <w:t>’</w:t>
      </w:r>
      <w:r>
        <w:t>origine serait gage d</w:t>
      </w:r>
      <w:r w:rsidR="00715ACD">
        <w:t>’</w:t>
      </w:r>
      <w:r>
        <w:t>une plus grande clarté et d</w:t>
      </w:r>
      <w:r w:rsidR="00715ACD">
        <w:t>’</w:t>
      </w:r>
      <w:r>
        <w:t>une plus grande cohérence. Dans certains États, l</w:t>
      </w:r>
      <w:r w:rsidR="00715ACD">
        <w:t>’</w:t>
      </w:r>
      <w:r>
        <w:t xml:space="preserve">Autorité centrale impose </w:t>
      </w:r>
      <w:r>
        <w:lastRenderedPageBreak/>
        <w:t>aux OAA de publier leurs honoraires. Il serait également bon que les OAA précisent pour le compte de quelle autorité (par ex. régionale ou fédérale) ils facturent lesdits honoraires.</w:t>
      </w:r>
      <w:bookmarkEnd w:id="133"/>
      <w:r>
        <w:t xml:space="preserve"> </w:t>
      </w:r>
    </w:p>
    <w:p w14:paraId="5E29F1B9" w14:textId="17401789" w:rsidR="00AA50E4" w:rsidRPr="002E65D8" w:rsidRDefault="002E7A3B" w:rsidP="00AA50E4">
      <w:pPr>
        <w:pStyle w:val="Blueboxtitle"/>
        <w:spacing w:after="0" w:line="240" w:lineRule="auto"/>
        <w:outlineLvl w:val="2"/>
      </w:pPr>
      <w:bookmarkStart w:id="134" w:name="_Toc236061684"/>
      <w:r>
        <w:t>Boîte</w:t>
      </w:r>
      <w:r w:rsidR="00AA50E4">
        <w:t> 8 : Informations complètes, précises, fiables et à jour</w:t>
      </w:r>
      <w:bookmarkEnd w:id="134"/>
    </w:p>
    <w:p w14:paraId="0A2B3DDF" w14:textId="77777777" w:rsidR="00AA50E4" w:rsidRPr="002E65D8" w:rsidRDefault="00AA50E4" w:rsidP="00AA50E4">
      <w:pPr>
        <w:pStyle w:val="Blueboxtitle"/>
        <w:rPr>
          <w:b w:val="0"/>
          <w:bCs w:val="0"/>
        </w:rPr>
      </w:pPr>
      <w:r>
        <w:rPr>
          <w:b w:val="0"/>
        </w:rPr>
        <w:t xml:space="preserve">Quelques exemples de mesures mises en œuvre par les États </w:t>
      </w:r>
    </w:p>
    <w:p w14:paraId="10AD6401" w14:textId="011F10D1" w:rsidR="004B54B6" w:rsidRPr="002E65D8" w:rsidRDefault="004B54B6" w:rsidP="004B54B6">
      <w:pPr>
        <w:pStyle w:val="Bluebox"/>
        <w:numPr>
          <w:ilvl w:val="0"/>
          <w:numId w:val="1"/>
        </w:numPr>
        <w:rPr>
          <w:szCs w:val="16"/>
        </w:rPr>
      </w:pPr>
      <w:r>
        <w:t>En Belgique (communauté francophone), l</w:t>
      </w:r>
      <w:r w:rsidR="00715ACD">
        <w:t>’</w:t>
      </w:r>
      <w:r>
        <w:t xml:space="preserve">Autorité centrale vérifie et contrôle les </w:t>
      </w:r>
      <w:r w:rsidRPr="00270BC0">
        <w:rPr>
          <w:bCs/>
        </w:rPr>
        <w:t>paiements effectifs</w:t>
      </w:r>
      <w:r>
        <w:t>, en particulier pendant l</w:t>
      </w:r>
      <w:r w:rsidR="00715ACD">
        <w:t>’</w:t>
      </w:r>
      <w:r>
        <w:t xml:space="preserve">inspection </w:t>
      </w:r>
      <w:r w:rsidRPr="00270BC0">
        <w:rPr>
          <w:bCs/>
        </w:rPr>
        <w:t>annuelle</w:t>
      </w:r>
      <w:r>
        <w:t xml:space="preserve"> des OAA</w:t>
      </w:r>
      <w:r w:rsidRPr="002E65D8">
        <w:rPr>
          <w:rStyle w:val="FootnoteReference"/>
          <w:szCs w:val="16"/>
        </w:rPr>
        <w:footnoteReference w:id="210"/>
      </w:r>
      <w:r>
        <w:t>.</w:t>
      </w:r>
    </w:p>
    <w:p w14:paraId="48F8EB9C" w14:textId="2604D197" w:rsidR="0007120C" w:rsidRPr="002E65D8" w:rsidRDefault="0007120C" w:rsidP="0007120C">
      <w:pPr>
        <w:pStyle w:val="Bluebox"/>
        <w:rPr>
          <w:szCs w:val="16"/>
        </w:rPr>
      </w:pPr>
      <w:r>
        <w:t>En Côte d</w:t>
      </w:r>
      <w:r w:rsidR="00715ACD">
        <w:t>’</w:t>
      </w:r>
      <w:r>
        <w:t xml:space="preserve">Ivoire, </w:t>
      </w:r>
      <w:r w:rsidR="005649B2">
        <w:t>l</w:t>
      </w:r>
      <w:r w:rsidR="00715ACD">
        <w:t>’</w:t>
      </w:r>
      <w:r w:rsidR="005649B2">
        <w:t>arrêté sur</w:t>
      </w:r>
      <w:r>
        <w:t xml:space="preserve"> les coûts d</w:t>
      </w:r>
      <w:r w:rsidR="00715ACD">
        <w:t>’</w:t>
      </w:r>
      <w:r>
        <w:t xml:space="preserve">une adoption internationale est </w:t>
      </w:r>
      <w:r w:rsidRPr="00270BC0">
        <w:rPr>
          <w:bCs/>
        </w:rPr>
        <w:t>régulièrement actualisé</w:t>
      </w:r>
      <w:r w:rsidRPr="002E65D8">
        <w:rPr>
          <w:rStyle w:val="FootnoteReference"/>
          <w:szCs w:val="16"/>
        </w:rPr>
        <w:footnoteReference w:id="211"/>
      </w:r>
      <w:r>
        <w:t>.</w:t>
      </w:r>
    </w:p>
    <w:p w14:paraId="3E280C75" w14:textId="77777777" w:rsidR="00EE3477" w:rsidRPr="002E65D8" w:rsidRDefault="00EE3477" w:rsidP="00DD2894">
      <w:pPr>
        <w:pStyle w:val="Bluebox"/>
        <w:rPr>
          <w:szCs w:val="16"/>
        </w:rPr>
      </w:pPr>
      <w:r>
        <w:t xml:space="preserve">En Espagne, le modèle de contrat entre l’OAA et les FPA contient une annexe consacrée aux coûts. Ceux-ci peuvent être </w:t>
      </w:r>
      <w:r w:rsidRPr="00270BC0">
        <w:rPr>
          <w:bCs/>
        </w:rPr>
        <w:t>actualisés</w:t>
      </w:r>
      <w:r>
        <w:t>, à condition que cela soit justifié, et avec l’accord préalable des autorités</w:t>
      </w:r>
      <w:r w:rsidRPr="002E65D8">
        <w:rPr>
          <w:rStyle w:val="FootnoteReference"/>
          <w:szCs w:val="16"/>
        </w:rPr>
        <w:footnoteReference w:id="212"/>
      </w:r>
      <w:r>
        <w:t>.</w:t>
      </w:r>
    </w:p>
    <w:p w14:paraId="4837A392" w14:textId="77777777" w:rsidR="00C40F59" w:rsidRPr="002E65D8" w:rsidRDefault="00C40F59" w:rsidP="00DD2894">
      <w:pPr>
        <w:pStyle w:val="Bluebox"/>
      </w:pPr>
      <w:r>
        <w:t xml:space="preserve">Aux États-Unis, l’Autorité centrale recueille et publie </w:t>
      </w:r>
      <w:r w:rsidRPr="00270BC0">
        <w:rPr>
          <w:bCs/>
        </w:rPr>
        <w:t>annuellement</w:t>
      </w:r>
      <w:r>
        <w:t xml:space="preserve"> des informations quant aux honoraires médians pratiqués pour les services d’adoption tant aux États-Unis que dans les États d’accueil</w:t>
      </w:r>
      <w:r w:rsidRPr="002E65D8">
        <w:rPr>
          <w:rStyle w:val="FootnoteReference"/>
        </w:rPr>
        <w:footnoteReference w:id="213"/>
      </w:r>
      <w:r>
        <w:t>.</w:t>
      </w:r>
    </w:p>
    <w:p w14:paraId="5EE3844B" w14:textId="0C153815" w:rsidR="00275811" w:rsidRPr="002E65D8" w:rsidRDefault="00275811" w:rsidP="00790CFE">
      <w:pPr>
        <w:pStyle w:val="Bluebox"/>
      </w:pPr>
      <w:r>
        <w:t xml:space="preserve">En Italie, les OAA sont tenus de publier sur leur site web le montant total des frais </w:t>
      </w:r>
      <w:r w:rsidR="00FE27A0">
        <w:t>supportés</w:t>
      </w:r>
      <w:r>
        <w:t xml:space="preserve"> par les FPA pour l</w:t>
      </w:r>
      <w:r w:rsidR="00715ACD">
        <w:t>’</w:t>
      </w:r>
      <w:r>
        <w:t>intégralité de la procédure, y compris les coûts liés aux services de suivi de l</w:t>
      </w:r>
      <w:r w:rsidR="00715ACD">
        <w:t>’</w:t>
      </w:r>
      <w:r>
        <w:t>adoption, à l</w:t>
      </w:r>
      <w:r w:rsidR="00715ACD">
        <w:t>’</w:t>
      </w:r>
      <w:r>
        <w:t>exception des dépenses de voyage et de séjour à l</w:t>
      </w:r>
      <w:r w:rsidR="00715ACD">
        <w:t>’</w:t>
      </w:r>
      <w:r>
        <w:t>étranger. Ils devraient également distinguer les frais obligatoires des coûts liés à des activités et services optionnels. Les OAA doivent actualiser les données au moins tous les six mois</w:t>
      </w:r>
      <w:bookmarkStart w:id="135" w:name="_Ref231375884"/>
      <w:r w:rsidRPr="002E65D8">
        <w:rPr>
          <w:rStyle w:val="FootnoteReference"/>
        </w:rPr>
        <w:footnoteReference w:id="214"/>
      </w:r>
      <w:bookmarkEnd w:id="135"/>
      <w:r>
        <w:t>.</w:t>
      </w:r>
    </w:p>
    <w:p w14:paraId="0A64191C" w14:textId="521EBEA6" w:rsidR="00086AE9" w:rsidRPr="002E65D8" w:rsidRDefault="00086AE9" w:rsidP="004B54B6">
      <w:pPr>
        <w:pStyle w:val="Bluebox"/>
        <w:numPr>
          <w:ilvl w:val="0"/>
          <w:numId w:val="1"/>
        </w:numPr>
        <w:rPr>
          <w:szCs w:val="16"/>
        </w:rPr>
      </w:pPr>
      <w:r>
        <w:t>En Suisse, tout changement apporté aux honoraires des OAA doit être approuvé par l</w:t>
      </w:r>
      <w:r w:rsidR="00715ACD">
        <w:t>’</w:t>
      </w:r>
      <w:r>
        <w:t>Autorité centrale fédérale</w:t>
      </w:r>
      <w:r w:rsidRPr="002E65D8">
        <w:rPr>
          <w:rStyle w:val="FootnoteReference"/>
          <w:szCs w:val="16"/>
        </w:rPr>
        <w:footnoteReference w:id="215"/>
      </w:r>
      <w:r>
        <w:t>.</w:t>
      </w:r>
    </w:p>
    <w:p w14:paraId="67A085A5" w14:textId="723DDE04" w:rsidR="008A199D" w:rsidRPr="002E65D8" w:rsidRDefault="008A199D" w:rsidP="004047D5">
      <w:pPr>
        <w:pStyle w:val="Heading4"/>
      </w:pPr>
      <w:bookmarkStart w:id="136" w:name="_Ref211256042"/>
      <w:r>
        <w:t xml:space="preserve">Distinguer les </w:t>
      </w:r>
      <w:r w:rsidR="00DE4DC5">
        <w:t>frais</w:t>
      </w:r>
      <w:r w:rsidR="00B860A2">
        <w:t xml:space="preserve">, les </w:t>
      </w:r>
      <w:r>
        <w:t>honoraire</w:t>
      </w:r>
      <w:r w:rsidR="00B860A2">
        <w:t xml:space="preserve">s </w:t>
      </w:r>
      <w:r>
        <w:t>et les contributions</w:t>
      </w:r>
      <w:bookmarkEnd w:id="136"/>
    </w:p>
    <w:p w14:paraId="05D8948F" w14:textId="7C8AD1A7" w:rsidR="00AE6027" w:rsidRPr="002E65D8" w:rsidRDefault="7FCFD3FE" w:rsidP="00D529F4">
      <w:pPr>
        <w:pStyle w:val="PBParagraph"/>
      </w:pPr>
      <w:bookmarkStart w:id="137" w:name="_Ref211255663"/>
      <w:r>
        <w:t xml:space="preserve">Les informations données devraient </w:t>
      </w:r>
      <w:r>
        <w:rPr>
          <w:b/>
          <w:bCs/>
        </w:rPr>
        <w:t>distinguer clairement les différents types</w:t>
      </w:r>
      <w:r>
        <w:t xml:space="preserve"> </w:t>
      </w:r>
      <w:r w:rsidR="00B860A2">
        <w:t xml:space="preserve">de </w:t>
      </w:r>
      <w:r w:rsidR="00C0004D">
        <w:t>frais</w:t>
      </w:r>
      <w:r w:rsidR="00B860A2">
        <w:t xml:space="preserve"> et </w:t>
      </w:r>
      <w:r>
        <w:t>d</w:t>
      </w:r>
      <w:r w:rsidR="00715ACD">
        <w:t>’</w:t>
      </w:r>
      <w:r>
        <w:t>honoraires associés à chaque service proposé (administratif, judiciaire, médical, par ex.) tant dans l</w:t>
      </w:r>
      <w:r w:rsidR="00715ACD">
        <w:t>’</w:t>
      </w:r>
      <w:r>
        <w:t>État d</w:t>
      </w:r>
      <w:r w:rsidR="00715ACD">
        <w:t>’</w:t>
      </w:r>
      <w:r>
        <w:t>accueil que dans l</w:t>
      </w:r>
      <w:r w:rsidR="00715ACD">
        <w:t>’</w:t>
      </w:r>
      <w:r>
        <w:t>État d</w:t>
      </w:r>
      <w:r w:rsidR="00715ACD">
        <w:t>’</w:t>
      </w:r>
      <w:r>
        <w:t>origine</w:t>
      </w:r>
      <w:r w:rsidR="00D529F4" w:rsidRPr="002E65D8">
        <w:rPr>
          <w:rStyle w:val="FootnoteReference"/>
        </w:rPr>
        <w:footnoteReference w:id="216"/>
      </w:r>
      <w:r>
        <w:t>. Il faudrait également faire une distinction claire entre les services (et les coûts y afférents) qui sont obligatoires et ceux qui sont optionnels ou volontaires (par ex., les services d</w:t>
      </w:r>
      <w:r w:rsidR="00715ACD">
        <w:t>’</w:t>
      </w:r>
      <w:r>
        <w:t xml:space="preserve">un avocat dans certains </w:t>
      </w:r>
      <w:r w:rsidR="005E58F3">
        <w:t>États</w:t>
      </w:r>
      <w:r>
        <w:t>)</w:t>
      </w:r>
      <w:r w:rsidR="00F74C55" w:rsidRPr="002E65D8">
        <w:rPr>
          <w:rStyle w:val="FootnoteReference"/>
        </w:rPr>
        <w:footnoteReference w:id="217"/>
      </w:r>
      <w:r>
        <w:t>.</w:t>
      </w:r>
      <w:bookmarkEnd w:id="137"/>
    </w:p>
    <w:p w14:paraId="3F854ABC" w14:textId="40711CF8" w:rsidR="00D529F4" w:rsidRPr="002E65D8" w:rsidRDefault="00D529F4" w:rsidP="00D529F4">
      <w:pPr>
        <w:pStyle w:val="PBParagraph"/>
      </w:pPr>
      <w:bookmarkStart w:id="138" w:name="_Ref211255673"/>
      <w:r>
        <w:t xml:space="preserve">Il faudrait aussi faire la </w:t>
      </w:r>
      <w:r>
        <w:rPr>
          <w:b/>
          <w:bCs/>
        </w:rPr>
        <w:t>distinction entre les frais et les contributions</w:t>
      </w:r>
      <w:r>
        <w:t>, c</w:t>
      </w:r>
      <w:r w:rsidR="00715ACD">
        <w:t>’</w:t>
      </w:r>
      <w:r>
        <w:t>est-à-dire entre les montants qui sont directement liés aux services d</w:t>
      </w:r>
      <w:r w:rsidR="00715ACD">
        <w:t>’</w:t>
      </w:r>
      <w:r>
        <w:t>adoption prêtés pour un dossier spécifique (frais) et les montants destinés à renforcer de manière générale le système d</w:t>
      </w:r>
      <w:r w:rsidR="00715ACD">
        <w:t>’</w:t>
      </w:r>
      <w:r>
        <w:t>adoption ou de protection des enfants dans l</w:t>
      </w:r>
      <w:r w:rsidR="00715ACD">
        <w:t>’</w:t>
      </w:r>
      <w:r>
        <w:t>État d</w:t>
      </w:r>
      <w:r w:rsidR="00715ACD">
        <w:t>’</w:t>
      </w:r>
      <w:r>
        <w:t>origine (contributions).</w:t>
      </w:r>
      <w:bookmarkEnd w:id="138"/>
      <w:r>
        <w:t xml:space="preserve"> </w:t>
      </w:r>
    </w:p>
    <w:p w14:paraId="1ACD467A" w14:textId="7DF81BBC" w:rsidR="00AA50E4" w:rsidRPr="002E65D8" w:rsidRDefault="002E7A3B" w:rsidP="00AA50E4">
      <w:pPr>
        <w:pStyle w:val="Blueboxtitle"/>
        <w:spacing w:after="0" w:line="240" w:lineRule="auto"/>
        <w:outlineLvl w:val="2"/>
      </w:pPr>
      <w:bookmarkStart w:id="139" w:name="_Toc236061685"/>
      <w:r>
        <w:t>Boîte</w:t>
      </w:r>
      <w:r w:rsidR="00AA50E4">
        <w:t xml:space="preserve"> 9 : Distinction entre les </w:t>
      </w:r>
      <w:r w:rsidR="00C0004D">
        <w:t>frais</w:t>
      </w:r>
      <w:r w:rsidR="00BD0CD6">
        <w:t xml:space="preserve">, les </w:t>
      </w:r>
      <w:r w:rsidR="00AA50E4">
        <w:t>honoraires</w:t>
      </w:r>
      <w:r w:rsidR="00BD0CD6">
        <w:t xml:space="preserve"> </w:t>
      </w:r>
      <w:r w:rsidR="00AA50E4">
        <w:t>et les contributions</w:t>
      </w:r>
      <w:bookmarkEnd w:id="139"/>
    </w:p>
    <w:p w14:paraId="50156AD8" w14:textId="77777777" w:rsidR="00AA50E4" w:rsidRPr="002E65D8" w:rsidRDefault="00AA50E4" w:rsidP="00AA50E4">
      <w:pPr>
        <w:pStyle w:val="Blueboxtitle"/>
        <w:rPr>
          <w:b w:val="0"/>
          <w:bCs w:val="0"/>
        </w:rPr>
      </w:pPr>
      <w:r>
        <w:rPr>
          <w:b w:val="0"/>
        </w:rPr>
        <w:t xml:space="preserve">Quelques exemples de mesures mises en œuvre par les États </w:t>
      </w:r>
    </w:p>
    <w:p w14:paraId="4B2E6F44" w14:textId="693BBBA3" w:rsidR="00D56F75" w:rsidRPr="002E65D8" w:rsidRDefault="00437298" w:rsidP="00017C48">
      <w:pPr>
        <w:pStyle w:val="Bluebox"/>
        <w:rPr>
          <w:szCs w:val="16"/>
        </w:rPr>
      </w:pPr>
      <w:r>
        <w:t>Au Danemark, les OAA ont l</w:t>
      </w:r>
      <w:r w:rsidR="00715ACD">
        <w:t>’</w:t>
      </w:r>
      <w:r>
        <w:t xml:space="preserve">obligation de fournir un rapport financier annuel </w:t>
      </w:r>
      <w:r w:rsidRPr="00EF14FF">
        <w:rPr>
          <w:bCs/>
        </w:rPr>
        <w:t>détaillant les dépenses liées à l</w:t>
      </w:r>
      <w:r w:rsidR="00715ACD">
        <w:rPr>
          <w:bCs/>
        </w:rPr>
        <w:t>’</w:t>
      </w:r>
      <w:r w:rsidRPr="00EF14FF">
        <w:rPr>
          <w:bCs/>
        </w:rPr>
        <w:t>adoption</w:t>
      </w:r>
      <w:r>
        <w:rPr>
          <w:b/>
          <w:bCs/>
        </w:rPr>
        <w:t xml:space="preserve"> </w:t>
      </w:r>
      <w:r w:rsidRPr="00EF14FF">
        <w:rPr>
          <w:bCs/>
        </w:rPr>
        <w:t>par catégorie</w:t>
      </w:r>
      <w:r>
        <w:t>, notamment les frais administratifs, les dons / projets de coopération, les frais généraux à l</w:t>
      </w:r>
      <w:r w:rsidR="00715ACD">
        <w:t>’</w:t>
      </w:r>
      <w:r>
        <w:t>étranger et les dépenses propres à chaque cas à l</w:t>
      </w:r>
      <w:r w:rsidR="00715ACD">
        <w:t>’</w:t>
      </w:r>
      <w:r>
        <w:t>étranger et au Danemark</w:t>
      </w:r>
      <w:r w:rsidR="006F6EB8" w:rsidRPr="002E65D8">
        <w:rPr>
          <w:rStyle w:val="FootnoteReference"/>
          <w:szCs w:val="16"/>
        </w:rPr>
        <w:footnoteReference w:id="218"/>
      </w:r>
      <w:r>
        <w:t xml:space="preserve">. </w:t>
      </w:r>
    </w:p>
    <w:p w14:paraId="5FBC4EB9" w14:textId="77777777" w:rsidR="00C40F59" w:rsidRPr="002E65D8" w:rsidRDefault="00C40F59" w:rsidP="00C40F59">
      <w:pPr>
        <w:pStyle w:val="Bluebox"/>
        <w:rPr>
          <w:szCs w:val="16"/>
        </w:rPr>
      </w:pPr>
      <w:r>
        <w:t xml:space="preserve">En Espagne, l’Autorité centrale approuve les </w:t>
      </w:r>
      <w:r w:rsidRPr="00EF14FF">
        <w:rPr>
          <w:bCs/>
        </w:rPr>
        <w:t>différents frais et paiements</w:t>
      </w:r>
      <w:r>
        <w:t xml:space="preserve"> pour un OAA et un État donné</w:t>
      </w:r>
      <w:r w:rsidRPr="002E65D8">
        <w:rPr>
          <w:rStyle w:val="FootnoteReference"/>
          <w:szCs w:val="16"/>
        </w:rPr>
        <w:footnoteReference w:id="219"/>
      </w:r>
      <w:r>
        <w:t>.</w:t>
      </w:r>
    </w:p>
    <w:p w14:paraId="4FE57527" w14:textId="3FF2D36B" w:rsidR="00790F24" w:rsidRPr="002E65D8" w:rsidRDefault="00790F24" w:rsidP="00017C48">
      <w:pPr>
        <w:pStyle w:val="Bluebox"/>
        <w:rPr>
          <w:szCs w:val="16"/>
        </w:rPr>
      </w:pPr>
      <w:r>
        <w:t xml:space="preserve">En France, </w:t>
      </w:r>
      <w:r w:rsidR="001A177B">
        <w:t xml:space="preserve">les OAA doivent compléter </w:t>
      </w:r>
      <w:r>
        <w:t xml:space="preserve">un </w:t>
      </w:r>
      <w:r w:rsidR="006437D4">
        <w:rPr>
          <w:bCs/>
        </w:rPr>
        <w:t xml:space="preserve">décompte des </w:t>
      </w:r>
      <w:r w:rsidRPr="00EF14FF">
        <w:rPr>
          <w:bCs/>
        </w:rPr>
        <w:t>sommes</w:t>
      </w:r>
      <w:r>
        <w:t xml:space="preserve"> </w:t>
      </w:r>
      <w:r w:rsidR="003857D8">
        <w:t>demandées aux</w:t>
      </w:r>
      <w:r>
        <w:t xml:space="preserve"> FPA dans le cadre d</w:t>
      </w:r>
      <w:r w:rsidR="00715ACD">
        <w:t>’</w:t>
      </w:r>
      <w:r>
        <w:t>une adoption</w:t>
      </w:r>
      <w:r w:rsidRPr="002E65D8">
        <w:rPr>
          <w:rStyle w:val="FootnoteReference"/>
          <w:szCs w:val="16"/>
        </w:rPr>
        <w:footnoteReference w:id="220"/>
      </w:r>
      <w:r>
        <w:t xml:space="preserve">. </w:t>
      </w:r>
    </w:p>
    <w:p w14:paraId="6E721A6A" w14:textId="0847D3F5" w:rsidR="008746A4" w:rsidRPr="002E65D8" w:rsidRDefault="008746A4" w:rsidP="00017C48">
      <w:pPr>
        <w:pStyle w:val="Bluebox"/>
        <w:rPr>
          <w:szCs w:val="16"/>
        </w:rPr>
      </w:pPr>
      <w:r>
        <w:lastRenderedPageBreak/>
        <w:t>En Suède, les OAA transmettent un rapport annuel par État d</w:t>
      </w:r>
      <w:r w:rsidR="00715ACD">
        <w:t>’</w:t>
      </w:r>
      <w:r>
        <w:t>origine, dans lequel ils présentent les frais répartis par catégorie, à savoir, frais administratifs, honoraires juridiques, frais médicaux, frais généraux à l</w:t>
      </w:r>
      <w:r w:rsidR="00715ACD">
        <w:t>’</w:t>
      </w:r>
      <w:r>
        <w:t>étranger et dépenses propres à chaque cas en Suède et à l</w:t>
      </w:r>
      <w:r w:rsidR="00715ACD">
        <w:t>’</w:t>
      </w:r>
      <w:r>
        <w:t>étranger</w:t>
      </w:r>
      <w:r w:rsidR="00107DE1" w:rsidRPr="002E65D8">
        <w:rPr>
          <w:rStyle w:val="FootnoteReference"/>
          <w:szCs w:val="16"/>
        </w:rPr>
        <w:footnoteReference w:id="221"/>
      </w:r>
      <w:r>
        <w:t>.</w:t>
      </w:r>
    </w:p>
    <w:p w14:paraId="4041C022" w14:textId="1C667C6D" w:rsidR="00D529F4" w:rsidRPr="002E65D8" w:rsidRDefault="002A6F6A" w:rsidP="004047D5">
      <w:pPr>
        <w:pStyle w:val="Heading4"/>
      </w:pPr>
      <w:bookmarkStart w:id="140" w:name="_Ref211256048"/>
      <w:r>
        <w:t>Assurer une large publicité</w:t>
      </w:r>
      <w:bookmarkEnd w:id="140"/>
      <w:r>
        <w:t xml:space="preserve"> </w:t>
      </w:r>
    </w:p>
    <w:p w14:paraId="27F55D79" w14:textId="7789138D" w:rsidR="00F627D9" w:rsidRDefault="00D529F4" w:rsidP="009A17DC">
      <w:pPr>
        <w:pStyle w:val="PBParagraph"/>
      </w:pPr>
      <w:bookmarkStart w:id="141" w:name="_Ref210732622"/>
      <w:r>
        <w:t xml:space="preserve">Tous les acteurs / États devraient « [v]eiller à ce que le montant des frais, honoraires et contributions soit </w:t>
      </w:r>
      <w:r>
        <w:rPr>
          <w:b/>
          <w:bCs/>
        </w:rPr>
        <w:t>rendu public et largement diffusé</w:t>
      </w:r>
      <w:r>
        <w:t> » (</w:t>
      </w:r>
      <w:r>
        <w:rPr>
          <w:color w:val="00B050"/>
        </w:rPr>
        <w:t xml:space="preserve">FS3, </w:t>
      </w:r>
      <w:r w:rsidR="00250381">
        <w:rPr>
          <w:color w:val="00B050"/>
        </w:rPr>
        <w:t>boîte </w:t>
      </w:r>
      <w:r>
        <w:rPr>
          <w:color w:val="00B050"/>
        </w:rPr>
        <w:t xml:space="preserve">11.1, </w:t>
      </w:r>
      <w:r w:rsidR="00771599">
        <w:rPr>
          <w:color w:val="00B050"/>
          <w:shd w:val="clear" w:color="auto" w:fill="FFFFFF" w:themeFill="background1"/>
        </w:rPr>
        <w:t xml:space="preserve">boîte </w:t>
      </w:r>
      <w:r>
        <w:rPr>
          <w:color w:val="00B050"/>
        </w:rPr>
        <w:t xml:space="preserve">11.3 et </w:t>
      </w:r>
      <w:r w:rsidR="00771599">
        <w:rPr>
          <w:color w:val="00B050"/>
          <w:shd w:val="clear" w:color="auto" w:fill="FFFFFF" w:themeFill="background1"/>
        </w:rPr>
        <w:t xml:space="preserve">boîte </w:t>
      </w:r>
      <w:r>
        <w:rPr>
          <w:color w:val="00B050"/>
        </w:rPr>
        <w:t>23.2</w:t>
      </w:r>
      <w:r>
        <w:t xml:space="preserve">). Cette exigence de publicité peut être satisfaite par différents moyens. La publication </w:t>
      </w:r>
      <w:r>
        <w:rPr>
          <w:b/>
          <w:bCs/>
        </w:rPr>
        <w:t xml:space="preserve">en </w:t>
      </w:r>
      <w:r w:rsidR="0072341A">
        <w:rPr>
          <w:b/>
          <w:bCs/>
        </w:rPr>
        <w:t xml:space="preserve">ligne </w:t>
      </w:r>
      <w:r>
        <w:t>d</w:t>
      </w:r>
      <w:r w:rsidR="00715ACD">
        <w:t>’</w:t>
      </w:r>
      <w:r>
        <w:t>informations sur les aspects financiers de l</w:t>
      </w:r>
      <w:r w:rsidR="00715ACD">
        <w:t>’</w:t>
      </w:r>
      <w:r>
        <w:t>adoption internationale devrait être encouragée, du fait de sa grande accessibilité.</w:t>
      </w:r>
      <w:bookmarkEnd w:id="141"/>
      <w:r>
        <w:t xml:space="preserve"> </w:t>
      </w:r>
    </w:p>
    <w:p w14:paraId="03DA9C34" w14:textId="5F21453E" w:rsidR="00CD68D4" w:rsidRPr="002E65D8" w:rsidRDefault="002E7A3B" w:rsidP="00CD68D4">
      <w:pPr>
        <w:pStyle w:val="Blueboxtitle"/>
        <w:spacing w:after="0" w:line="240" w:lineRule="auto"/>
        <w:outlineLvl w:val="2"/>
      </w:pPr>
      <w:bookmarkStart w:id="142" w:name="_Toc236061686"/>
      <w:r>
        <w:t>Boîte</w:t>
      </w:r>
      <w:r w:rsidR="00CD68D4">
        <w:t> 10 : Publicité</w:t>
      </w:r>
      <w:bookmarkEnd w:id="142"/>
    </w:p>
    <w:p w14:paraId="74A722CC" w14:textId="77777777" w:rsidR="00CD68D4" w:rsidRPr="002E65D8" w:rsidRDefault="00CD68D4" w:rsidP="00CD68D4">
      <w:pPr>
        <w:pStyle w:val="Blueboxtitle"/>
        <w:rPr>
          <w:b w:val="0"/>
          <w:bCs w:val="0"/>
        </w:rPr>
      </w:pPr>
      <w:r>
        <w:rPr>
          <w:b w:val="0"/>
        </w:rPr>
        <w:t xml:space="preserve">Quelques exemples de mesures mises en œuvre par les États </w:t>
      </w:r>
    </w:p>
    <w:p w14:paraId="0D0E26E9" w14:textId="36433481" w:rsidR="00F03832" w:rsidRPr="002E65D8" w:rsidRDefault="00D529F4" w:rsidP="00017C48">
      <w:pPr>
        <w:pStyle w:val="Bluebox"/>
      </w:pPr>
      <w:r>
        <w:t xml:space="preserve">Plusieurs Autorités centrales publient sur leur </w:t>
      </w:r>
      <w:r w:rsidRPr="00E570A2">
        <w:rPr>
          <w:bCs/>
        </w:rPr>
        <w:t>site web</w:t>
      </w:r>
      <w:r>
        <w:t>, parfois en plusieurs langues, les frais liés à l</w:t>
      </w:r>
      <w:r w:rsidR="00715ACD">
        <w:t>’</w:t>
      </w:r>
      <w:r>
        <w:t xml:space="preserve">adoption (par ex. Australie, Belgique, France, Italie, Philippines, </w:t>
      </w:r>
      <w:bookmarkStart w:id="143" w:name="_Ref190714918"/>
      <w:r w:rsidR="00724AC6">
        <w:t>Royaume-Uni (Écosse)</w:t>
      </w:r>
      <w:r w:rsidR="003A2FFA">
        <w:t>, Suisse</w:t>
      </w:r>
      <w:r w:rsidR="0072341A">
        <w:t>)</w:t>
      </w:r>
      <w:r w:rsidRPr="002E65D8">
        <w:rPr>
          <w:rStyle w:val="FootnoteReference"/>
        </w:rPr>
        <w:footnoteReference w:id="222"/>
      </w:r>
      <w:bookmarkEnd w:id="143"/>
      <w:r w:rsidR="00724AC6">
        <w:t>.</w:t>
      </w:r>
    </w:p>
    <w:p w14:paraId="69B5A95E" w14:textId="7D00ACEE" w:rsidR="00D529F4" w:rsidRPr="002E65D8" w:rsidRDefault="00645521" w:rsidP="00017C48">
      <w:pPr>
        <w:pStyle w:val="Bluebox"/>
      </w:pPr>
      <w:r>
        <w:t xml:space="preserve">Les Autorités centrales peuvent également indiquer sur leur </w:t>
      </w:r>
      <w:r w:rsidRPr="00E570A2">
        <w:rPr>
          <w:bCs/>
        </w:rPr>
        <w:t>site web</w:t>
      </w:r>
      <w:r w:rsidRPr="00E570A2">
        <w:t xml:space="preserve"> qu</w:t>
      </w:r>
      <w:r w:rsidR="00715ACD">
        <w:t>’</w:t>
      </w:r>
      <w:r w:rsidRPr="00E570A2">
        <w:t xml:space="preserve">elles </w:t>
      </w:r>
      <w:r w:rsidRPr="00E570A2">
        <w:rPr>
          <w:bCs/>
        </w:rPr>
        <w:t>ne facturent</w:t>
      </w:r>
      <w:r>
        <w:t xml:space="preserve"> aucun frais en lien avec l</w:t>
      </w:r>
      <w:r w:rsidR="00715ACD">
        <w:t>’</w:t>
      </w:r>
      <w:r>
        <w:t>adoption (par ex. Colombie, El Salvador)</w:t>
      </w:r>
      <w:bookmarkStart w:id="144" w:name="_Ref190714857"/>
      <w:bookmarkStart w:id="145" w:name="_Ref209254135"/>
      <w:r w:rsidR="0052562B" w:rsidRPr="002E65D8">
        <w:rPr>
          <w:rStyle w:val="FootnoteReference"/>
        </w:rPr>
        <w:footnoteReference w:id="223"/>
      </w:r>
      <w:bookmarkEnd w:id="144"/>
      <w:bookmarkEnd w:id="145"/>
      <w:r w:rsidR="00724AC6">
        <w:t>.</w:t>
      </w:r>
    </w:p>
    <w:p w14:paraId="7758EF04" w14:textId="569E5DDC" w:rsidR="00024622" w:rsidRPr="002E65D8" w:rsidRDefault="00D529F4" w:rsidP="00017C48">
      <w:pPr>
        <w:pStyle w:val="Bluebox"/>
      </w:pPr>
      <w:r>
        <w:t>D</w:t>
      </w:r>
      <w:r w:rsidR="00715ACD">
        <w:t>’</w:t>
      </w:r>
      <w:r>
        <w:t xml:space="preserve">autres Autorités centrales communiquent ces informations </w:t>
      </w:r>
      <w:r w:rsidR="004301DC">
        <w:rPr>
          <w:bCs/>
        </w:rPr>
        <w:t>grâce à un écrit</w:t>
      </w:r>
      <w:r>
        <w:t xml:space="preserve"> (comme une brochure) remis aux FPA au début de la procédure (c</w:t>
      </w:r>
      <w:r w:rsidR="00715ACD">
        <w:t>’</w:t>
      </w:r>
      <w:r>
        <w:t>est le cas notamment au Bénin, au Burkina Faso et au Togo)</w:t>
      </w:r>
      <w:r w:rsidR="00926E5E" w:rsidRPr="002E65D8">
        <w:rPr>
          <w:rStyle w:val="FootnoteReference"/>
        </w:rPr>
        <w:footnoteReference w:id="224"/>
      </w:r>
      <w:r>
        <w:t>.</w:t>
      </w:r>
    </w:p>
    <w:p w14:paraId="0D1DBCB3" w14:textId="018C9DC8" w:rsidR="0000598F" w:rsidRPr="002E65D8" w:rsidRDefault="0000598F" w:rsidP="00017C48">
      <w:pPr>
        <w:pStyle w:val="Bluebox"/>
      </w:pPr>
      <w:r>
        <w:t>En Australie, les autorités assurent la transparence des honoraires en fixant les frais liés à l</w:t>
      </w:r>
      <w:r w:rsidR="00715ACD">
        <w:t>’</w:t>
      </w:r>
      <w:r>
        <w:t>adoption dans la réglementation ou dans des publications gouvernementales. Les FPA reçoivent des informations détaillées sur les coûts</w:t>
      </w:r>
      <w:r w:rsidR="004301DC">
        <w:t xml:space="preserve"> pratiqués</w:t>
      </w:r>
      <w:r>
        <w:t xml:space="preserve"> dans l</w:t>
      </w:r>
      <w:r w:rsidR="00715ACD">
        <w:t>’</w:t>
      </w:r>
      <w:r>
        <w:t>État d</w:t>
      </w:r>
      <w:r w:rsidR="00715ACD">
        <w:t>’</w:t>
      </w:r>
      <w:r>
        <w:t>origine de leur choix</w:t>
      </w:r>
      <w:r w:rsidRPr="002E65D8">
        <w:rPr>
          <w:rStyle w:val="FootnoteReference"/>
        </w:rPr>
        <w:footnoteReference w:id="225"/>
      </w:r>
      <w:r>
        <w:t xml:space="preserve">. </w:t>
      </w:r>
    </w:p>
    <w:p w14:paraId="5BC4248D" w14:textId="77777777" w:rsidR="00D7419F" w:rsidRPr="002E65D8" w:rsidRDefault="00D7419F" w:rsidP="00D7419F">
      <w:pPr>
        <w:pStyle w:val="Bluebox"/>
      </w:pPr>
      <w:r>
        <w:t>Aux États-Unis, la loi impose à l’Autorité centrale de publier un rapport annuel contenant des informations sur la fourchette des frais en matière d’adoption internationale, y compris le détail par État d’origine</w:t>
      </w:r>
      <w:r w:rsidRPr="002E65D8">
        <w:rPr>
          <w:rStyle w:val="FootnoteReference"/>
        </w:rPr>
        <w:footnoteReference w:id="226"/>
      </w:r>
      <w:r>
        <w:t>.</w:t>
      </w:r>
    </w:p>
    <w:p w14:paraId="5DB2613C" w14:textId="77777777" w:rsidR="00D7419F" w:rsidRPr="002E65D8" w:rsidRDefault="00D7419F" w:rsidP="00D7419F">
      <w:pPr>
        <w:pStyle w:val="Bluebox"/>
      </w:pPr>
      <w:r>
        <w:t>En France, pour veiller à la transparence, les frais liés à l’adoption doivent être approuvés par le ministère des Affaires étrangères et publiés</w:t>
      </w:r>
      <w:r>
        <w:rPr>
          <w:rStyle w:val="FootnoteReference"/>
        </w:rPr>
        <w:footnoteReference w:id="227"/>
      </w:r>
      <w:r>
        <w:t>.</w:t>
      </w:r>
    </w:p>
    <w:p w14:paraId="792F7B46" w14:textId="517F4C91" w:rsidR="00D529F4" w:rsidRPr="002E65D8" w:rsidRDefault="00456D8E" w:rsidP="00017C48">
      <w:pPr>
        <w:pStyle w:val="Bluebox"/>
      </w:pPr>
      <w:r>
        <w:t>En République dominicaine, l</w:t>
      </w:r>
      <w:r w:rsidR="00715ACD">
        <w:t>’</w:t>
      </w:r>
      <w:r>
        <w:t>Autorité centrale fournit des informations sur demande par courriel, en personne ou par d</w:t>
      </w:r>
      <w:r w:rsidR="00715ACD">
        <w:t>’</w:t>
      </w:r>
      <w:r>
        <w:t>autres moyens de communication</w:t>
      </w:r>
      <w:r w:rsidR="009F3604" w:rsidRPr="002E65D8">
        <w:rPr>
          <w:rStyle w:val="FootnoteReference"/>
          <w:sz w:val="14"/>
          <w:szCs w:val="14"/>
        </w:rPr>
        <w:footnoteReference w:id="228"/>
      </w:r>
      <w:r>
        <w:t>.</w:t>
      </w:r>
    </w:p>
    <w:p w14:paraId="2C5C1B4C" w14:textId="5906D71B" w:rsidR="00C30836" w:rsidRPr="002E65D8" w:rsidRDefault="00C30836" w:rsidP="00996FC8">
      <w:pPr>
        <w:pStyle w:val="Bluebox"/>
        <w:numPr>
          <w:ilvl w:val="0"/>
          <w:numId w:val="0"/>
        </w:numPr>
        <w:ind w:left="567"/>
        <w:rPr>
          <w:i/>
        </w:rPr>
      </w:pPr>
      <w:r>
        <w:rPr>
          <w:i/>
        </w:rPr>
        <w:t>Pour d</w:t>
      </w:r>
      <w:r w:rsidR="00715ACD">
        <w:rPr>
          <w:i/>
        </w:rPr>
        <w:t>’</w:t>
      </w:r>
      <w:r>
        <w:rPr>
          <w:i/>
        </w:rPr>
        <w:t xml:space="preserve">autres exemples de publicité, voir aussi </w:t>
      </w:r>
      <w:r w:rsidR="002E7A3B">
        <w:rPr>
          <w:i/>
        </w:rPr>
        <w:t>boîte</w:t>
      </w:r>
      <w:r>
        <w:rPr>
          <w:i/>
        </w:rPr>
        <w:t xml:space="preserve"> 6 : Informations transmises par les autorités, </w:t>
      </w:r>
      <w:r w:rsidR="002E7A3B">
        <w:rPr>
          <w:i/>
        </w:rPr>
        <w:t>boîte</w:t>
      </w:r>
      <w:r>
        <w:rPr>
          <w:i/>
        </w:rPr>
        <w:t xml:space="preserve"> 7 : Informations transmises par les OAA et </w:t>
      </w:r>
      <w:r w:rsidR="002E7A3B">
        <w:rPr>
          <w:i/>
        </w:rPr>
        <w:t>boîte</w:t>
      </w:r>
      <w:r>
        <w:rPr>
          <w:i/>
        </w:rPr>
        <w:t> 8 : Informations complètes, précises, fiables et à jour</w:t>
      </w:r>
      <w:r w:rsidR="004301DC">
        <w:rPr>
          <w:i/>
        </w:rPr>
        <w:t xml:space="preserve"> ci-dessus</w:t>
      </w:r>
      <w:r>
        <w:rPr>
          <w:i/>
        </w:rPr>
        <w:t>.</w:t>
      </w:r>
    </w:p>
    <w:p w14:paraId="0D1CE012" w14:textId="20AB20FC" w:rsidR="00D529F4" w:rsidRPr="002E65D8" w:rsidRDefault="00D529F4" w:rsidP="004047D5">
      <w:pPr>
        <w:pStyle w:val="Heading4"/>
      </w:pPr>
      <w:bookmarkStart w:id="146" w:name="_Ref211256060"/>
      <w:r>
        <w:t xml:space="preserve">Informer préalablement les FPA de tous les frais </w:t>
      </w:r>
      <w:r w:rsidR="003B2F42">
        <w:t>qu</w:t>
      </w:r>
      <w:r w:rsidR="00715ACD">
        <w:t>’</w:t>
      </w:r>
      <w:r w:rsidR="003B2F42">
        <w:t>ils auront à supporter</w:t>
      </w:r>
      <w:r>
        <w:t xml:space="preserve"> et leur proposer un échéancier</w:t>
      </w:r>
      <w:bookmarkEnd w:id="146"/>
    </w:p>
    <w:p w14:paraId="27CCDD8B" w14:textId="22A1D5AE" w:rsidR="00D529F4" w:rsidRPr="002E65D8" w:rsidRDefault="00D529F4" w:rsidP="00D529F4">
      <w:pPr>
        <w:pStyle w:val="PBParagraph"/>
      </w:pPr>
      <w:bookmarkStart w:id="147" w:name="_Ref210732167"/>
      <w:r>
        <w:t>« </w:t>
      </w:r>
      <w:r>
        <w:rPr>
          <w:b/>
          <w:bCs/>
        </w:rPr>
        <w:t>Aviser les FPA</w:t>
      </w:r>
      <w:r>
        <w:t xml:space="preserve"> en amont (c.-à-d. avant qu</w:t>
      </w:r>
      <w:r w:rsidR="00715ACD">
        <w:t>’</w:t>
      </w:r>
      <w:r>
        <w:t>ils n</w:t>
      </w:r>
      <w:r w:rsidR="00715ACD">
        <w:t>’</w:t>
      </w:r>
      <w:r>
        <w:t>engagent la procédure d</w:t>
      </w:r>
      <w:r w:rsidR="00715ACD">
        <w:t>’</w:t>
      </w:r>
      <w:r>
        <w:t>adoption) grâce à une liste détaillée des frais, honoraires et contributions et des modalités de paiement, notamment quant à la possibilité que certains paiements soient annulés, réduits ou remboursés » (non souligné dans l</w:t>
      </w:r>
      <w:r w:rsidR="00715ACD">
        <w:t>’</w:t>
      </w:r>
      <w:r>
        <w:t>original, retrait du gras présent dans l</w:t>
      </w:r>
      <w:r w:rsidR="00715ACD">
        <w:t>’</w:t>
      </w:r>
      <w:r>
        <w:t>orignal)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24.1</w:t>
      </w:r>
      <w:r>
        <w:t>) et commencer à travailler avec un OAA leur permet de décider en connaissance de cause de poursuivre ou non la procédure d</w:t>
      </w:r>
      <w:r w:rsidR="00715ACD">
        <w:t>’</w:t>
      </w:r>
      <w:r>
        <w:t>adoption, de choisir avec quel OAA travailler et de savoir comment établir leur budget. S</w:t>
      </w:r>
      <w:r w:rsidR="00715ACD">
        <w:t>’</w:t>
      </w:r>
      <w:r>
        <w:t>il est demandé aux FPA, au cours de la procédure d</w:t>
      </w:r>
      <w:r w:rsidR="00715ACD">
        <w:t>’</w:t>
      </w:r>
      <w:r>
        <w:t xml:space="preserve">adoption, de faire un don, celui-ci devrait être considéré comme une contribution et figurer dans la liste des frais. « [L]es FPA [devraient être encouragés] à solliciter des </w:t>
      </w:r>
      <w:r>
        <w:rPr>
          <w:b/>
          <w:bCs/>
        </w:rPr>
        <w:t>informations supplémentaires ou des clarifications</w:t>
      </w:r>
      <w:r>
        <w:t xml:space="preserve"> tout au long de la procédure d</w:t>
      </w:r>
      <w:r w:rsidR="00715ACD">
        <w:t>’</w:t>
      </w:r>
      <w:r>
        <w:t>adoption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24.3</w:t>
      </w:r>
      <w:r>
        <w:t>).</w:t>
      </w:r>
      <w:bookmarkEnd w:id="147"/>
      <w:r>
        <w:t xml:space="preserve"> </w:t>
      </w:r>
    </w:p>
    <w:p w14:paraId="795BF083" w14:textId="51CD8265" w:rsidR="00D529F4" w:rsidRPr="002E65D8" w:rsidRDefault="00D529F4" w:rsidP="00D529F4">
      <w:pPr>
        <w:pStyle w:val="PBParagraph"/>
      </w:pPr>
      <w:r>
        <w:t>Dans de nombreux États d</w:t>
      </w:r>
      <w:r w:rsidR="00715ACD">
        <w:t>’</w:t>
      </w:r>
      <w:r>
        <w:t xml:space="preserve">accueil, le </w:t>
      </w:r>
      <w:r>
        <w:rPr>
          <w:b/>
          <w:bCs/>
        </w:rPr>
        <w:t>contrat signé entre les FPA et l</w:t>
      </w:r>
      <w:r w:rsidR="00715ACD">
        <w:rPr>
          <w:b/>
          <w:bCs/>
        </w:rPr>
        <w:t>’</w:t>
      </w:r>
      <w:r>
        <w:rPr>
          <w:b/>
          <w:bCs/>
        </w:rPr>
        <w:t>OAA</w:t>
      </w:r>
      <w:r>
        <w:t xml:space="preserve"> doit contenir des informations quant aux dépenses attendues. </w:t>
      </w:r>
    </w:p>
    <w:p w14:paraId="22EADB72" w14:textId="0F7FABA9" w:rsidR="0076337B" w:rsidRPr="002E65D8" w:rsidRDefault="00A83FDC" w:rsidP="00D529F4">
      <w:pPr>
        <w:pStyle w:val="PBParagraph"/>
      </w:pPr>
      <w:bookmarkStart w:id="148" w:name="_Ref210732175"/>
      <w:r>
        <w:lastRenderedPageBreak/>
        <w:t xml:space="preserve">Il </w:t>
      </w:r>
      <w:r w:rsidR="003B2F42">
        <w:t>importe</w:t>
      </w:r>
      <w:r>
        <w:t xml:space="preserve"> que les FPA sachent à quels stades de la procédure d</w:t>
      </w:r>
      <w:r w:rsidR="00715ACD">
        <w:t>’</w:t>
      </w:r>
      <w:r>
        <w:t xml:space="preserve">adoption ils devront payer certains honoraires. Aussi, « [p]our chaque adoption, [...] un </w:t>
      </w:r>
      <w:r>
        <w:rPr>
          <w:b/>
          <w:bCs/>
        </w:rPr>
        <w:t>échéancier écrit pour le paiement</w:t>
      </w:r>
      <w:r>
        <w:t xml:space="preserve"> des frais, honoraires et contributions (par ex. inclus dans le contrat signé avec l</w:t>
      </w:r>
      <w:r w:rsidR="00715ACD">
        <w:t>’</w:t>
      </w:r>
      <w:r>
        <w:t>OAA) » devrait être proposé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24.2</w:t>
      </w:r>
      <w:r>
        <w:t>).</w:t>
      </w:r>
      <w:bookmarkEnd w:id="148"/>
    </w:p>
    <w:p w14:paraId="571CCDB3" w14:textId="7E337B27" w:rsidR="00CD68D4" w:rsidRPr="002E65D8" w:rsidRDefault="002E7A3B" w:rsidP="00CD68D4">
      <w:pPr>
        <w:pStyle w:val="Blueboxtitle"/>
        <w:spacing w:after="0" w:line="240" w:lineRule="auto"/>
        <w:outlineLvl w:val="2"/>
      </w:pPr>
      <w:bookmarkStart w:id="149" w:name="_Toc236061687"/>
      <w:r>
        <w:t>Boîte</w:t>
      </w:r>
      <w:r w:rsidR="00CD68D4">
        <w:t> 11 : Notification des coûts et échéancier</w:t>
      </w:r>
      <w:bookmarkEnd w:id="149"/>
    </w:p>
    <w:p w14:paraId="070C2485" w14:textId="2E81C2D5" w:rsidR="00CD68D4" w:rsidRPr="002E65D8" w:rsidRDefault="00CD68D4" w:rsidP="00CD68D4">
      <w:pPr>
        <w:pStyle w:val="Blueboxtitle"/>
        <w:rPr>
          <w:b w:val="0"/>
          <w:bCs w:val="0"/>
        </w:rPr>
      </w:pPr>
      <w:r>
        <w:rPr>
          <w:b w:val="0"/>
        </w:rPr>
        <w:t xml:space="preserve">Quelques exemples de mesures mises en œuvre par les États </w:t>
      </w:r>
    </w:p>
    <w:p w14:paraId="136C0B39" w14:textId="77777777" w:rsidR="00D7419F" w:rsidRPr="002E65D8" w:rsidRDefault="00D7419F" w:rsidP="00D7419F">
      <w:pPr>
        <w:pStyle w:val="Bluebox"/>
      </w:pPr>
      <w:r>
        <w:t>Au Canada (Manitoba), les OAA doivent communiquer aux FPA une grille tarifaire claire avant de fournir des services en lien avec l’adoption</w:t>
      </w:r>
      <w:r w:rsidRPr="002E65D8">
        <w:rPr>
          <w:rStyle w:val="FootnoteReference"/>
        </w:rPr>
        <w:footnoteReference w:id="229"/>
      </w:r>
      <w:r>
        <w:t>.</w:t>
      </w:r>
    </w:p>
    <w:p w14:paraId="0C5DF47A" w14:textId="2727C4AF" w:rsidR="00F9758B" w:rsidRPr="002E65D8" w:rsidRDefault="00D529F4" w:rsidP="00F9758B">
      <w:pPr>
        <w:pStyle w:val="Bluebox"/>
      </w:pPr>
      <w:r>
        <w:t>Au Canada (Québec), les OAA doivent signer un contrat écrit avec les FPA qui contient, entre autres, le détail des frais estimés, y compris à qui ils devront être acquittés et s</w:t>
      </w:r>
      <w:r w:rsidR="00715ACD">
        <w:t>’</w:t>
      </w:r>
      <w:r>
        <w:t>ils sont susceptibles de changer</w:t>
      </w:r>
      <w:r w:rsidR="00F04491" w:rsidRPr="002E65D8">
        <w:rPr>
          <w:rStyle w:val="FootnoteReference"/>
        </w:rPr>
        <w:footnoteReference w:id="230"/>
      </w:r>
      <w:r>
        <w:t>. L</w:t>
      </w:r>
      <w:r w:rsidR="00715ACD">
        <w:t>’</w:t>
      </w:r>
      <w:r>
        <w:t xml:space="preserve">Autorité centrale encourage les OAA à inclure dans le contrat signé avec les FPA un « échéancier ». </w:t>
      </w:r>
    </w:p>
    <w:p w14:paraId="63B58A62" w14:textId="77777777" w:rsidR="00320ABE" w:rsidRPr="002E65D8" w:rsidRDefault="00320ABE" w:rsidP="00320ABE">
      <w:pPr>
        <w:pStyle w:val="Bluebox"/>
      </w:pPr>
      <w:r>
        <w:t>En Espagne, le modèle de contrat entre l’OAA et les FPA contient une annexe consacrée aux frais, qui doit être approuvée par l’Autorité centrale espagnole</w:t>
      </w:r>
      <w:r w:rsidRPr="002E65D8">
        <w:rPr>
          <w:rStyle w:val="FootnoteReference"/>
          <w:szCs w:val="16"/>
        </w:rPr>
        <w:footnoteReference w:id="231"/>
      </w:r>
      <w:r>
        <w:t xml:space="preserve">. </w:t>
      </w:r>
    </w:p>
    <w:p w14:paraId="62A39CAE" w14:textId="77777777" w:rsidR="00320ABE" w:rsidRPr="002E65D8" w:rsidRDefault="00320ABE" w:rsidP="00320ABE">
      <w:pPr>
        <w:pStyle w:val="Bluebox"/>
      </w:pPr>
      <w:r>
        <w:t>Aux États-Unis, les OAA et les personnes et organismes autorisés (non agréés) remettent aux FPA, avant leur demande d’adoption, un barème des honoraires et des dépenses prévisionnels ainsi qu’une explication des conditions dans lesquelles des honoraires ou des frais peuvent être demandés, annulés, réduits ou remboursés, indiquant à quel moment et comment les honoraires et frais doivent être acquittés</w:t>
      </w:r>
      <w:r w:rsidRPr="002E65D8">
        <w:rPr>
          <w:rStyle w:val="FootnoteReference"/>
        </w:rPr>
        <w:footnoteReference w:id="232"/>
      </w:r>
      <w:r>
        <w:t>.</w:t>
      </w:r>
    </w:p>
    <w:p w14:paraId="1EEC6982" w14:textId="092A8B04" w:rsidR="00D529F4" w:rsidRPr="002E65D8" w:rsidRDefault="00D529F4" w:rsidP="00017C48">
      <w:pPr>
        <w:pStyle w:val="Bluebox"/>
      </w:pPr>
      <w:r>
        <w:t>En France et en Italie, figure en annexe au contrat signé entre les FPA et l</w:t>
      </w:r>
      <w:r w:rsidR="00715ACD">
        <w:t>’</w:t>
      </w:r>
      <w:r>
        <w:t>OAA, le détail des frais attendus à différents stades de la procédure. En France, tout changement des montants doit faire l</w:t>
      </w:r>
      <w:r w:rsidR="00715ACD">
        <w:t>’</w:t>
      </w:r>
      <w:r>
        <w:t>objet d</w:t>
      </w:r>
      <w:r w:rsidR="00715ACD">
        <w:t>’</w:t>
      </w:r>
      <w:r>
        <w:t>un avenant au contrat et l</w:t>
      </w:r>
      <w:r w:rsidR="00715ACD">
        <w:t>’</w:t>
      </w:r>
      <w:r>
        <w:t>OAA ne peut solliciter le paiement d</w:t>
      </w:r>
      <w:r w:rsidR="00715ACD">
        <w:t>’</w:t>
      </w:r>
      <w:r>
        <w:t>aucun frais avant la préparation du contrat</w:t>
      </w:r>
      <w:r w:rsidR="002E1EE5" w:rsidRPr="002E65D8">
        <w:rPr>
          <w:rStyle w:val="FootnoteReference"/>
        </w:rPr>
        <w:footnoteReference w:id="233"/>
      </w:r>
      <w:r>
        <w:t>. En Italie, un « modèle standard » a été mis au point et transmis à tous les OAA, l</w:t>
      </w:r>
      <w:r w:rsidR="00715ACD">
        <w:t>’</w:t>
      </w:r>
      <w:r>
        <w:t>objectif étant de réglementer les questions financières</w:t>
      </w:r>
      <w:r w:rsidR="00123B27" w:rsidRPr="002E65D8">
        <w:rPr>
          <w:rStyle w:val="FootnoteReference"/>
        </w:rPr>
        <w:footnoteReference w:id="234"/>
      </w:r>
      <w:r>
        <w:t>.</w:t>
      </w:r>
    </w:p>
    <w:p w14:paraId="6DC6B138" w14:textId="3301D49F" w:rsidR="00D529F4" w:rsidRPr="002E65D8" w:rsidRDefault="00D529F4" w:rsidP="00017C48">
      <w:pPr>
        <w:pStyle w:val="Bluebox"/>
      </w:pPr>
      <w:r>
        <w:t>En Italie et en Espagne, les FPA sont informés de toutes les dépenses qui seront à leur charge pour la partie de la procédure réalisée dans l</w:t>
      </w:r>
      <w:r w:rsidR="00715ACD">
        <w:t>’</w:t>
      </w:r>
      <w:r>
        <w:t>État d</w:t>
      </w:r>
      <w:r w:rsidR="00715ACD">
        <w:t>’</w:t>
      </w:r>
      <w:r>
        <w:t>accueil, dans l</w:t>
      </w:r>
      <w:r w:rsidR="00715ACD">
        <w:t>’</w:t>
      </w:r>
      <w:r>
        <w:t>État d</w:t>
      </w:r>
      <w:r w:rsidR="00715ACD">
        <w:t>’</w:t>
      </w:r>
      <w:r>
        <w:t>origine et pour les services de suivi de l</w:t>
      </w:r>
      <w:r w:rsidR="00715ACD">
        <w:t>’</w:t>
      </w:r>
      <w:r>
        <w:t>adoption</w:t>
      </w:r>
      <w:r w:rsidR="00B10B91" w:rsidRPr="002E65D8">
        <w:rPr>
          <w:rStyle w:val="FootnoteReference"/>
        </w:rPr>
        <w:footnoteReference w:id="235"/>
      </w:r>
      <w:r>
        <w:t xml:space="preserve">. </w:t>
      </w:r>
    </w:p>
    <w:p w14:paraId="43706D48" w14:textId="01CC0D70" w:rsidR="0034015B" w:rsidRPr="002E65D8" w:rsidRDefault="0034015B" w:rsidP="0034015B">
      <w:pPr>
        <w:pStyle w:val="Bluebox"/>
      </w:pPr>
      <w:r>
        <w:t>Aux Philippines, l</w:t>
      </w:r>
      <w:r w:rsidR="00715ACD">
        <w:t>’</w:t>
      </w:r>
      <w:r>
        <w:t>Autorité centrale fournit aux FPA un échéancier</w:t>
      </w:r>
      <w:r w:rsidR="006A31C4">
        <w:t xml:space="preserve">, lequel </w:t>
      </w:r>
      <w:r>
        <w:t>indique qu</w:t>
      </w:r>
      <w:r w:rsidR="00715ACD">
        <w:t>’</w:t>
      </w:r>
      <w:r>
        <w:t>un montant est à payer à l</w:t>
      </w:r>
      <w:r w:rsidR="00715ACD">
        <w:t>’</w:t>
      </w:r>
      <w:r>
        <w:t>Autorité centrale au dépôt de la demande d</w:t>
      </w:r>
      <w:r w:rsidR="00715ACD">
        <w:t>’</w:t>
      </w:r>
      <w:r>
        <w:t>adoption, tandis que les frais de traitement sont dus à l</w:t>
      </w:r>
      <w:r w:rsidR="00715ACD">
        <w:t>’</w:t>
      </w:r>
      <w:r>
        <w:t>acceptation de la proposition d</w:t>
      </w:r>
      <w:r w:rsidR="00715ACD">
        <w:t>’</w:t>
      </w:r>
      <w:r>
        <w:t>apparentement, de même que d</w:t>
      </w:r>
      <w:r w:rsidR="00715ACD">
        <w:t>’</w:t>
      </w:r>
      <w:r>
        <w:t>éventuels frais de placement préalables à l</w:t>
      </w:r>
      <w:r w:rsidR="00715ACD">
        <w:t>’</w:t>
      </w:r>
      <w:r>
        <w:t>adoption</w:t>
      </w:r>
      <w:r w:rsidRPr="002E65D8">
        <w:rPr>
          <w:rStyle w:val="FootnoteReference"/>
        </w:rPr>
        <w:footnoteReference w:id="236"/>
      </w:r>
      <w:r>
        <w:t>.</w:t>
      </w:r>
    </w:p>
    <w:p w14:paraId="506AD0C4" w14:textId="1CF7B05B" w:rsidR="00D529F4" w:rsidRPr="002E65D8" w:rsidRDefault="002A6F6A" w:rsidP="004047D5">
      <w:pPr>
        <w:pStyle w:val="Heading4"/>
      </w:pPr>
      <w:bookmarkStart w:id="150" w:name="_Ref211256071"/>
      <w:r>
        <w:t>Garantir les paiements au moyen de transactions financières enregistrées et, le cas échéant, effectuées par l</w:t>
      </w:r>
      <w:r w:rsidR="00715ACD">
        <w:t>’</w:t>
      </w:r>
      <w:r>
        <w:t>intermédiaire des OAA</w:t>
      </w:r>
      <w:bookmarkEnd w:id="150"/>
    </w:p>
    <w:p w14:paraId="2CD7D4E2" w14:textId="1051FBC3" w:rsidR="00D529F4" w:rsidRPr="002E65D8" w:rsidRDefault="00D529F4" w:rsidP="00D529F4">
      <w:pPr>
        <w:pStyle w:val="PBParagraph"/>
      </w:pPr>
      <w:bookmarkStart w:id="151" w:name="_Ref210732691"/>
      <w:r>
        <w:t>Les États peuvent poser des limites aux moyens de paiement autorisés afin d</w:t>
      </w:r>
      <w:r w:rsidR="00715ACD">
        <w:t>’</w:t>
      </w:r>
      <w:r>
        <w:t xml:space="preserve">en assurer la </w:t>
      </w:r>
      <w:r>
        <w:rPr>
          <w:b/>
          <w:bCs/>
        </w:rPr>
        <w:t>traçabilité et l</w:t>
      </w:r>
      <w:r w:rsidR="00715ACD">
        <w:rPr>
          <w:b/>
          <w:bCs/>
        </w:rPr>
        <w:t>’</w:t>
      </w:r>
      <w:r>
        <w:rPr>
          <w:b/>
          <w:bCs/>
        </w:rPr>
        <w:t>enregistrement</w:t>
      </w:r>
      <w:r>
        <w:t xml:space="preserve">. Ils peuvent notamment exiger que « tous les paiements soient enregistrés et effectués par </w:t>
      </w:r>
      <w:r>
        <w:rPr>
          <w:b/>
          <w:bCs/>
        </w:rPr>
        <w:t>virement bancaire</w:t>
      </w:r>
      <w:r>
        <w:t xml:space="preserve"> vers un compte spécifique de l</w:t>
      </w:r>
      <w:r w:rsidR="00715ACD">
        <w:t>’</w:t>
      </w:r>
      <w:r>
        <w:t>Autorité centrale ou de l</w:t>
      </w:r>
      <w:r w:rsidR="00715ACD">
        <w:t>’</w:t>
      </w:r>
      <w:r>
        <w:t>OAA » (</w:t>
      </w:r>
      <w:r>
        <w:rPr>
          <w:color w:val="00B050"/>
        </w:rPr>
        <w:t xml:space="preserve">FS3, </w:t>
      </w:r>
      <w:r w:rsidR="00250381">
        <w:rPr>
          <w:color w:val="00B050"/>
        </w:rPr>
        <w:t>boîte </w:t>
      </w:r>
      <w:r>
        <w:rPr>
          <w:color w:val="00B050"/>
        </w:rPr>
        <w:t>28.2</w:t>
      </w:r>
      <w:r>
        <w:t xml:space="preserve">) et peuvent souhaiter « [v]eiller à ce que les montants facturés </w:t>
      </w:r>
      <w:r>
        <w:rPr>
          <w:b/>
          <w:bCs/>
        </w:rPr>
        <w:t>ne dépassent pas le montant fixé</w:t>
      </w:r>
      <w:r>
        <w:t xml:space="preserve"> par l</w:t>
      </w:r>
      <w:r w:rsidR="00715ACD">
        <w:t>’</w:t>
      </w:r>
      <w:r>
        <w:t>autorité ou l</w:t>
      </w:r>
      <w:r w:rsidR="00715ACD">
        <w:t>’</w:t>
      </w:r>
      <w:r>
        <w:t>organ</w:t>
      </w:r>
      <w:r w:rsidR="00A93E6E">
        <w:t>ism</w:t>
      </w:r>
      <w:r>
        <w:t>e pertinent » (</w:t>
      </w:r>
      <w:r>
        <w:rPr>
          <w:color w:val="00B050"/>
        </w:rPr>
        <w:t xml:space="preserve">FS3, </w:t>
      </w:r>
      <w:r w:rsidR="00250381">
        <w:rPr>
          <w:color w:val="00B050"/>
        </w:rPr>
        <w:t>boîte </w:t>
      </w:r>
      <w:r>
        <w:rPr>
          <w:color w:val="00B050"/>
        </w:rPr>
        <w:t>4.2</w:t>
      </w:r>
      <w:r>
        <w:t>). Les lois et règlements devraient aussi « [i]nterdire les paiements en espèces » (retrait du gras présent dans l</w:t>
      </w:r>
      <w:r w:rsidR="00715ACD">
        <w:t>’</w:t>
      </w:r>
      <w:r>
        <w:t>orignal) (</w:t>
      </w:r>
      <w:r>
        <w:rPr>
          <w:color w:val="00B050"/>
        </w:rPr>
        <w:t xml:space="preserve">FS3, </w:t>
      </w:r>
      <w:r w:rsidR="00250381">
        <w:rPr>
          <w:color w:val="00B050"/>
        </w:rPr>
        <w:t>boîte </w:t>
      </w:r>
      <w:r>
        <w:rPr>
          <w:color w:val="00B050"/>
        </w:rPr>
        <w:t>28.1</w:t>
      </w:r>
      <w:r>
        <w:t>) par tous les acteurs.</w:t>
      </w:r>
      <w:bookmarkEnd w:id="151"/>
      <w:r>
        <w:t xml:space="preserve"> </w:t>
      </w:r>
    </w:p>
    <w:p w14:paraId="6EE90529" w14:textId="13F4B1C8" w:rsidR="00BE2F9B" w:rsidRPr="002E65D8" w:rsidRDefault="002E7A3B" w:rsidP="00BE2F9B">
      <w:pPr>
        <w:pStyle w:val="Blueboxtitle"/>
        <w:spacing w:after="0" w:line="240" w:lineRule="auto"/>
        <w:outlineLvl w:val="2"/>
      </w:pPr>
      <w:bookmarkStart w:id="152" w:name="_Toc236061688"/>
      <w:r>
        <w:t>Boîte</w:t>
      </w:r>
      <w:r w:rsidR="00BE2F9B">
        <w:t> 12 : Paiements au moyen de transactions financières enregistrées</w:t>
      </w:r>
      <w:bookmarkEnd w:id="152"/>
    </w:p>
    <w:p w14:paraId="7C77F113" w14:textId="77777777" w:rsidR="00BE2F9B" w:rsidRPr="002E65D8" w:rsidRDefault="00BE2F9B" w:rsidP="00BE2F9B">
      <w:pPr>
        <w:pStyle w:val="Blueboxtitle"/>
        <w:rPr>
          <w:b w:val="0"/>
          <w:bCs w:val="0"/>
        </w:rPr>
      </w:pPr>
      <w:r>
        <w:rPr>
          <w:b w:val="0"/>
        </w:rPr>
        <w:t xml:space="preserve">Quelques exemples de mesures mises en œuvre par les États </w:t>
      </w:r>
    </w:p>
    <w:p w14:paraId="7B085CB0" w14:textId="03323D53" w:rsidR="000F1704" w:rsidRPr="002E65D8" w:rsidRDefault="00DD64AA" w:rsidP="00017C48">
      <w:pPr>
        <w:pStyle w:val="Bluebox"/>
        <w:rPr>
          <w:color w:val="00B0F0"/>
        </w:rPr>
      </w:pPr>
      <w:r>
        <w:t>En ce qui concerne les États d</w:t>
      </w:r>
      <w:r w:rsidR="00715ACD">
        <w:t>’</w:t>
      </w:r>
      <w:r>
        <w:t xml:space="preserve">origine, </w:t>
      </w:r>
      <w:r w:rsidR="00595EDA">
        <w:t>nombre</w:t>
      </w:r>
      <w:r>
        <w:t xml:space="preserve"> </w:t>
      </w:r>
      <w:r w:rsidR="00595EDA">
        <w:t>d</w:t>
      </w:r>
      <w:r w:rsidR="00715ACD">
        <w:t>’</w:t>
      </w:r>
      <w:r w:rsidR="00595EDA">
        <w:t>entre eux n</w:t>
      </w:r>
      <w:r w:rsidR="00715ACD">
        <w:t>’</w:t>
      </w:r>
      <w:r>
        <w:t xml:space="preserve">autorisent </w:t>
      </w:r>
      <w:r w:rsidR="00595EDA">
        <w:t xml:space="preserve">que </w:t>
      </w:r>
      <w:r>
        <w:t>les paiements par virement bancaire (par ex. Bulgarie, Burundi, Cabo Verde, Chine, Côte d</w:t>
      </w:r>
      <w:r w:rsidR="00715ACD">
        <w:t>’</w:t>
      </w:r>
      <w:r>
        <w:t>Ivoire, Inde, Madagascar, République de Moldova)</w:t>
      </w:r>
      <w:r w:rsidR="009451BF" w:rsidRPr="002E65D8">
        <w:rPr>
          <w:rStyle w:val="FootnoteReference"/>
        </w:rPr>
        <w:footnoteReference w:id="237"/>
      </w:r>
      <w:r>
        <w:t>.</w:t>
      </w:r>
      <w:r w:rsidR="00E6549D">
        <w:t xml:space="preserve"> </w:t>
      </w:r>
    </w:p>
    <w:p w14:paraId="4DF2706F" w14:textId="20C87723" w:rsidR="00E7057B" w:rsidRPr="002E65D8" w:rsidRDefault="007949B2" w:rsidP="00017C48">
      <w:pPr>
        <w:pStyle w:val="Bluebox"/>
        <w:rPr>
          <w:color w:val="00B0F0"/>
        </w:rPr>
      </w:pPr>
      <w:r>
        <w:t>Certains États dans lesquels l</w:t>
      </w:r>
      <w:r w:rsidR="00715ACD">
        <w:t>’</w:t>
      </w:r>
      <w:r>
        <w:t>Autorité centrale fournit ses services à titre gratuit précisent que les paiements au profit d</w:t>
      </w:r>
      <w:r w:rsidR="00715ACD">
        <w:t>’</w:t>
      </w:r>
      <w:r>
        <w:t xml:space="preserve">autres prestataires de services (par ex. interprètes, avocats, frais de voyage, hébergement) sont </w:t>
      </w:r>
      <w:r>
        <w:lastRenderedPageBreak/>
        <w:t>acquittés directement auprès desdits prestataires conformément aux normes qui s</w:t>
      </w:r>
      <w:r w:rsidR="00715ACD">
        <w:t>’</w:t>
      </w:r>
      <w:r>
        <w:t>appliquent à eux (par ex. République dominicaine, République tchèque)</w:t>
      </w:r>
      <w:r w:rsidR="00CA2AC4" w:rsidRPr="002E65D8">
        <w:rPr>
          <w:rStyle w:val="FootnoteReference"/>
        </w:rPr>
        <w:footnoteReference w:id="238"/>
      </w:r>
      <w:r w:rsidR="003A38E2">
        <w:t>.</w:t>
      </w:r>
    </w:p>
    <w:p w14:paraId="26562C7F" w14:textId="2A6BA1A5" w:rsidR="00A500FC" w:rsidRPr="002E65D8" w:rsidRDefault="003E1F65" w:rsidP="00017C48">
      <w:pPr>
        <w:pStyle w:val="Bluebox"/>
        <w:rPr>
          <w:color w:val="00B0F0"/>
        </w:rPr>
      </w:pPr>
      <w:r>
        <w:t>S</w:t>
      </w:r>
      <w:r w:rsidR="00715ACD">
        <w:t>’</w:t>
      </w:r>
      <w:r>
        <w:t>agissant des États d</w:t>
      </w:r>
      <w:r w:rsidR="00715ACD">
        <w:t>’</w:t>
      </w:r>
      <w:r>
        <w:t xml:space="preserve">accueil, </w:t>
      </w:r>
      <w:r w:rsidR="005B180F">
        <w:t xml:space="preserve">ils sont également </w:t>
      </w:r>
      <w:r>
        <w:t>nombre</w:t>
      </w:r>
      <w:r w:rsidR="005B180F">
        <w:t>ux</w:t>
      </w:r>
      <w:r>
        <w:t xml:space="preserve"> </w:t>
      </w:r>
      <w:r w:rsidR="005B180F">
        <w:t>à n</w:t>
      </w:r>
      <w:r w:rsidR="00715ACD">
        <w:t>’</w:t>
      </w:r>
      <w:r w:rsidR="005B180F">
        <w:t>accepter</w:t>
      </w:r>
      <w:r>
        <w:t xml:space="preserve"> les paiements </w:t>
      </w:r>
      <w:r w:rsidR="005B180F">
        <w:t xml:space="preserve">que </w:t>
      </w:r>
      <w:r>
        <w:t>par virement bancaire (par ex. Allemagne, Danemark, Espagne, Finlande, Italie, Luxembourg, Norvège, Nouvelle-Zélande, Pays-Bas, Suède, Suisse)</w:t>
      </w:r>
      <w:r w:rsidR="00A732F4" w:rsidRPr="002E65D8">
        <w:rPr>
          <w:rStyle w:val="FootnoteReference"/>
        </w:rPr>
        <w:footnoteReference w:id="239"/>
      </w:r>
      <w:r w:rsidR="003A38E2">
        <w:t>.</w:t>
      </w:r>
    </w:p>
    <w:p w14:paraId="57170C67" w14:textId="02FC98FC" w:rsidR="00FE3044" w:rsidRPr="002E65D8" w:rsidRDefault="00FE3044" w:rsidP="00017C48">
      <w:pPr>
        <w:pStyle w:val="Bluebox"/>
        <w:rPr>
          <w:color w:val="00B0F0"/>
        </w:rPr>
      </w:pPr>
      <w:r>
        <w:t>Au Canada (Colombie-Britannique), les paiements doivent être effectués par virement bancaire. Si le paiement est effectué en espèces (par ex. parce que le client n</w:t>
      </w:r>
      <w:r w:rsidR="00715ACD">
        <w:t>’</w:t>
      </w:r>
      <w:r>
        <w:t>a pas de compte bancaire), la devise est photocopiée, consignée dans le dossier et déposée sur le compte bancaire de l</w:t>
      </w:r>
      <w:r w:rsidR="00715ACD">
        <w:t>’</w:t>
      </w:r>
      <w:r>
        <w:t>OAA</w:t>
      </w:r>
      <w:r w:rsidRPr="002E65D8">
        <w:rPr>
          <w:rStyle w:val="FootnoteReference"/>
          <w:szCs w:val="16"/>
        </w:rPr>
        <w:footnoteReference w:id="240"/>
      </w:r>
      <w:r>
        <w:t>.</w:t>
      </w:r>
    </w:p>
    <w:p w14:paraId="583DE86D" w14:textId="7FDB3240" w:rsidR="00C758D2" w:rsidRPr="002E65D8" w:rsidRDefault="00FE3044" w:rsidP="00017C48">
      <w:pPr>
        <w:pStyle w:val="Bluebox"/>
      </w:pPr>
      <w:r>
        <w:t>Aux Philippines, le site web de l</w:t>
      </w:r>
      <w:r w:rsidR="00715ACD">
        <w:t>’</w:t>
      </w:r>
      <w:r>
        <w:t>Autorité centrale indique que tous les paiements d</w:t>
      </w:r>
      <w:r w:rsidR="00715ACD">
        <w:t>’</w:t>
      </w:r>
      <w:r>
        <w:t>honoraires et d</w:t>
      </w:r>
      <w:r w:rsidR="00715ACD">
        <w:t>’</w:t>
      </w:r>
      <w:r>
        <w:t>autres frais doivent être effectués par chèque d</w:t>
      </w:r>
      <w:r w:rsidR="00715ACD">
        <w:t>’</w:t>
      </w:r>
      <w:r>
        <w:t xml:space="preserve">entreprise, mandat bancaire ou chèque de banque international. Il précise que les chèques personnels, chèques de voyage ou espèces ne </w:t>
      </w:r>
      <w:r w:rsidR="006801F9">
        <w:t>peuvent être acceptés</w:t>
      </w:r>
      <w:r w:rsidR="00C32046" w:rsidRPr="002E65D8">
        <w:rPr>
          <w:rStyle w:val="FootnoteReference"/>
          <w:szCs w:val="16"/>
        </w:rPr>
        <w:footnoteReference w:id="241"/>
      </w:r>
      <w:r>
        <w:t>.</w:t>
      </w:r>
    </w:p>
    <w:p w14:paraId="191DC560" w14:textId="5258ED6F" w:rsidR="00F627D9" w:rsidRPr="00724AC6" w:rsidRDefault="00D529F4" w:rsidP="000F2513">
      <w:pPr>
        <w:pStyle w:val="PBParagraph"/>
        <w:spacing w:after="160"/>
      </w:pPr>
      <w:bookmarkStart w:id="153" w:name="_Ref210988410"/>
      <w:r>
        <w:t>Une autre garantie consiste à « [v]eiller à ce que les FPA effectuent tous les paiements dans l</w:t>
      </w:r>
      <w:r w:rsidR="00715ACD">
        <w:t>’</w:t>
      </w:r>
      <w:r>
        <w:t>État d</w:t>
      </w:r>
      <w:r w:rsidR="00715ACD">
        <w:t>’</w:t>
      </w:r>
      <w:r>
        <w:t xml:space="preserve">origine </w:t>
      </w:r>
      <w:r w:rsidRPr="00724AC6">
        <w:rPr>
          <w:b/>
          <w:bCs/>
        </w:rPr>
        <w:t>par l</w:t>
      </w:r>
      <w:r w:rsidR="00715ACD">
        <w:rPr>
          <w:b/>
          <w:bCs/>
        </w:rPr>
        <w:t>’</w:t>
      </w:r>
      <w:r w:rsidRPr="00724AC6">
        <w:rPr>
          <w:b/>
          <w:bCs/>
        </w:rPr>
        <w:t>intermédiaire de l</w:t>
      </w:r>
      <w:r w:rsidR="00715ACD">
        <w:rPr>
          <w:b/>
          <w:bCs/>
        </w:rPr>
        <w:t>’</w:t>
      </w:r>
      <w:r w:rsidRPr="00724AC6">
        <w:rPr>
          <w:b/>
          <w:bCs/>
        </w:rPr>
        <w:t>OAA</w:t>
      </w:r>
      <w:r>
        <w:t xml:space="preserve"> qu</w:t>
      </w:r>
      <w:r w:rsidR="00715ACD">
        <w:t>’</w:t>
      </w:r>
      <w:r>
        <w:t>ils utilisent ou, dans la mesure du possible, de l</w:t>
      </w:r>
      <w:r w:rsidR="00715ACD">
        <w:t>’</w:t>
      </w:r>
      <w:r w:rsidRPr="00724AC6">
        <w:rPr>
          <w:b/>
          <w:bCs/>
        </w:rPr>
        <w:t>Autorité centrale</w:t>
      </w:r>
      <w:r>
        <w:t> » (</w:t>
      </w:r>
      <w:r w:rsidRPr="00724AC6">
        <w:rPr>
          <w:color w:val="00B050"/>
        </w:rPr>
        <w:t xml:space="preserve">FS3, </w:t>
      </w:r>
      <w:r w:rsidR="00250381">
        <w:rPr>
          <w:color w:val="00B050"/>
        </w:rPr>
        <w:t>boîte </w:t>
      </w:r>
      <w:r w:rsidRPr="00724AC6">
        <w:rPr>
          <w:color w:val="00B050"/>
        </w:rPr>
        <w:t>30</w:t>
      </w:r>
      <w:r>
        <w:t>), et non directement aux personnes, organ</w:t>
      </w:r>
      <w:r w:rsidR="00A93E6E">
        <w:t>ism</w:t>
      </w:r>
      <w:r>
        <w:t>es ou institutions</w:t>
      </w:r>
      <w:r w:rsidRPr="002E65D8">
        <w:rPr>
          <w:rStyle w:val="FootnoteReference"/>
        </w:rPr>
        <w:footnoteReference w:id="242"/>
      </w:r>
      <w:r>
        <w:t>.</w:t>
      </w:r>
      <w:bookmarkEnd w:id="153"/>
    </w:p>
    <w:p w14:paraId="4D053FEC" w14:textId="1CAB7C1E" w:rsidR="00DA5FFD" w:rsidRPr="002E65D8" w:rsidRDefault="002E7A3B" w:rsidP="00DA5FFD">
      <w:pPr>
        <w:pStyle w:val="Blueboxtitle"/>
        <w:spacing w:after="0" w:line="240" w:lineRule="auto"/>
        <w:outlineLvl w:val="2"/>
      </w:pPr>
      <w:bookmarkStart w:id="154" w:name="_Toc236061689"/>
      <w:r>
        <w:t>Boîte</w:t>
      </w:r>
      <w:r w:rsidR="00DA5FFD">
        <w:t> 13 : Paiements effectués par l</w:t>
      </w:r>
      <w:r w:rsidR="00715ACD">
        <w:t>’</w:t>
      </w:r>
      <w:r w:rsidR="00DA5FFD">
        <w:t>intermédiaire de l</w:t>
      </w:r>
      <w:r w:rsidR="00715ACD">
        <w:t>’</w:t>
      </w:r>
      <w:r w:rsidR="00DA5FFD">
        <w:t>Autorité centrale ou des OAA</w:t>
      </w:r>
      <w:bookmarkEnd w:id="154"/>
    </w:p>
    <w:p w14:paraId="39E69EC1" w14:textId="77777777" w:rsidR="00DA5FFD" w:rsidRPr="002E65D8" w:rsidRDefault="00DA5FFD" w:rsidP="00DA5FFD">
      <w:pPr>
        <w:pStyle w:val="Blueboxtitle"/>
        <w:rPr>
          <w:b w:val="0"/>
          <w:bCs w:val="0"/>
        </w:rPr>
      </w:pPr>
      <w:r>
        <w:rPr>
          <w:b w:val="0"/>
        </w:rPr>
        <w:t xml:space="preserve">Quelques exemples de mesures mises en œuvre par les États </w:t>
      </w:r>
    </w:p>
    <w:p w14:paraId="7982795F" w14:textId="7964EBA0" w:rsidR="00D74472" w:rsidRPr="002E65D8" w:rsidRDefault="00471A66" w:rsidP="00017C48">
      <w:pPr>
        <w:pStyle w:val="Bluebox"/>
      </w:pPr>
      <w:r>
        <w:t xml:space="preserve">Parmi les États </w:t>
      </w:r>
      <w:r w:rsidR="0000261C">
        <w:t>d</w:t>
      </w:r>
      <w:r w:rsidR="00715ACD">
        <w:t>’</w:t>
      </w:r>
      <w:r w:rsidR="0000261C">
        <w:t xml:space="preserve">accueil </w:t>
      </w:r>
      <w:r>
        <w:t>qui exigent que les paiements effectués dans l</w:t>
      </w:r>
      <w:r w:rsidR="00715ACD">
        <w:t>’</w:t>
      </w:r>
      <w:r>
        <w:t>État d</w:t>
      </w:r>
      <w:r w:rsidR="00715ACD">
        <w:t>’</w:t>
      </w:r>
      <w:r>
        <w:t>origine le soient par l</w:t>
      </w:r>
      <w:r w:rsidR="00715ACD">
        <w:t>’</w:t>
      </w:r>
      <w:r>
        <w:t>intermédiaire de l</w:t>
      </w:r>
      <w:r w:rsidR="00715ACD">
        <w:t>’</w:t>
      </w:r>
      <w:r>
        <w:t>OAA impliqué dans une adoption en particulier, on peut citer le Danemark, l</w:t>
      </w:r>
      <w:r w:rsidR="00715ACD">
        <w:t>’</w:t>
      </w:r>
      <w:r>
        <w:t>Espagne, la Finlande, l</w:t>
      </w:r>
      <w:r w:rsidR="00715ACD">
        <w:t>’</w:t>
      </w:r>
      <w:r>
        <w:t>Irlande, l</w:t>
      </w:r>
      <w:r w:rsidR="00715ACD">
        <w:t>’</w:t>
      </w:r>
      <w:r>
        <w:t>Italie, le Luxembourg et la Norvège</w:t>
      </w:r>
      <w:r w:rsidR="00561D1D" w:rsidRPr="002E65D8">
        <w:rPr>
          <w:rStyle w:val="FootnoteReference"/>
        </w:rPr>
        <w:footnoteReference w:id="243"/>
      </w:r>
      <w:r w:rsidR="00724AC6">
        <w:t>.</w:t>
      </w:r>
    </w:p>
    <w:p w14:paraId="488AF048" w14:textId="283A5EEC" w:rsidR="00471A66" w:rsidRPr="002E65D8" w:rsidRDefault="00471A66" w:rsidP="00017C48">
      <w:pPr>
        <w:pStyle w:val="Bluebox"/>
      </w:pPr>
      <w:r>
        <w:t>Parmi les États d</w:t>
      </w:r>
      <w:r w:rsidR="00715ACD">
        <w:t>’</w:t>
      </w:r>
      <w:r>
        <w:t>origine qui exigent que les frais de l</w:t>
      </w:r>
      <w:r w:rsidR="00715ACD">
        <w:t>’</w:t>
      </w:r>
      <w:r>
        <w:t>adoption internationale acquittés dans leur État le soient par l</w:t>
      </w:r>
      <w:r w:rsidR="00715ACD">
        <w:t>’</w:t>
      </w:r>
      <w:r>
        <w:t>intermédiaire de l</w:t>
      </w:r>
      <w:r w:rsidR="00715ACD">
        <w:t>’</w:t>
      </w:r>
      <w:r>
        <w:t>OAA, on peut citer le Burkina Faso, le Burundi, la C</w:t>
      </w:r>
      <w:r w:rsidR="00724AC6">
        <w:t>hine, l</w:t>
      </w:r>
      <w:r w:rsidR="00715ACD">
        <w:t>’</w:t>
      </w:r>
      <w:r w:rsidR="00724AC6">
        <w:t>Inde et les Philippines</w:t>
      </w:r>
      <w:r w:rsidR="00081CA0" w:rsidRPr="002E65D8">
        <w:rPr>
          <w:rStyle w:val="FootnoteReference"/>
        </w:rPr>
        <w:footnoteReference w:id="244"/>
      </w:r>
      <w:r w:rsidR="00724AC6">
        <w:t>.</w:t>
      </w:r>
    </w:p>
    <w:p w14:paraId="725F3C9E" w14:textId="25178327" w:rsidR="008770B4" w:rsidRPr="002E65D8" w:rsidRDefault="00D529F4" w:rsidP="00017C48">
      <w:pPr>
        <w:pStyle w:val="Bluebox"/>
      </w:pPr>
      <w:r>
        <w:t>En Italie, l</w:t>
      </w:r>
      <w:r w:rsidR="00715ACD">
        <w:t>’</w:t>
      </w:r>
      <w:r>
        <w:t>Autorité centrale a expressément prévu le paiement de l</w:t>
      </w:r>
      <w:r w:rsidR="00715ACD">
        <w:t>’</w:t>
      </w:r>
      <w:r>
        <w:t>intégralité des frais de procédure, répartis par tranches, directement en Italie à l</w:t>
      </w:r>
      <w:r w:rsidR="00715ACD">
        <w:t>’</w:t>
      </w:r>
      <w:r>
        <w:t>OAA, que ce soit pour les services rendus en Italie comme à l</w:t>
      </w:r>
      <w:r w:rsidR="00715ACD">
        <w:t>’</w:t>
      </w:r>
      <w:r>
        <w:t>étranger</w:t>
      </w:r>
      <w:r w:rsidRPr="002E65D8">
        <w:rPr>
          <w:rStyle w:val="FootnoteReference"/>
        </w:rPr>
        <w:footnoteReference w:id="245"/>
      </w:r>
      <w:r>
        <w:t>.</w:t>
      </w:r>
    </w:p>
    <w:p w14:paraId="16C898DF" w14:textId="577F08F1" w:rsidR="00D529F4" w:rsidRPr="002E65D8" w:rsidRDefault="00D529F4" w:rsidP="00D529F4">
      <w:pPr>
        <w:pStyle w:val="PBParagraph"/>
      </w:pPr>
      <w:bookmarkStart w:id="155" w:name="_Ref210732693"/>
      <w:r>
        <w:t xml:space="preserve">Une autre option pourrait consister à canaliser toutes les adoptions vers des </w:t>
      </w:r>
      <w:r>
        <w:rPr>
          <w:b/>
          <w:bCs/>
        </w:rPr>
        <w:t>services publics</w:t>
      </w:r>
      <w:r>
        <w:t xml:space="preserve"> en lieu et place des OAA, ce qui aurait l</w:t>
      </w:r>
      <w:r w:rsidR="00715ACD">
        <w:t>’</w:t>
      </w:r>
      <w:r>
        <w:t>avantage d</w:t>
      </w:r>
      <w:r w:rsidR="00715ACD">
        <w:t>’</w:t>
      </w:r>
      <w:r>
        <w:t>atténuer le besoin de contrôler les coûts.</w:t>
      </w:r>
      <w:bookmarkEnd w:id="155"/>
      <w:r>
        <w:t xml:space="preserve"> </w:t>
      </w:r>
    </w:p>
    <w:p w14:paraId="289D5238" w14:textId="21813282" w:rsidR="00D529F4" w:rsidRPr="002E65D8" w:rsidRDefault="00D529F4" w:rsidP="004047D5">
      <w:pPr>
        <w:pStyle w:val="Heading4"/>
      </w:pPr>
      <w:bookmarkStart w:id="156" w:name="_Ref211256092"/>
      <w:r>
        <w:t>Promouvoir la pratique consistant à délivrer des reçus officiels et des factures détaillées</w:t>
      </w:r>
      <w:bookmarkEnd w:id="156"/>
    </w:p>
    <w:p w14:paraId="3667F274" w14:textId="7467DAE3" w:rsidR="00D529F4" w:rsidRPr="002E65D8" w:rsidRDefault="00D529F4" w:rsidP="00D529F4">
      <w:pPr>
        <w:pStyle w:val="PBParagraph"/>
      </w:pPr>
      <w:bookmarkStart w:id="157" w:name="_Ref210733196"/>
      <w:r>
        <w:t>Lorsque les FPA effectuent un paiement, celui-ci devrait s</w:t>
      </w:r>
      <w:r w:rsidR="00715ACD">
        <w:t>’</w:t>
      </w:r>
      <w:r>
        <w:t>accompagner d</w:t>
      </w:r>
      <w:r w:rsidR="00715ACD">
        <w:t>’</w:t>
      </w:r>
      <w:r>
        <w:t xml:space="preserve">un écrit (facture détaillée). Une fois le paiement effectué (y compris les dons), un écrit devrait (également) le confirmer (reçu officiel). Autrement dit, cela signifie que « des </w:t>
      </w:r>
      <w:r>
        <w:rPr>
          <w:b/>
          <w:bCs/>
        </w:rPr>
        <w:t>factures détaillées</w:t>
      </w:r>
      <w:r>
        <w:t xml:space="preserve"> (sauf pour les dons) et des </w:t>
      </w:r>
      <w:r>
        <w:rPr>
          <w:b/>
          <w:bCs/>
        </w:rPr>
        <w:t>reçus officiels</w:t>
      </w:r>
      <w:r>
        <w:t xml:space="preserve"> [devraient être émis ou sollicités] pour le paiement de frais, d</w:t>
      </w:r>
      <w:r w:rsidR="00715ACD">
        <w:t>’</w:t>
      </w:r>
      <w:r>
        <w:t>honoraires, de contributions et de dons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29</w:t>
      </w:r>
      <w:r>
        <w:t>). Une plus grande transparence serait possible si des reçus officiels, au nom de la famille demandeuse, pouvaient être délivrés pour toutes les activités facturées dans les deux États lorsqu</w:t>
      </w:r>
      <w:r w:rsidR="00715ACD">
        <w:t>’</w:t>
      </w:r>
      <w:r>
        <w:t>un OAA ou son représentant ou collaborateur exécute une prestation de service.</w:t>
      </w:r>
      <w:bookmarkEnd w:id="157"/>
    </w:p>
    <w:p w14:paraId="4CCD2A40" w14:textId="54104823" w:rsidR="00D529F4" w:rsidRPr="002E65D8" w:rsidRDefault="00D529F4" w:rsidP="00D529F4">
      <w:pPr>
        <w:pStyle w:val="PBParagraph"/>
      </w:pPr>
      <w:bookmarkStart w:id="158" w:name="_Ref210732834"/>
      <w:r>
        <w:t>En outre, les contributions et les dons ne devraient être faits qu</w:t>
      </w:r>
      <w:r w:rsidR="00715ACD">
        <w:t>’</w:t>
      </w:r>
      <w:r>
        <w:t xml:space="preserve">à la condition que le </w:t>
      </w:r>
      <w:r>
        <w:rPr>
          <w:b/>
          <w:bCs/>
        </w:rPr>
        <w:t>reçu officiel</w:t>
      </w:r>
      <w:r>
        <w:t xml:space="preserve"> détaille sa finalité.</w:t>
      </w:r>
      <w:bookmarkEnd w:id="158"/>
      <w:r>
        <w:t> </w:t>
      </w:r>
    </w:p>
    <w:p w14:paraId="54E4EBEC" w14:textId="20A1C671" w:rsidR="00517203" w:rsidRPr="002E65D8" w:rsidRDefault="002E7A3B" w:rsidP="00517203">
      <w:pPr>
        <w:pStyle w:val="Blueboxtitle"/>
        <w:spacing w:after="0" w:line="240" w:lineRule="auto"/>
        <w:outlineLvl w:val="2"/>
      </w:pPr>
      <w:bookmarkStart w:id="159" w:name="_Toc236061690"/>
      <w:r>
        <w:t>Boîte</w:t>
      </w:r>
      <w:r w:rsidR="00517203">
        <w:t> 14 : Reçus et factures</w:t>
      </w:r>
      <w:bookmarkEnd w:id="159"/>
    </w:p>
    <w:p w14:paraId="10220831" w14:textId="77777777" w:rsidR="00517203" w:rsidRPr="002E65D8" w:rsidRDefault="00517203" w:rsidP="00517203">
      <w:pPr>
        <w:pStyle w:val="Blueboxtitle"/>
        <w:rPr>
          <w:b w:val="0"/>
          <w:bCs w:val="0"/>
        </w:rPr>
      </w:pPr>
      <w:r>
        <w:rPr>
          <w:b w:val="0"/>
        </w:rPr>
        <w:t xml:space="preserve">Quelques exemples de mesures mises en œuvre par les États </w:t>
      </w:r>
    </w:p>
    <w:p w14:paraId="4BE87B41" w14:textId="59225C9A" w:rsidR="002D772C" w:rsidRPr="002E65D8" w:rsidRDefault="004F3EB6" w:rsidP="008442DD">
      <w:pPr>
        <w:pStyle w:val="Bluebox"/>
      </w:pPr>
      <w:r>
        <w:lastRenderedPageBreak/>
        <w:t>Exemples d</w:t>
      </w:r>
      <w:r w:rsidR="00715ACD">
        <w:t>’</w:t>
      </w:r>
      <w:r>
        <w:t>États qui signalent émettre des factures et / ou des reçus : Burkina Faso, Chine (RAS de Hong Kong), Ghana, Guatemala, Malte, Maurice, Nouvelle-Zélande, Philippines</w:t>
      </w:r>
      <w:r w:rsidR="005B5954">
        <w:t>, Royaume-Uni (Écosse)</w:t>
      </w:r>
      <w:r>
        <w:t>, Thaïlande, Togo</w:t>
      </w:r>
      <w:r w:rsidR="00DC2504" w:rsidRPr="002E65D8">
        <w:rPr>
          <w:rStyle w:val="FootnoteReference"/>
        </w:rPr>
        <w:footnoteReference w:id="246"/>
      </w:r>
      <w:r>
        <w:t xml:space="preserve">. </w:t>
      </w:r>
    </w:p>
    <w:p w14:paraId="69B9ED35" w14:textId="54BF1316" w:rsidR="00D529F4" w:rsidRPr="002E65D8" w:rsidRDefault="00D529F4" w:rsidP="00017C48">
      <w:pPr>
        <w:pStyle w:val="Bluebox"/>
      </w:pPr>
      <w:r>
        <w:t>En Italie, la législation fiscale énonce l</w:t>
      </w:r>
      <w:r w:rsidR="00715ACD">
        <w:t>’</w:t>
      </w:r>
      <w:r>
        <w:t>obligation pour une personne ou un organ</w:t>
      </w:r>
      <w:r w:rsidR="00A93E6E">
        <w:t>ism</w:t>
      </w:r>
      <w:r>
        <w:t>e qui fournit un service d</w:t>
      </w:r>
      <w:r w:rsidR="00715ACD">
        <w:t>’</w:t>
      </w:r>
      <w:r>
        <w:t>émettre des factures et des reçus</w:t>
      </w:r>
      <w:bookmarkStart w:id="160" w:name="_Ref203992997"/>
      <w:r w:rsidR="004C28F1" w:rsidRPr="002E65D8">
        <w:rPr>
          <w:rStyle w:val="FootnoteReference"/>
        </w:rPr>
        <w:footnoteReference w:id="247"/>
      </w:r>
      <w:bookmarkEnd w:id="160"/>
      <w:r w:rsidR="00724AC6">
        <w:t>.</w:t>
      </w:r>
    </w:p>
    <w:p w14:paraId="09EDF659" w14:textId="209D3623" w:rsidR="00E35B7A" w:rsidRPr="002E65D8" w:rsidRDefault="00E35B7A" w:rsidP="00017C48">
      <w:pPr>
        <w:pStyle w:val="Bluebox"/>
      </w:pPr>
      <w:r>
        <w:t>Au Togo, les honoraires sont payés sur un compte du trésor public et un reçu officiel est délivré aux FPA, qu</w:t>
      </w:r>
      <w:r w:rsidR="00715ACD">
        <w:t>’</w:t>
      </w:r>
      <w:r>
        <w:t>ils sont tenus de conserver</w:t>
      </w:r>
      <w:r w:rsidRPr="002E65D8">
        <w:rPr>
          <w:rStyle w:val="FootnoteReference"/>
        </w:rPr>
        <w:footnoteReference w:id="248"/>
      </w:r>
      <w:r>
        <w:t>.</w:t>
      </w:r>
    </w:p>
    <w:p w14:paraId="26182BD3" w14:textId="10BB7A83" w:rsidR="00D529F4" w:rsidRPr="002E65D8" w:rsidRDefault="00D529F4" w:rsidP="004047D5">
      <w:pPr>
        <w:pStyle w:val="Heading4"/>
      </w:pPr>
      <w:bookmarkStart w:id="161" w:name="_Ref211256275"/>
      <w:r>
        <w:t>Veiller à la transparence de l</w:t>
      </w:r>
      <w:r w:rsidR="00715ACD">
        <w:t>’</w:t>
      </w:r>
      <w:r>
        <w:t>affectation finale des sommes perçues</w:t>
      </w:r>
      <w:bookmarkEnd w:id="161"/>
    </w:p>
    <w:p w14:paraId="085616F8" w14:textId="2EFAD8BC" w:rsidR="00D529F4" w:rsidRPr="002E65D8" w:rsidRDefault="00D529F4" w:rsidP="00D529F4">
      <w:pPr>
        <w:pStyle w:val="PBParagraph"/>
      </w:pPr>
      <w:bookmarkStart w:id="162" w:name="_Ref210733350"/>
      <w:r>
        <w:t>Tous les acteurs devraient « </w:t>
      </w:r>
      <w:r>
        <w:rPr>
          <w:b/>
          <w:bCs/>
        </w:rPr>
        <w:t>[p]réciser l</w:t>
      </w:r>
      <w:r w:rsidR="00715ACD">
        <w:rPr>
          <w:b/>
          <w:bCs/>
        </w:rPr>
        <w:t>’</w:t>
      </w:r>
      <w:r>
        <w:rPr>
          <w:b/>
          <w:bCs/>
        </w:rPr>
        <w:t>affectation finale des frais et des honoraires</w:t>
      </w:r>
      <w:r>
        <w:t> » (non souligné dans l</w:t>
      </w:r>
      <w:r w:rsidR="00715ACD">
        <w:t>’</w:t>
      </w:r>
      <w:r>
        <w:t>original) (</w:t>
      </w:r>
      <w:r>
        <w:rPr>
          <w:color w:val="00B050"/>
        </w:rPr>
        <w:t xml:space="preserve">FS3, </w:t>
      </w:r>
      <w:r w:rsidR="00250381">
        <w:rPr>
          <w:color w:val="00B050"/>
        </w:rPr>
        <w:t>boîte </w:t>
      </w:r>
      <w:r w:rsidR="00771599">
        <w:rPr>
          <w:color w:val="00B050"/>
        </w:rPr>
        <w:t>0</w:t>
      </w:r>
      <w:r>
        <w:rPr>
          <w:color w:val="00B050"/>
        </w:rPr>
        <w:t>4.5</w:t>
      </w:r>
      <w:r>
        <w:t xml:space="preserve">). Pour des raisons de transparence, il </w:t>
      </w:r>
      <w:r w:rsidR="007E4481">
        <w:t>importe</w:t>
      </w:r>
      <w:r>
        <w:t xml:space="preserve"> de connaître la véritable destination des fonds. En ce qui concerne les coûts de l</w:t>
      </w:r>
      <w:r w:rsidR="00715ACD">
        <w:t>’</w:t>
      </w:r>
      <w:r>
        <w:t>adoption, « l</w:t>
      </w:r>
      <w:r w:rsidR="00715ACD">
        <w:t>’</w:t>
      </w:r>
      <w:r>
        <w:t>argent devrait servir à payer pour des services particuliers liés à l</w:t>
      </w:r>
      <w:r w:rsidR="00715ACD">
        <w:t>’</w:t>
      </w:r>
      <w:r>
        <w:t>adoption » (</w:t>
      </w:r>
      <w:r>
        <w:rPr>
          <w:color w:val="00B050"/>
        </w:rPr>
        <w:t xml:space="preserve">FS3, </w:t>
      </w:r>
      <w:r w:rsidR="00250381">
        <w:rPr>
          <w:color w:val="00B050"/>
        </w:rPr>
        <w:t>boîte </w:t>
      </w:r>
      <w:r w:rsidR="00771599">
        <w:rPr>
          <w:color w:val="00B050"/>
        </w:rPr>
        <w:t>0</w:t>
      </w:r>
      <w:r>
        <w:rPr>
          <w:color w:val="00B050"/>
        </w:rPr>
        <w:t>4.5</w:t>
      </w:r>
      <w:r>
        <w:t>). Par exemple, les représentants et collaborateurs des OAA étrangers dans les États d</w:t>
      </w:r>
      <w:r w:rsidR="00715ACD">
        <w:t>’</w:t>
      </w:r>
      <w:r>
        <w:t>origine devraient être tenus d</w:t>
      </w:r>
      <w:r w:rsidR="00715ACD">
        <w:t>’</w:t>
      </w:r>
      <w:r>
        <w:t>informer de façon claire les OAA pour lesquels ils travaillent de la manière dont l</w:t>
      </w:r>
      <w:r w:rsidR="00715ACD">
        <w:t>’</w:t>
      </w:r>
      <w:r>
        <w:t>argent versé pour les services prêtés a été dépensé.</w:t>
      </w:r>
      <w:bookmarkEnd w:id="162"/>
    </w:p>
    <w:p w14:paraId="626B4AFB" w14:textId="2098AF0B" w:rsidR="00D529F4" w:rsidRPr="002E65D8" w:rsidRDefault="00D529F4" w:rsidP="00D529F4">
      <w:pPr>
        <w:pStyle w:val="PBParagraph"/>
      </w:pPr>
      <w:r>
        <w:t>Dans l</w:t>
      </w:r>
      <w:r w:rsidR="00715ACD">
        <w:t>’</w:t>
      </w:r>
      <w:r>
        <w:t xml:space="preserve">éventualité où il y aurait des </w:t>
      </w:r>
      <w:r>
        <w:rPr>
          <w:b/>
          <w:bCs/>
        </w:rPr>
        <w:t>contributions et des dons</w:t>
      </w:r>
      <w:r>
        <w:t xml:space="preserve"> (voir ci-après chapitre </w:t>
      </w:r>
      <w:r w:rsidR="006B090D" w:rsidRPr="002E65D8">
        <w:fldChar w:fldCharType="begin"/>
      </w:r>
      <w:r w:rsidR="006B090D" w:rsidRPr="002E65D8">
        <w:instrText xml:space="preserve"> REF _Ref228436428 \r \h </w:instrText>
      </w:r>
      <w:r w:rsidR="002E65D8">
        <w:instrText xml:space="preserve"> \* MERGEFORMAT </w:instrText>
      </w:r>
      <w:r w:rsidR="006B090D" w:rsidRPr="002E65D8">
        <w:fldChar w:fldCharType="separate"/>
      </w:r>
      <w:r w:rsidR="00E6549D">
        <w:t>7</w:t>
      </w:r>
      <w:r w:rsidR="006B090D" w:rsidRPr="002E65D8">
        <w:fldChar w:fldCharType="end"/>
      </w:r>
      <w:r>
        <w:t xml:space="preserve">), les États devraient « [v]eiller à ce que les autorités et organismes compétents expliquent aux FPA, clairement et en amont, </w:t>
      </w:r>
      <w:r>
        <w:rPr>
          <w:b/>
          <w:bCs/>
        </w:rPr>
        <w:t>la finalité et l</w:t>
      </w:r>
      <w:r w:rsidR="00715ACD">
        <w:rPr>
          <w:b/>
          <w:bCs/>
        </w:rPr>
        <w:t>’</w:t>
      </w:r>
      <w:r>
        <w:rPr>
          <w:b/>
          <w:bCs/>
        </w:rPr>
        <w:t>utilisation ou l</w:t>
      </w:r>
      <w:r w:rsidR="00715ACD">
        <w:rPr>
          <w:b/>
          <w:bCs/>
        </w:rPr>
        <w:t>’</w:t>
      </w:r>
      <w:r>
        <w:rPr>
          <w:b/>
          <w:bCs/>
        </w:rPr>
        <w:t>affectation finale</w:t>
      </w:r>
      <w:r>
        <w:t xml:space="preserve"> de la contribution, du don ou du projet de coopération » (</w:t>
      </w:r>
      <w:r>
        <w:rPr>
          <w:color w:val="00B050"/>
        </w:rPr>
        <w:t xml:space="preserve">FS3, </w:t>
      </w:r>
      <w:r w:rsidR="00250381">
        <w:rPr>
          <w:color w:val="00B050"/>
        </w:rPr>
        <w:t>boîte </w:t>
      </w:r>
      <w:r>
        <w:rPr>
          <w:color w:val="00B050"/>
        </w:rPr>
        <w:t>36</w:t>
      </w:r>
      <w:r>
        <w:t xml:space="preserve">). </w:t>
      </w:r>
    </w:p>
    <w:p w14:paraId="4928684F" w14:textId="279076EA" w:rsidR="00D529F4" w:rsidRPr="002E65D8" w:rsidRDefault="00D529F4" w:rsidP="00D529F4">
      <w:pPr>
        <w:pStyle w:val="PBParagraph"/>
      </w:pPr>
      <w:bookmarkStart w:id="163" w:name="_Ref210733353"/>
      <w:r>
        <w:t xml:space="preserve">« [L]es fonds récoltés au moyen de contributions, de dons ou de projets de coopération </w:t>
      </w:r>
      <w:r>
        <w:rPr>
          <w:b/>
          <w:bCs/>
        </w:rPr>
        <w:t>ne [devraient être] utilisés que</w:t>
      </w:r>
      <w:r>
        <w:t xml:space="preserve"> pour améliorer le[s] système[s] nationa[ux] de protection des enfants, notamment pour renforcer les programmes de préservation et de réunification des familles, et de prévention de l</w:t>
      </w:r>
      <w:r w:rsidR="00715ACD">
        <w:t>’</w:t>
      </w:r>
      <w:r>
        <w:t>abandon » (non souligné dans l</w:t>
      </w:r>
      <w:r w:rsidR="00715ACD">
        <w:t>’</w:t>
      </w:r>
      <w:r>
        <w:t>original, retrait du gras présent dans l</w:t>
      </w:r>
      <w:r w:rsidR="00715ACD">
        <w:t>’</w:t>
      </w:r>
      <w:r>
        <w:t>orignal)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10.1</w:t>
      </w:r>
      <w:r>
        <w:t>). « Ils ne devraient pas être utilisés pour financer le système d</w:t>
      </w:r>
      <w:r w:rsidR="00715ACD">
        <w:t>’</w:t>
      </w:r>
      <w:r>
        <w:t>adoption internationale ou des institutions pour enfants impliquées dans l</w:t>
      </w:r>
      <w:r w:rsidR="00715ACD">
        <w:t>’</w:t>
      </w:r>
      <w:r>
        <w:t>adoption internationale » (</w:t>
      </w:r>
      <w:r>
        <w:rPr>
          <w:color w:val="00B050"/>
        </w:rPr>
        <w:t xml:space="preserve">FS3, </w:t>
      </w:r>
      <w:r w:rsidR="00250381">
        <w:rPr>
          <w:color w:val="00B050"/>
        </w:rPr>
        <w:t>boîte </w:t>
      </w:r>
      <w:r>
        <w:rPr>
          <w:color w:val="00B050"/>
        </w:rPr>
        <w:t>10.2</w:t>
      </w:r>
      <w:r>
        <w:t>)</w:t>
      </w:r>
      <w:r w:rsidRPr="002E65D8">
        <w:rPr>
          <w:rStyle w:val="FootnoteReference"/>
        </w:rPr>
        <w:footnoteReference w:id="249"/>
      </w:r>
      <w:r>
        <w:t>.</w:t>
      </w:r>
      <w:bookmarkEnd w:id="163"/>
      <w:r>
        <w:t xml:space="preserve"> </w:t>
      </w:r>
    </w:p>
    <w:p w14:paraId="0EAE005B" w14:textId="34E62B57" w:rsidR="00B971E9" w:rsidRPr="002E65D8" w:rsidRDefault="002E7A3B" w:rsidP="00B971E9">
      <w:pPr>
        <w:pStyle w:val="Blueboxtitle"/>
        <w:spacing w:after="0" w:line="240" w:lineRule="auto"/>
        <w:outlineLvl w:val="2"/>
      </w:pPr>
      <w:bookmarkStart w:id="164" w:name="_Toc236061691"/>
      <w:r>
        <w:t>Boîte</w:t>
      </w:r>
      <w:r w:rsidR="00B971E9">
        <w:t> 15 : Affectation finale de l</w:t>
      </w:r>
      <w:r w:rsidR="00715ACD">
        <w:t>’</w:t>
      </w:r>
      <w:r w:rsidR="00B971E9">
        <w:t>argent</w:t>
      </w:r>
      <w:bookmarkEnd w:id="164"/>
    </w:p>
    <w:p w14:paraId="44504AD8" w14:textId="1CC07673" w:rsidR="00B971E9" w:rsidRPr="002E65D8" w:rsidRDefault="00B971E9" w:rsidP="00B971E9">
      <w:pPr>
        <w:pStyle w:val="Blueboxtitle"/>
        <w:rPr>
          <w:b w:val="0"/>
          <w:bCs w:val="0"/>
        </w:rPr>
      </w:pPr>
      <w:r>
        <w:rPr>
          <w:b w:val="0"/>
        </w:rPr>
        <w:t xml:space="preserve">Quelques exemples de mesures mises en œuvre par les États </w:t>
      </w:r>
    </w:p>
    <w:p w14:paraId="0B8E0712" w14:textId="7EEF42B0" w:rsidR="005139BA" w:rsidRPr="002E65D8" w:rsidRDefault="005139BA" w:rsidP="005139BA">
      <w:pPr>
        <w:pStyle w:val="Bluebox"/>
      </w:pPr>
      <w:r>
        <w:t>En Belgique (communauté flamande), un contrat est établi avec le représentant de l</w:t>
      </w:r>
      <w:r w:rsidR="00715ACD">
        <w:t>’</w:t>
      </w:r>
      <w:r>
        <w:t xml:space="preserve">OAA dans chaque État avec lequel la Belgique travaille. Ce contrat contient le détail des différents services fournis et des montants facturés </w:t>
      </w:r>
      <w:r w:rsidR="00151155">
        <w:t>à cet égard</w:t>
      </w:r>
      <w:r w:rsidR="00D54B45" w:rsidRPr="002E65D8">
        <w:rPr>
          <w:rStyle w:val="FootnoteReference"/>
        </w:rPr>
        <w:footnoteReference w:id="250"/>
      </w:r>
      <w:r>
        <w:t>.</w:t>
      </w:r>
    </w:p>
    <w:p w14:paraId="57542B9D" w14:textId="0EC8D2D9" w:rsidR="00B971E9" w:rsidRPr="002E65D8" w:rsidRDefault="00B971E9" w:rsidP="00B971E9">
      <w:pPr>
        <w:pStyle w:val="Bluebox"/>
      </w:pPr>
      <w:r>
        <w:t>Au Canada (Québec), les OAA exigent de leurs représentants dans les États d</w:t>
      </w:r>
      <w:r w:rsidR="00715ACD">
        <w:t>’</w:t>
      </w:r>
      <w:r>
        <w:t>origine qu</w:t>
      </w:r>
      <w:r w:rsidR="00715ACD">
        <w:t>’</w:t>
      </w:r>
      <w:r>
        <w:t>ils suivent de près et enregistrent toutes les transactions financières effectuées dans l</w:t>
      </w:r>
      <w:r w:rsidR="00715ACD">
        <w:t>’</w:t>
      </w:r>
      <w:r>
        <w:t>État d</w:t>
      </w:r>
      <w:r w:rsidR="00715ACD">
        <w:t>’</w:t>
      </w:r>
      <w:r>
        <w:t>origine. À l</w:t>
      </w:r>
      <w:r w:rsidR="00715ACD">
        <w:t>’</w:t>
      </w:r>
      <w:r>
        <w:t>issue de chaque procédure d</w:t>
      </w:r>
      <w:r w:rsidR="00715ACD">
        <w:t>’</w:t>
      </w:r>
      <w:r>
        <w:t>adoption, les représentants sont tenus de transmettre à l</w:t>
      </w:r>
      <w:r w:rsidR="00715ACD">
        <w:t>’</w:t>
      </w:r>
      <w:r>
        <w:t>OAA un compte-rendu détaillé de tout service rendu (par eux-mêmes ou d</w:t>
      </w:r>
      <w:r w:rsidR="00715ACD">
        <w:t>’</w:t>
      </w:r>
      <w:r>
        <w:t>autres collaborateurs), précisant le nombre d</w:t>
      </w:r>
      <w:r w:rsidR="00715ACD">
        <w:t>’</w:t>
      </w:r>
      <w:r>
        <w:t>heures et le montant correspondants. En outre, un reçu faisant état du travail mené et du montant versé doit être émis pour chaque paiement effectué. Cette pratique permet à l</w:t>
      </w:r>
      <w:r w:rsidR="00715ACD">
        <w:t>’</w:t>
      </w:r>
      <w:r>
        <w:t>OAA de superviser plus efficacement les transactions financières dans l</w:t>
      </w:r>
      <w:r w:rsidR="00715ACD">
        <w:t>’</w:t>
      </w:r>
      <w:r>
        <w:t>État d</w:t>
      </w:r>
      <w:r w:rsidR="00715ACD">
        <w:t>’</w:t>
      </w:r>
      <w:r>
        <w:t>origine et conduit, en fin de compte, à une plus grande transparence et à une responsabilisation des acteurs</w:t>
      </w:r>
      <w:r w:rsidR="00E7631C" w:rsidRPr="002E65D8">
        <w:rPr>
          <w:rStyle w:val="FootnoteReference"/>
        </w:rPr>
        <w:footnoteReference w:id="251"/>
      </w:r>
      <w:r>
        <w:t>.</w:t>
      </w:r>
    </w:p>
    <w:p w14:paraId="48ACD2BF" w14:textId="3DD2206B" w:rsidR="004B7849" w:rsidRPr="002E65D8" w:rsidRDefault="004B7849" w:rsidP="00B971E9">
      <w:pPr>
        <w:pStyle w:val="Bluebox"/>
      </w:pPr>
      <w:r>
        <w:t>Aux Philippines, la loi précise de quelle manière et à quelle fin les honoraires perçus seront utilisés</w:t>
      </w:r>
      <w:r w:rsidR="0057174B" w:rsidRPr="002E65D8">
        <w:rPr>
          <w:rStyle w:val="FootnoteReference"/>
        </w:rPr>
        <w:footnoteReference w:id="252"/>
      </w:r>
      <w:r>
        <w:t>. Le site web de l</w:t>
      </w:r>
      <w:r w:rsidR="00715ACD">
        <w:t>’</w:t>
      </w:r>
      <w:r>
        <w:t>Autorité centrale précise en outre comment sont utilisés les honoraires versés avant le voyage</w:t>
      </w:r>
      <w:r w:rsidR="00C543D2" w:rsidRPr="002E65D8">
        <w:rPr>
          <w:rStyle w:val="FootnoteReference"/>
        </w:rPr>
        <w:footnoteReference w:id="253"/>
      </w:r>
      <w:r>
        <w:t>.</w:t>
      </w:r>
    </w:p>
    <w:p w14:paraId="2E367278" w14:textId="7E7DF37E" w:rsidR="00D529F4" w:rsidRPr="002E65D8" w:rsidRDefault="00D529F4" w:rsidP="004047D5">
      <w:pPr>
        <w:pStyle w:val="Heading4"/>
      </w:pPr>
      <w:bookmarkStart w:id="165" w:name="_Ref211256284"/>
      <w:r>
        <w:lastRenderedPageBreak/>
        <w:t>Signaler les transactions financières et surveiller l</w:t>
      </w:r>
      <w:r w:rsidR="00715ACD">
        <w:t>’</w:t>
      </w:r>
      <w:r>
        <w:t>utilisation de l</w:t>
      </w:r>
      <w:r w:rsidR="00715ACD">
        <w:t>’</w:t>
      </w:r>
      <w:r>
        <w:t>argent</w:t>
      </w:r>
      <w:bookmarkEnd w:id="165"/>
    </w:p>
    <w:p w14:paraId="79D24247" w14:textId="4B9A1909" w:rsidR="00D529F4" w:rsidRPr="002E65D8" w:rsidRDefault="00D529F4" w:rsidP="00D529F4">
      <w:pPr>
        <w:pStyle w:val="PBParagraph"/>
      </w:pPr>
      <w:bookmarkStart w:id="166" w:name="_Ref210988534"/>
      <w:r>
        <w:t xml:space="preserve">Les Autorités centrales, ou les autorités compétentes concernées, devraient </w:t>
      </w:r>
      <w:r>
        <w:rPr>
          <w:b/>
          <w:bCs/>
        </w:rPr>
        <w:t>surveiller étroitement l</w:t>
      </w:r>
      <w:r w:rsidR="00715ACD">
        <w:rPr>
          <w:b/>
          <w:bCs/>
        </w:rPr>
        <w:t>’</w:t>
      </w:r>
      <w:r>
        <w:rPr>
          <w:b/>
          <w:bCs/>
        </w:rPr>
        <w:t xml:space="preserve">emploi des sommes </w:t>
      </w:r>
      <w:r w:rsidR="00CE3963">
        <w:rPr>
          <w:b/>
          <w:bCs/>
        </w:rPr>
        <w:t>précises perçues</w:t>
      </w:r>
      <w:r>
        <w:t xml:space="preserve"> par les organismes et les personnes. Elles devraient demander que toutes les transactions financières soient enregistrées et qu</w:t>
      </w:r>
      <w:r w:rsidR="00715ACD">
        <w:t>’</w:t>
      </w:r>
      <w:r>
        <w:t>elles fassent l</w:t>
      </w:r>
      <w:r w:rsidR="00715ACD">
        <w:t>’</w:t>
      </w:r>
      <w:r>
        <w:t>objet de rapports financiers détaillés. Des critères précis concernant la supervision des aspects financiers de tous les acteurs pourraient être établis dans chaque État.</w:t>
      </w:r>
      <w:bookmarkEnd w:id="166"/>
      <w:r>
        <w:t xml:space="preserve"> </w:t>
      </w:r>
    </w:p>
    <w:p w14:paraId="12459216" w14:textId="0FAC52B1" w:rsidR="00D529F4" w:rsidRPr="002E65D8" w:rsidRDefault="00D529F4" w:rsidP="00D529F4">
      <w:pPr>
        <w:pStyle w:val="PBParagraph"/>
      </w:pPr>
      <w:r>
        <w:t xml:space="preserve">Les </w:t>
      </w:r>
      <w:r>
        <w:rPr>
          <w:b/>
          <w:bCs/>
        </w:rPr>
        <w:t>FPA</w:t>
      </w:r>
      <w:r>
        <w:t xml:space="preserve"> devraient également être tenus de </w:t>
      </w:r>
      <w:r>
        <w:rPr>
          <w:b/>
          <w:bCs/>
        </w:rPr>
        <w:t>signaler</w:t>
      </w:r>
      <w:r>
        <w:t xml:space="preserve"> à l</w:t>
      </w:r>
      <w:r w:rsidR="00715ACD">
        <w:t>’</w:t>
      </w:r>
      <w:r>
        <w:t>Autorité centrale de leur État d</w:t>
      </w:r>
      <w:r w:rsidR="00715ACD">
        <w:t>’</w:t>
      </w:r>
      <w:r>
        <w:t>accueil l</w:t>
      </w:r>
      <w:r w:rsidR="00715ACD">
        <w:t>’</w:t>
      </w:r>
      <w:r>
        <w:t xml:space="preserve">ensemble des </w:t>
      </w:r>
      <w:r>
        <w:rPr>
          <w:b/>
          <w:bCs/>
        </w:rPr>
        <w:t>dons et contributions</w:t>
      </w:r>
      <w:r>
        <w:t xml:space="preserve"> versés. Réciproquement, les </w:t>
      </w:r>
      <w:r>
        <w:rPr>
          <w:b/>
          <w:bCs/>
        </w:rPr>
        <w:t>OAA et les États</w:t>
      </w:r>
      <w:r>
        <w:t xml:space="preserve"> d</w:t>
      </w:r>
      <w:r w:rsidR="00715ACD">
        <w:t>’</w:t>
      </w:r>
      <w:r>
        <w:t>origine devraient également signaler tous les dons / contributions des FPA. Un tel mécanisme de double signalement permettrait à l</w:t>
      </w:r>
      <w:r w:rsidR="00715ACD">
        <w:t>’</w:t>
      </w:r>
      <w:r>
        <w:t xml:space="preserve">Autorité centrale de recouper les montants </w:t>
      </w:r>
      <w:r w:rsidR="00404F8B">
        <w:t>dans un souci</w:t>
      </w:r>
      <w:r>
        <w:t xml:space="preserve"> de transparence et de veiller à ce que </w:t>
      </w:r>
      <w:r w:rsidR="00404F8B">
        <w:t xml:space="preserve">tous </w:t>
      </w:r>
      <w:r>
        <w:t>les fonds soient consignés et qu</w:t>
      </w:r>
      <w:r w:rsidR="00715ACD">
        <w:t>’</w:t>
      </w:r>
      <w:r>
        <w:t>ils correspondent.</w:t>
      </w:r>
    </w:p>
    <w:p w14:paraId="120205E0" w14:textId="14057D3C" w:rsidR="00D529F4" w:rsidRPr="002E65D8" w:rsidRDefault="00D529F4" w:rsidP="00D529F4">
      <w:pPr>
        <w:pStyle w:val="PBParagraph"/>
      </w:pPr>
      <w:r>
        <w:t>Les États d</w:t>
      </w:r>
      <w:r w:rsidR="00715ACD">
        <w:t>’</w:t>
      </w:r>
      <w:r>
        <w:t xml:space="preserve">origine qui ont reçu des contributions et des dons devraient </w:t>
      </w:r>
      <w:r>
        <w:rPr>
          <w:b/>
          <w:bCs/>
        </w:rPr>
        <w:t>rendre compte</w:t>
      </w:r>
      <w:r>
        <w:t xml:space="preserve"> des </w:t>
      </w:r>
      <w:r>
        <w:rPr>
          <w:b/>
          <w:bCs/>
        </w:rPr>
        <w:t>programmes de protection des enfants</w:t>
      </w:r>
      <w:r>
        <w:t xml:space="preserve"> financés par ces contributions et ces dons. </w:t>
      </w:r>
    </w:p>
    <w:p w14:paraId="72A81878" w14:textId="1A7E8207" w:rsidR="00D529F4" w:rsidRPr="002E65D8" w:rsidRDefault="00D529F4" w:rsidP="00D529F4">
      <w:pPr>
        <w:pStyle w:val="PBParagraph"/>
      </w:pPr>
      <w:r>
        <w:rPr>
          <w:b/>
          <w:bCs/>
        </w:rPr>
        <w:t>Chaque décaissement devrait pouvoir être</w:t>
      </w:r>
      <w:r w:rsidR="00071677">
        <w:rPr>
          <w:b/>
          <w:bCs/>
        </w:rPr>
        <w:t xml:space="preserve"> pleinement</w:t>
      </w:r>
      <w:r>
        <w:rPr>
          <w:b/>
          <w:bCs/>
        </w:rPr>
        <w:t xml:space="preserve"> justifié</w:t>
      </w:r>
      <w:r>
        <w:t>. L</w:t>
      </w:r>
      <w:r w:rsidR="00715ACD">
        <w:t>’</w:t>
      </w:r>
      <w:r>
        <w:t>Autorité centrale de l</w:t>
      </w:r>
      <w:r w:rsidR="00715ACD">
        <w:t>’</w:t>
      </w:r>
      <w:r>
        <w:t>État d</w:t>
      </w:r>
      <w:r w:rsidR="00715ACD">
        <w:t>’</w:t>
      </w:r>
      <w:r>
        <w:t>origine pourrait également demander des rapports annuels aux institutions bénéficiaires. L</w:t>
      </w:r>
      <w:r w:rsidR="00715ACD">
        <w:t>’</w:t>
      </w:r>
      <w:r>
        <w:t>Autorité centrale de l</w:t>
      </w:r>
      <w:r w:rsidR="00715ACD">
        <w:t>’</w:t>
      </w:r>
      <w:r>
        <w:t>État d</w:t>
      </w:r>
      <w:r w:rsidR="00715ACD">
        <w:t>’</w:t>
      </w:r>
      <w:r>
        <w:t>origine pourrait fournir une liste restreinte de finalités acceptées pour ces dons et contributions</w:t>
      </w:r>
      <w:r w:rsidR="00AD2C07">
        <w:t>.</w:t>
      </w:r>
      <w:r>
        <w:t xml:space="preserve"> Cette liste devrait refléter les besoins réels du système de protection des enfants de l</w:t>
      </w:r>
      <w:r w:rsidR="00715ACD">
        <w:t>’</w:t>
      </w:r>
      <w:r>
        <w:t xml:space="preserve">État concerné. </w:t>
      </w:r>
    </w:p>
    <w:p w14:paraId="35BFB957" w14:textId="7A6A62F4" w:rsidR="00D529F4" w:rsidRPr="002E65D8" w:rsidRDefault="00D529F4" w:rsidP="00D529F4">
      <w:pPr>
        <w:pStyle w:val="PBParagraph"/>
      </w:pPr>
      <w:r>
        <w:t>L</w:t>
      </w:r>
      <w:r w:rsidR="00715ACD">
        <w:t>’</w:t>
      </w:r>
      <w:r>
        <w:t>absence ou l</w:t>
      </w:r>
      <w:r w:rsidR="00715ACD">
        <w:t>’</w:t>
      </w:r>
      <w:r>
        <w:t>insuffisance d</w:t>
      </w:r>
      <w:r w:rsidR="00715ACD">
        <w:t>’</w:t>
      </w:r>
      <w:r>
        <w:t>informations claires sur les actions auxquelles l</w:t>
      </w:r>
      <w:r w:rsidR="00715ACD">
        <w:t>’</w:t>
      </w:r>
      <w:r>
        <w:t>argent est destiné ou sur l</w:t>
      </w:r>
      <w:r w:rsidR="00715ACD">
        <w:t>’</w:t>
      </w:r>
      <w:r>
        <w:t xml:space="preserve">emploi des fonds devrait conduire à </w:t>
      </w:r>
      <w:r>
        <w:rPr>
          <w:b/>
          <w:bCs/>
        </w:rPr>
        <w:t>mettre un terme</w:t>
      </w:r>
      <w:r>
        <w:t xml:space="preserve"> à la coopération</w:t>
      </w:r>
      <w:r w:rsidR="000F2513">
        <w:rPr>
          <w:rStyle w:val="FootnoteReference"/>
        </w:rPr>
        <w:footnoteReference w:id="254"/>
      </w:r>
      <w:r>
        <w:t>.</w:t>
      </w:r>
    </w:p>
    <w:p w14:paraId="298C5DAC" w14:textId="60ECF9F6" w:rsidR="000F2513" w:rsidRDefault="002E6C9B" w:rsidP="00D529F4">
      <w:pPr>
        <w:pStyle w:val="PBParagraph"/>
      </w:pPr>
      <w:bookmarkStart w:id="167" w:name="_Ref210988540"/>
      <w:r>
        <w:t>Le chapitre </w:t>
      </w:r>
      <w:r w:rsidR="00882A10" w:rsidRPr="002E65D8">
        <w:fldChar w:fldCharType="begin"/>
      </w:r>
      <w:r w:rsidR="00882A10" w:rsidRPr="002E65D8">
        <w:instrText xml:space="preserve"> REF _Ref212145946 \r \h </w:instrText>
      </w:r>
      <w:r w:rsidR="002E65D8">
        <w:instrText xml:space="preserve"> \* MERGEFORMAT </w:instrText>
      </w:r>
      <w:r w:rsidR="00882A10" w:rsidRPr="002E65D8">
        <w:fldChar w:fldCharType="separate"/>
      </w:r>
      <w:r w:rsidR="00E6549D">
        <w:t>5.3</w:t>
      </w:r>
      <w:r w:rsidR="00882A10" w:rsidRPr="002E65D8">
        <w:fldChar w:fldCharType="end"/>
      </w:r>
      <w:r>
        <w:t xml:space="preserve"> intitulé « Responsabilité renforcée grâce à de meilleurs mécanismes de contrôle » (en particulier le para. </w:t>
      </w:r>
      <w:r w:rsidR="00A87FC3" w:rsidRPr="002E65D8">
        <w:fldChar w:fldCharType="begin"/>
      </w:r>
      <w:r w:rsidR="00A87FC3" w:rsidRPr="002E65D8">
        <w:instrText xml:space="preserve"> REF _Ref210921507 \r \h </w:instrText>
      </w:r>
      <w:r w:rsidR="002E65D8">
        <w:instrText xml:space="preserve"> \* MERGEFORMAT </w:instrText>
      </w:r>
      <w:r w:rsidR="00A87FC3" w:rsidRPr="002E65D8">
        <w:fldChar w:fldCharType="separate"/>
      </w:r>
      <w:r w:rsidR="00E6549D">
        <w:t>94</w:t>
      </w:r>
      <w:r w:rsidR="00A87FC3" w:rsidRPr="002E65D8">
        <w:fldChar w:fldCharType="end"/>
      </w:r>
      <w:r>
        <w:t>) donne par ailleurs des exemples de mécanismes stricts de responsabilisation et de contrôle grâce à des processus de suivi, de supervision et gouvernementaux permettant de s</w:t>
      </w:r>
      <w:r w:rsidR="00715ACD">
        <w:t>’</w:t>
      </w:r>
      <w:r>
        <w:t>attaquer aux gains matériels indus.</w:t>
      </w:r>
      <w:bookmarkEnd w:id="167"/>
    </w:p>
    <w:p w14:paraId="123CCAB7" w14:textId="01BDCC7A" w:rsidR="00517203" w:rsidRPr="002E65D8" w:rsidRDefault="002E7A3B" w:rsidP="00517203">
      <w:pPr>
        <w:pStyle w:val="Blueboxtitle"/>
        <w:spacing w:after="0" w:line="240" w:lineRule="auto"/>
        <w:outlineLvl w:val="2"/>
      </w:pPr>
      <w:bookmarkStart w:id="168" w:name="_Toc236061692"/>
      <w:r>
        <w:t>Boîte</w:t>
      </w:r>
      <w:r w:rsidR="00517203">
        <w:t> 16 : Rapport et suivi</w:t>
      </w:r>
      <w:bookmarkEnd w:id="168"/>
    </w:p>
    <w:p w14:paraId="41398268" w14:textId="77777777" w:rsidR="00517203" w:rsidRPr="002E65D8" w:rsidRDefault="00517203" w:rsidP="00517203">
      <w:pPr>
        <w:pStyle w:val="Blueboxtitle"/>
        <w:rPr>
          <w:b w:val="0"/>
          <w:bCs w:val="0"/>
        </w:rPr>
      </w:pPr>
      <w:r>
        <w:rPr>
          <w:b w:val="0"/>
        </w:rPr>
        <w:t xml:space="preserve">Quelques exemples de mesures mises en œuvre par les États </w:t>
      </w:r>
    </w:p>
    <w:p w14:paraId="142B6C51" w14:textId="272E3E23" w:rsidR="00FF3BE9" w:rsidRPr="002E65D8" w:rsidRDefault="00FF3BE9" w:rsidP="00366456">
      <w:pPr>
        <w:pStyle w:val="Bluebox"/>
        <w:rPr>
          <w:szCs w:val="16"/>
        </w:rPr>
      </w:pPr>
      <w:r>
        <w:t>En Australie, les FPA sont encouragés à signaler toute demande financière suspecte</w:t>
      </w:r>
      <w:r w:rsidRPr="002E65D8">
        <w:rPr>
          <w:rStyle w:val="FootnoteReference"/>
        </w:rPr>
        <w:footnoteReference w:id="255"/>
      </w:r>
      <w:r>
        <w:t>.</w:t>
      </w:r>
    </w:p>
    <w:p w14:paraId="46C9F5CE" w14:textId="6671CB6C" w:rsidR="00F21B8B" w:rsidRPr="002E65D8" w:rsidRDefault="00F21B8B" w:rsidP="00366456">
      <w:pPr>
        <w:pStyle w:val="Bluebox"/>
        <w:rPr>
          <w:szCs w:val="16"/>
        </w:rPr>
      </w:pPr>
      <w:r>
        <w:t>En Belgique (communauté francophone), l</w:t>
      </w:r>
      <w:r w:rsidR="00715ACD">
        <w:t>’</w:t>
      </w:r>
      <w:r>
        <w:t>Auto</w:t>
      </w:r>
      <w:r w:rsidR="000F2513">
        <w:t>r</w:t>
      </w:r>
      <w:r>
        <w:t>ité centrale vérifie les frais effectivement payés, en particulier pendant les inspections annuelles des OAA</w:t>
      </w:r>
      <w:r w:rsidRPr="002E65D8">
        <w:rPr>
          <w:rStyle w:val="FootnoteReference"/>
          <w:szCs w:val="16"/>
        </w:rPr>
        <w:footnoteReference w:id="256"/>
      </w:r>
      <w:r>
        <w:t xml:space="preserve">. </w:t>
      </w:r>
    </w:p>
    <w:p w14:paraId="797A31CC" w14:textId="2E87ABC7" w:rsidR="004106A6" w:rsidRPr="002E65D8" w:rsidRDefault="004106A6" w:rsidP="00160FE4">
      <w:pPr>
        <w:pStyle w:val="Bluebox"/>
      </w:pPr>
      <w:r>
        <w:t>Au Brésil et au Portugal, les OAA doivent présenter leurs frais de fonctionnement chaque année à l</w:t>
      </w:r>
      <w:r w:rsidR="00715ACD">
        <w:t>’</w:t>
      </w:r>
      <w:r>
        <w:t>Autorité centrale pour examen</w:t>
      </w:r>
      <w:r w:rsidRPr="002E65D8">
        <w:rPr>
          <w:rStyle w:val="FootnoteReference"/>
        </w:rPr>
        <w:footnoteReference w:id="257"/>
      </w:r>
      <w:r>
        <w:t>.</w:t>
      </w:r>
    </w:p>
    <w:p w14:paraId="1178BBD5" w14:textId="77777777" w:rsidR="00530D07" w:rsidRPr="00530D07" w:rsidRDefault="00530D07" w:rsidP="00530D07">
      <w:pPr>
        <w:pStyle w:val="Bluebox"/>
        <w:rPr>
          <w:szCs w:val="16"/>
        </w:rPr>
      </w:pPr>
      <w:r>
        <w:t>Au Canada (Manitoba), l’Autorité centrale examine tous les documents liés à l’adoption pour réglementer les honoraires</w:t>
      </w:r>
      <w:r w:rsidRPr="002E65D8">
        <w:rPr>
          <w:rStyle w:val="FootnoteReference"/>
        </w:rPr>
        <w:footnoteReference w:id="258"/>
      </w:r>
      <w:r>
        <w:t xml:space="preserve">. </w:t>
      </w:r>
    </w:p>
    <w:p w14:paraId="4CA5243F" w14:textId="147FF8CE" w:rsidR="005A447B" w:rsidRPr="002E65D8" w:rsidRDefault="005A447B" w:rsidP="005A447B">
      <w:pPr>
        <w:pStyle w:val="Bluebox"/>
        <w:rPr>
          <w:szCs w:val="16"/>
        </w:rPr>
      </w:pPr>
      <w:r>
        <w:t>En Chine, le ministère des Finances et des Audits est chargé de suivre les coûts de l</w:t>
      </w:r>
      <w:r w:rsidR="00715ACD">
        <w:t>’</w:t>
      </w:r>
      <w:r>
        <w:t>adoption internationale et de procéder à des audits annuels</w:t>
      </w:r>
      <w:r w:rsidR="0053346E" w:rsidRPr="002E65D8">
        <w:rPr>
          <w:rStyle w:val="FootnoteReference"/>
          <w:szCs w:val="16"/>
        </w:rPr>
        <w:footnoteReference w:id="259"/>
      </w:r>
      <w:r w:rsidR="003A38E2">
        <w:t>.</w:t>
      </w:r>
    </w:p>
    <w:p w14:paraId="4549B703" w14:textId="77777777" w:rsidR="00530D07" w:rsidRPr="002E65D8" w:rsidRDefault="00530D07" w:rsidP="00530D07">
      <w:pPr>
        <w:pStyle w:val="Bluebox"/>
      </w:pPr>
      <w:r>
        <w:t>Aux États-Unis, l’Autorité centrale exige des OAA et des personnes autorisées (non agréées) qu’ils rendent compte chaque année des honoraires facturés pour des services d’adoption dans chaque État où ils fournissent de tels services. La réglementation américaine impose le respect de certaines normes en matière de politiques et de procédures relatives à la rémunération et aux honoraires. Le respect de ces normes est contrôlé grâce au suivi et à la supervision ainsi que dans le cadre de la procédure d’agrément / approbation ou de renouvellement</w:t>
      </w:r>
      <w:bookmarkStart w:id="169" w:name="_Ref203983218"/>
      <w:r w:rsidRPr="002E65D8">
        <w:rPr>
          <w:rStyle w:val="FootnoteReference"/>
          <w:szCs w:val="16"/>
        </w:rPr>
        <w:footnoteReference w:id="260"/>
      </w:r>
      <w:bookmarkEnd w:id="169"/>
      <w:r>
        <w:t xml:space="preserve">. L’entité qui délivre l’agrément surveille le respect par le prestataire de services d’adoption des normes en matière d’agrément, notamment liées au paiement de </w:t>
      </w:r>
      <w:r>
        <w:lastRenderedPageBreak/>
        <w:t>frais liés à l’adoption internationale</w:t>
      </w:r>
      <w:r w:rsidRPr="002E65D8">
        <w:rPr>
          <w:rStyle w:val="FootnoteReference"/>
          <w:szCs w:val="16"/>
        </w:rPr>
        <w:footnoteReference w:id="261"/>
      </w:r>
      <w:r>
        <w:t>. En outre, toute personne, y compris les FPA, peut signaler d’éventuels abus</w:t>
      </w:r>
      <w:r w:rsidRPr="002E65D8">
        <w:rPr>
          <w:rStyle w:val="FootnoteReference"/>
        </w:rPr>
        <w:footnoteReference w:id="262"/>
      </w:r>
      <w:r>
        <w:t>.</w:t>
      </w:r>
    </w:p>
    <w:p w14:paraId="3BA7209B" w14:textId="5C142AFB" w:rsidR="00622BCB" w:rsidRPr="002E65D8" w:rsidRDefault="00206A41" w:rsidP="00622BCB">
      <w:pPr>
        <w:pStyle w:val="Bluebox"/>
        <w:rPr>
          <w:szCs w:val="16"/>
        </w:rPr>
      </w:pPr>
      <w:r>
        <w:t>En France, l</w:t>
      </w:r>
      <w:r w:rsidR="00715ACD">
        <w:t>’</w:t>
      </w:r>
      <w:r>
        <w:t xml:space="preserve">Autorité centrale surveille </w:t>
      </w:r>
      <w:r w:rsidR="00110DE8">
        <w:t>le décompte des sommes facturées par les</w:t>
      </w:r>
      <w:r>
        <w:t xml:space="preserve"> OAA. Au moment de l</w:t>
      </w:r>
      <w:r w:rsidR="00715ACD">
        <w:t>’</w:t>
      </w:r>
      <w:r>
        <w:t>enregistrement de la demande d</w:t>
      </w:r>
      <w:r w:rsidR="00715ACD">
        <w:t>’</w:t>
      </w:r>
      <w:r>
        <w:t xml:space="preserve">adoption, </w:t>
      </w:r>
      <w:r w:rsidR="00110DE8">
        <w:t xml:space="preserve">le décompte des sommes </w:t>
      </w:r>
      <w:r>
        <w:t>accepté par les FPA à la signature de l</w:t>
      </w:r>
      <w:r w:rsidR="00715ACD">
        <w:t>’</w:t>
      </w:r>
      <w:r>
        <w:t>accord avec l</w:t>
      </w:r>
      <w:r w:rsidR="00715ACD">
        <w:t>’</w:t>
      </w:r>
      <w:r>
        <w:t>OAA est également communiqué à l</w:t>
      </w:r>
      <w:r w:rsidR="00715ACD">
        <w:t>’</w:t>
      </w:r>
      <w:r>
        <w:t>Autorité centrale, celle-ci vérifie qu</w:t>
      </w:r>
      <w:r w:rsidR="00715ACD">
        <w:t>’</w:t>
      </w:r>
      <w:r>
        <w:t>il respecte le décompte des frais arrêté officiellement</w:t>
      </w:r>
      <w:r w:rsidR="00622BCB" w:rsidRPr="002E65D8">
        <w:rPr>
          <w:rStyle w:val="FootnoteReference"/>
          <w:szCs w:val="16"/>
        </w:rPr>
        <w:footnoteReference w:id="263"/>
      </w:r>
      <w:r>
        <w:t xml:space="preserve">. </w:t>
      </w:r>
    </w:p>
    <w:p w14:paraId="275C49B2" w14:textId="08BAD27A" w:rsidR="002E1A98" w:rsidRPr="002E65D8" w:rsidRDefault="002E1A98" w:rsidP="002E1A98">
      <w:pPr>
        <w:pStyle w:val="Bluebox"/>
        <w:rPr>
          <w:color w:val="0094D2" w:themeColor="accent1"/>
          <w:szCs w:val="16"/>
        </w:rPr>
      </w:pPr>
      <w:r>
        <w:t>En Italie, les OAA doivent rendre compte du coût de chaque adoption internationale à leur Autorité centrale. À l</w:t>
      </w:r>
      <w:r w:rsidR="00715ACD">
        <w:t>’</w:t>
      </w:r>
      <w:r>
        <w:t xml:space="preserve">issue de chaque procédure, ils présentent un rapport financier qui détaille les dépenses </w:t>
      </w:r>
      <w:r w:rsidR="005E26CD">
        <w:t>supportées</w:t>
      </w:r>
      <w:r>
        <w:t xml:space="preserve">. En cas de </w:t>
      </w:r>
      <w:r w:rsidR="006F4E38">
        <w:t>différence</w:t>
      </w:r>
      <w:r>
        <w:t>, l</w:t>
      </w:r>
      <w:r w:rsidR="00715ACD">
        <w:t>’</w:t>
      </w:r>
      <w:r>
        <w:t>Autorité centrale demande des clarifications et / ou des documents supplémentaires</w:t>
      </w:r>
      <w:r w:rsidRPr="002E65D8">
        <w:rPr>
          <w:rStyle w:val="FootnoteReference"/>
          <w:szCs w:val="16"/>
        </w:rPr>
        <w:footnoteReference w:id="264"/>
      </w:r>
      <w:r>
        <w:t>.</w:t>
      </w:r>
    </w:p>
    <w:p w14:paraId="160D250E" w14:textId="026AABAD" w:rsidR="000F2513" w:rsidRPr="002E65D8" w:rsidRDefault="000F2513" w:rsidP="000F2513">
      <w:pPr>
        <w:pStyle w:val="Bluebox"/>
        <w:numPr>
          <w:ilvl w:val="0"/>
          <w:numId w:val="1"/>
        </w:numPr>
        <w:rPr>
          <w:szCs w:val="16"/>
        </w:rPr>
      </w:pPr>
      <w:r>
        <w:t>À Malte, la loi impose aux OAA de présenter leurs états financiers aux fins d</w:t>
      </w:r>
      <w:r w:rsidR="00715ACD">
        <w:t>’</w:t>
      </w:r>
      <w:r>
        <w:t>audit</w:t>
      </w:r>
      <w:r w:rsidRPr="002E65D8">
        <w:rPr>
          <w:rStyle w:val="FootnoteReference"/>
          <w:szCs w:val="16"/>
        </w:rPr>
        <w:footnoteReference w:id="265"/>
      </w:r>
      <w:r>
        <w:t>.</w:t>
      </w:r>
    </w:p>
    <w:p w14:paraId="0D66797B" w14:textId="77777777" w:rsidR="007962C2" w:rsidRPr="002E65D8" w:rsidRDefault="007962C2" w:rsidP="007962C2">
      <w:pPr>
        <w:pStyle w:val="Bluebox"/>
        <w:rPr>
          <w:szCs w:val="16"/>
        </w:rPr>
      </w:pPr>
      <w:r>
        <w:t>En Norvège, les OAA sont tenus de présenter un rapport annuel et des comptes certifiés par un auditeur à l’Autorité centrale pour examen</w:t>
      </w:r>
      <w:r w:rsidRPr="002E65D8">
        <w:rPr>
          <w:rStyle w:val="FootnoteReference"/>
          <w:szCs w:val="16"/>
        </w:rPr>
        <w:footnoteReference w:id="266"/>
      </w:r>
      <w:r>
        <w:t xml:space="preserve">. </w:t>
      </w:r>
    </w:p>
    <w:p w14:paraId="21143EC9" w14:textId="6EE39BB1" w:rsidR="000F2513" w:rsidRPr="002E65D8" w:rsidRDefault="000F2513" w:rsidP="000F2513">
      <w:pPr>
        <w:pStyle w:val="Bluebox"/>
        <w:rPr>
          <w:szCs w:val="16"/>
        </w:rPr>
      </w:pPr>
      <w:r>
        <w:t>En Nouvelle-Zélande, les autorités surveillent le paiement des frais liés à l</w:t>
      </w:r>
      <w:r w:rsidR="00715ACD">
        <w:t>’</w:t>
      </w:r>
      <w:r>
        <w:t xml:space="preserve">adoption internationale en procédant à un audit annuel des activités et des </w:t>
      </w:r>
      <w:r w:rsidR="003E07BC">
        <w:t>comptes</w:t>
      </w:r>
      <w:r w:rsidR="00F5654E">
        <w:t xml:space="preserve"> </w:t>
      </w:r>
      <w:r w:rsidR="003E07BC">
        <w:t>rendus</w:t>
      </w:r>
      <w:r>
        <w:t xml:space="preserve"> des OAA</w:t>
      </w:r>
      <w:r w:rsidRPr="002E65D8">
        <w:rPr>
          <w:rStyle w:val="FootnoteReference"/>
          <w:szCs w:val="16"/>
        </w:rPr>
        <w:footnoteReference w:id="267"/>
      </w:r>
      <w:r>
        <w:t xml:space="preserve">. </w:t>
      </w:r>
    </w:p>
    <w:p w14:paraId="47C96DFA" w14:textId="2EC4755C" w:rsidR="001319A4" w:rsidRPr="002E65D8" w:rsidRDefault="001319A4" w:rsidP="001319A4">
      <w:pPr>
        <w:pStyle w:val="Bluebox"/>
        <w:rPr>
          <w:szCs w:val="16"/>
        </w:rPr>
      </w:pPr>
      <w:r>
        <w:t>Aux Philippines, le Service de l</w:t>
      </w:r>
      <w:r w:rsidR="00715ACD">
        <w:t>’</w:t>
      </w:r>
      <w:r>
        <w:t>adoption internationale (ICAD) de l</w:t>
      </w:r>
      <w:r w:rsidR="00715ACD">
        <w:t>’</w:t>
      </w:r>
      <w:r>
        <w:t>Autorité centrale est chargé d</w:t>
      </w:r>
      <w:r w:rsidR="00715ACD">
        <w:t>’</w:t>
      </w:r>
      <w:r>
        <w:t>examiner minutieusement les documents relatifs à l</w:t>
      </w:r>
      <w:r w:rsidR="00715ACD">
        <w:t>’</w:t>
      </w:r>
      <w:r>
        <w:t>agrément d</w:t>
      </w:r>
      <w:r w:rsidR="00715ACD">
        <w:t>’</w:t>
      </w:r>
      <w:r>
        <w:t>OAA étrangers et de vérifier régulièrement leurs sites web, l</w:t>
      </w:r>
      <w:r w:rsidR="00715ACD">
        <w:t>’</w:t>
      </w:r>
      <w:r>
        <w:t>objectif étant de s</w:t>
      </w:r>
      <w:r w:rsidR="00715ACD">
        <w:t>’</w:t>
      </w:r>
      <w:r>
        <w:t>assurer que la grille tarifaire figurant dans les documents relatifs à l</w:t>
      </w:r>
      <w:r w:rsidR="00715ACD">
        <w:t>’</w:t>
      </w:r>
      <w:r>
        <w:t>agrément correspond aux informations présentées sur leur site web respectif. Lorsqu</w:t>
      </w:r>
      <w:r w:rsidR="00715ACD">
        <w:t>’</w:t>
      </w:r>
      <w:r>
        <w:t>une documentation détaillée sur les honoraires est disponible, ce service use de ses pouvoirs de surveillance pour demander immédiatement des explications sur les honoraires pratiqués</w:t>
      </w:r>
      <w:r w:rsidRPr="002E65D8">
        <w:rPr>
          <w:rStyle w:val="FootnoteReference"/>
          <w:szCs w:val="16"/>
        </w:rPr>
        <w:footnoteReference w:id="268"/>
      </w:r>
      <w:r w:rsidR="000F2513">
        <w:t>.</w:t>
      </w:r>
      <w:r>
        <w:t xml:space="preserve"> En mai 2026, les </w:t>
      </w:r>
      <w:r w:rsidR="00F5654E">
        <w:t>Lignes</w:t>
      </w:r>
      <w:r w:rsidR="00740162">
        <w:t xml:space="preserve"> </w:t>
      </w:r>
      <w:r>
        <w:t>directrices améliorées portant sur l</w:t>
      </w:r>
      <w:r w:rsidR="00715ACD">
        <w:t>’</w:t>
      </w:r>
      <w:r>
        <w:t>agrément des OAA étrangers ont été approuvées par le Conseil de l</w:t>
      </w:r>
      <w:r w:rsidR="00715ACD">
        <w:t>’</w:t>
      </w:r>
      <w:r>
        <w:t>Autorité centrale philippine et attendent l</w:t>
      </w:r>
      <w:r w:rsidR="00715ACD">
        <w:t>’</w:t>
      </w:r>
      <w:r>
        <w:t>approbation du ministère de la Protection sociale et du Développement</w:t>
      </w:r>
      <w:r w:rsidR="000F2513">
        <w:rPr>
          <w:rStyle w:val="FootnoteReference"/>
        </w:rPr>
        <w:footnoteReference w:id="269"/>
      </w:r>
      <w:r>
        <w:t>.</w:t>
      </w:r>
    </w:p>
    <w:p w14:paraId="5CB7674F" w14:textId="4F0A760E" w:rsidR="00D529F4" w:rsidRPr="002E65D8" w:rsidRDefault="00D529F4" w:rsidP="004047D5">
      <w:pPr>
        <w:pStyle w:val="Heading4"/>
      </w:pPr>
      <w:bookmarkStart w:id="170" w:name="_Ref211256294"/>
      <w:r>
        <w:t>Veiller à la coopération entre les États et autres parties prenantes en matière de transparence</w:t>
      </w:r>
      <w:bookmarkEnd w:id="170"/>
    </w:p>
    <w:p w14:paraId="03032582" w14:textId="135D5352" w:rsidR="00D529F4" w:rsidRPr="002E65D8" w:rsidRDefault="00D529F4" w:rsidP="00D529F4">
      <w:pPr>
        <w:pStyle w:val="PBParagraph"/>
      </w:pPr>
      <w:bookmarkStart w:id="171" w:name="_Ref211256393"/>
      <w:r>
        <w:t xml:space="preserve">Une </w:t>
      </w:r>
      <w:r>
        <w:rPr>
          <w:b/>
          <w:bCs/>
        </w:rPr>
        <w:t>étroite coopération</w:t>
      </w:r>
      <w:r>
        <w:t xml:space="preserve"> entre États</w:t>
      </w:r>
      <w:r w:rsidRPr="002E65D8">
        <w:rPr>
          <w:rStyle w:val="FootnoteReference"/>
        </w:rPr>
        <w:footnoteReference w:id="270"/>
      </w:r>
      <w:r>
        <w:t xml:space="preserve"> est indispensable pour la transparence. À titre d</w:t>
      </w:r>
      <w:r w:rsidR="00715ACD">
        <w:t>’</w:t>
      </w:r>
      <w:r>
        <w:t>exemple, lorsqu</w:t>
      </w:r>
      <w:r w:rsidR="00715ACD">
        <w:t>’</w:t>
      </w:r>
      <w:r>
        <w:t>une Autorité centrale dans un État d</w:t>
      </w:r>
      <w:r w:rsidR="00715ACD">
        <w:t>’</w:t>
      </w:r>
      <w:r>
        <w:t>accueil accrédite un OAA et approuve les frais liés à la procédure d</w:t>
      </w:r>
      <w:r w:rsidR="00715ACD">
        <w:t>’</w:t>
      </w:r>
      <w:r>
        <w:t>adoption, elle devrait en informer l</w:t>
      </w:r>
      <w:r w:rsidR="00715ACD">
        <w:t>’</w:t>
      </w:r>
      <w:r>
        <w:t>Autorité centrale de l</w:t>
      </w:r>
      <w:r w:rsidR="00715ACD">
        <w:t>’</w:t>
      </w:r>
      <w:r>
        <w:t>État d</w:t>
      </w:r>
      <w:r w:rsidR="00715ACD">
        <w:t>’</w:t>
      </w:r>
      <w:r>
        <w:t>origine. Réciproquement, lorsqu</w:t>
      </w:r>
      <w:r w:rsidR="00715ACD">
        <w:t>’</w:t>
      </w:r>
      <w:r>
        <w:t>un État d</w:t>
      </w:r>
      <w:r w:rsidR="00715ACD">
        <w:t>’</w:t>
      </w:r>
      <w:r>
        <w:t>origine fixe certains types de frais ou d</w:t>
      </w:r>
      <w:r w:rsidR="00715ACD">
        <w:t>’</w:t>
      </w:r>
      <w:r>
        <w:t>honoraires officiels, il devrait communiquer cette information à l</w:t>
      </w:r>
      <w:r w:rsidR="00715ACD">
        <w:t>’</w:t>
      </w:r>
      <w:r>
        <w:t>Autorité centrale de l</w:t>
      </w:r>
      <w:r w:rsidR="00715ACD">
        <w:t>’</w:t>
      </w:r>
      <w:r>
        <w:t>État d</w:t>
      </w:r>
      <w:r w:rsidR="00715ACD">
        <w:t>’</w:t>
      </w:r>
      <w:r>
        <w:t>accueil. Dans les cas où des FPA font des dons, il est recommandé à l</w:t>
      </w:r>
      <w:r w:rsidR="00715ACD">
        <w:t>’</w:t>
      </w:r>
      <w:r>
        <w:t>État d</w:t>
      </w:r>
      <w:r w:rsidR="00715ACD">
        <w:t>’</w:t>
      </w:r>
      <w:r>
        <w:t>origine d</w:t>
      </w:r>
      <w:r w:rsidR="00715ACD">
        <w:t>’</w:t>
      </w:r>
      <w:r>
        <w:t>informer l</w:t>
      </w:r>
      <w:r w:rsidR="00715ACD">
        <w:t>’</w:t>
      </w:r>
      <w:r>
        <w:t>Autorité centrale de l</w:t>
      </w:r>
      <w:r w:rsidR="00715ACD">
        <w:t>’</w:t>
      </w:r>
      <w:r>
        <w:t>État d</w:t>
      </w:r>
      <w:r w:rsidR="00715ACD">
        <w:t>’</w:t>
      </w:r>
      <w:r>
        <w:t>accueil du montant de ces dons et de leur finalité.</w:t>
      </w:r>
      <w:bookmarkEnd w:id="171"/>
      <w:r>
        <w:t xml:space="preserve"> </w:t>
      </w:r>
    </w:p>
    <w:p w14:paraId="2AC29D9B" w14:textId="06556009" w:rsidR="00D529F4" w:rsidRPr="002E65D8" w:rsidRDefault="00D529F4" w:rsidP="00D529F4">
      <w:pPr>
        <w:pStyle w:val="PBParagraph"/>
      </w:pPr>
      <w:r>
        <w:t>Certains États d</w:t>
      </w:r>
      <w:r w:rsidR="00715ACD">
        <w:t>’</w:t>
      </w:r>
      <w:r>
        <w:t>origine pourraient souhaiter que les Autorités centrales des États d</w:t>
      </w:r>
      <w:r w:rsidR="00715ACD">
        <w:t>’</w:t>
      </w:r>
      <w:r>
        <w:t xml:space="preserve">accueil </w:t>
      </w:r>
      <w:r>
        <w:rPr>
          <w:b/>
          <w:bCs/>
        </w:rPr>
        <w:t>coopèrent plus régulièrement et plus efficacement</w:t>
      </w:r>
      <w:r>
        <w:t xml:space="preserve"> sur la question des coûts. Cela faciliterait la gestion des informations, surtout avec les États dont les Autorités centrales ont délégué la totalité de l</w:t>
      </w:r>
      <w:r w:rsidR="00715ACD">
        <w:t>’</w:t>
      </w:r>
      <w:r>
        <w:t>administration du programme d</w:t>
      </w:r>
      <w:r w:rsidR="00715ACD">
        <w:t>’</w:t>
      </w:r>
      <w:r>
        <w:t xml:space="preserve">adoption à des OAA. Les États pourraient également échanger leurs expériences et leurs outils respectifs en faveur de la transparence. </w:t>
      </w:r>
    </w:p>
    <w:p w14:paraId="072511B1" w14:textId="7E3E2BE7" w:rsidR="00D529F4" w:rsidRPr="002E65D8" w:rsidRDefault="00D529F4" w:rsidP="00D529F4">
      <w:pPr>
        <w:pStyle w:val="PBParagraph"/>
      </w:pPr>
      <w:r>
        <w:t xml:space="preserve">La coopération et une </w:t>
      </w:r>
      <w:r>
        <w:rPr>
          <w:b/>
          <w:bCs/>
        </w:rPr>
        <w:t>communication directe</w:t>
      </w:r>
      <w:r>
        <w:t xml:space="preserve"> entre les Autorités centrales des États d</w:t>
      </w:r>
      <w:r w:rsidR="00715ACD">
        <w:t>’</w:t>
      </w:r>
      <w:r>
        <w:t>origine et des États d</w:t>
      </w:r>
      <w:r w:rsidR="00715ACD">
        <w:t>’</w:t>
      </w:r>
      <w:r>
        <w:t>accueil sont indispensables pour assurer la transparence, notamment par des visites, des réunions et des vidéoconférences spécifiques.</w:t>
      </w:r>
    </w:p>
    <w:p w14:paraId="29B671AC" w14:textId="4B4CA7BA" w:rsidR="001658A5" w:rsidRPr="002E65D8" w:rsidRDefault="00D529F4">
      <w:pPr>
        <w:pStyle w:val="PBParagraph"/>
        <w:rPr>
          <w:color w:val="00B0F0"/>
        </w:rPr>
      </w:pPr>
      <w:bookmarkStart w:id="172" w:name="_Ref211256409"/>
      <w:r>
        <w:t>Lorsqu</w:t>
      </w:r>
      <w:r w:rsidR="00715ACD">
        <w:t>’</w:t>
      </w:r>
      <w:r>
        <w:t xml:space="preserve">ils </w:t>
      </w:r>
      <w:r>
        <w:rPr>
          <w:b/>
          <w:bCs/>
        </w:rPr>
        <w:t>évaluent la fiabilité de la procédure d</w:t>
      </w:r>
      <w:r w:rsidR="00715ACD">
        <w:rPr>
          <w:b/>
          <w:bCs/>
        </w:rPr>
        <w:t>’</w:t>
      </w:r>
      <w:r>
        <w:rPr>
          <w:b/>
          <w:bCs/>
        </w:rPr>
        <w:t>adoption internationale</w:t>
      </w:r>
      <w:r>
        <w:t xml:space="preserve"> dans certains États d</w:t>
      </w:r>
      <w:r w:rsidR="00715ACD">
        <w:t>’</w:t>
      </w:r>
      <w:r>
        <w:t>origine, les États d</w:t>
      </w:r>
      <w:r w:rsidR="00715ACD">
        <w:t>’</w:t>
      </w:r>
      <w:r>
        <w:t>accueil devraient tenir compte de l</w:t>
      </w:r>
      <w:r w:rsidR="00715ACD">
        <w:t>’</w:t>
      </w:r>
      <w:r>
        <w:t>impact qu</w:t>
      </w:r>
      <w:r w:rsidR="00715ACD">
        <w:t>’</w:t>
      </w:r>
      <w:r>
        <w:t>a eu ou qu</w:t>
      </w:r>
      <w:r w:rsidR="00715ACD">
        <w:t>’</w:t>
      </w:r>
      <w:r>
        <w:t>aura l</w:t>
      </w:r>
      <w:r w:rsidR="00715ACD">
        <w:t>’</w:t>
      </w:r>
      <w:r>
        <w:t>adoption internationale, sur le plan financier, dans les États en question</w:t>
      </w:r>
      <w:r w:rsidRPr="002E65D8">
        <w:rPr>
          <w:rStyle w:val="FootnoteReference"/>
        </w:rPr>
        <w:footnoteReference w:id="271"/>
      </w:r>
      <w:r>
        <w:t xml:space="preserve">. Cela peut toutefois être difficile </w:t>
      </w:r>
      <w:r>
        <w:lastRenderedPageBreak/>
        <w:t>à estimer lorsque l</w:t>
      </w:r>
      <w:r w:rsidR="00715ACD">
        <w:t>’</w:t>
      </w:r>
      <w:r>
        <w:t>État d</w:t>
      </w:r>
      <w:r w:rsidR="00715ACD">
        <w:t>’</w:t>
      </w:r>
      <w:r>
        <w:t>accueil ne reçoit pas les informations appropriées. Pour certains États d</w:t>
      </w:r>
      <w:r w:rsidR="00715ACD">
        <w:t>’</w:t>
      </w:r>
      <w:r>
        <w:t>origine, en particulier par le passé, d</w:t>
      </w:r>
      <w:r w:rsidR="00715ACD">
        <w:t>’</w:t>
      </w:r>
      <w:r>
        <w:t>importants revenus tirés de l</w:t>
      </w:r>
      <w:r w:rsidR="00715ACD">
        <w:t>’</w:t>
      </w:r>
      <w:r>
        <w:t>adoption internationale ont créé une dépendance à ces fonds</w:t>
      </w:r>
      <w:r w:rsidRPr="002E65D8">
        <w:rPr>
          <w:rStyle w:val="FootnoteReference"/>
        </w:rPr>
        <w:footnoteReference w:id="272"/>
      </w:r>
      <w:r>
        <w:t xml:space="preserve">. Pour certains, il y avait un véritable </w:t>
      </w:r>
      <w:r w:rsidR="00882862">
        <w:t xml:space="preserve">intérêt </w:t>
      </w:r>
      <w:r>
        <w:t>à continuer à les percevoir. Il importe d</w:t>
      </w:r>
      <w:r w:rsidR="00715ACD">
        <w:t>’</w:t>
      </w:r>
      <w:r>
        <w:t>assurer la coopération entre les États d</w:t>
      </w:r>
      <w:r w:rsidR="00715ACD">
        <w:t>’</w:t>
      </w:r>
      <w:r>
        <w:t>accueil et les États d</w:t>
      </w:r>
      <w:r w:rsidR="00715ACD">
        <w:t>’</w:t>
      </w:r>
      <w:r>
        <w:t>origine pour veiller à ce que ces derniers ne deviennent pas dépendants des frais, dons et contributions liés à l</w:t>
      </w:r>
      <w:r w:rsidR="00715ACD">
        <w:t>’</w:t>
      </w:r>
      <w:r>
        <w:t>adoption internationale. Cela peut aider à déterminer la meilleure manière de soutenir les États d</w:t>
      </w:r>
      <w:r w:rsidR="00715ACD">
        <w:t>’</w:t>
      </w:r>
      <w:r>
        <w:t>origine, de sorte qu</w:t>
      </w:r>
      <w:r w:rsidR="00715ACD">
        <w:t>’</w:t>
      </w:r>
      <w:r>
        <w:t>ils ne deviennent pas dépendants des adoptions internationales.</w:t>
      </w:r>
      <w:bookmarkEnd w:id="172"/>
    </w:p>
    <w:p w14:paraId="6874E2E3" w14:textId="77777777" w:rsidR="00D529F4" w:rsidRPr="002E65D8" w:rsidRDefault="00D529F4" w:rsidP="004047D5">
      <w:pPr>
        <w:pStyle w:val="Heading2"/>
        <w:numPr>
          <w:ilvl w:val="1"/>
          <w:numId w:val="3"/>
        </w:numPr>
      </w:pPr>
      <w:bookmarkStart w:id="173" w:name="_Ref189476452"/>
      <w:bookmarkStart w:id="174" w:name="_Toc236061693"/>
      <w:r>
        <w:t>Caractère raisonnable</w:t>
      </w:r>
      <w:bookmarkEnd w:id="173"/>
      <w:bookmarkEnd w:id="174"/>
      <w:r>
        <w:t xml:space="preserve"> </w:t>
      </w:r>
    </w:p>
    <w:p w14:paraId="67311CF1" w14:textId="65E6ECA0" w:rsidR="00D529F4" w:rsidRPr="002E65D8" w:rsidRDefault="00D529F4" w:rsidP="004047D5">
      <w:pPr>
        <w:pStyle w:val="Heading3"/>
        <w:numPr>
          <w:ilvl w:val="2"/>
          <w:numId w:val="4"/>
        </w:numPr>
      </w:pPr>
      <w:bookmarkStart w:id="175" w:name="_Toc236061694"/>
      <w:r>
        <w:t xml:space="preserve">Problème : Frais disproportionnés, </w:t>
      </w:r>
      <w:r w:rsidR="00F96C94">
        <w:t>écarts importants</w:t>
      </w:r>
      <w:r>
        <w:t>, absence de limites et autres</w:t>
      </w:r>
      <w:bookmarkEnd w:id="175"/>
    </w:p>
    <w:p w14:paraId="7D44DD68" w14:textId="32273F72" w:rsidR="008179D8" w:rsidRPr="002E65D8" w:rsidRDefault="0073586A" w:rsidP="0007371B">
      <w:pPr>
        <w:pStyle w:val="PBParagraph"/>
      </w:pPr>
      <w:r>
        <w:t xml:space="preserve">Voici des exemples de </w:t>
      </w:r>
      <w:r>
        <w:rPr>
          <w:b/>
          <w:bCs/>
        </w:rPr>
        <w:t>pratiques illicites</w:t>
      </w:r>
      <w:r w:rsidR="00E712BF">
        <w:t xml:space="preserve"> d</w:t>
      </w:r>
      <w:r w:rsidR="00715ACD">
        <w:t>’</w:t>
      </w:r>
      <w:r w:rsidR="00E712BF">
        <w:t xml:space="preserve">après la </w:t>
      </w:r>
      <w:r w:rsidR="00250381">
        <w:t xml:space="preserve">Boîte </w:t>
      </w:r>
      <w:r w:rsidR="00E712BF">
        <w:t>à outils</w:t>
      </w:r>
      <w:r>
        <w:t xml:space="preserve"> : </w:t>
      </w:r>
    </w:p>
    <w:p w14:paraId="4B79CDDB" w14:textId="610710F2" w:rsidR="007A45DA" w:rsidRPr="002E65D8" w:rsidRDefault="008C4F7C" w:rsidP="008179D8">
      <w:pPr>
        <w:pStyle w:val="PBBulletList"/>
      </w:pPr>
      <w:r>
        <w:t>« Facturation de frais et d</w:t>
      </w:r>
      <w:r w:rsidR="00715ACD">
        <w:t>’</w:t>
      </w:r>
      <w:r>
        <w:t xml:space="preserve">honoraires : </w:t>
      </w:r>
    </w:p>
    <w:p w14:paraId="473A6B43" w14:textId="143CAC03" w:rsidR="008179D8" w:rsidRPr="002E65D8" w:rsidRDefault="00D529F4" w:rsidP="00BB7BC4">
      <w:pPr>
        <w:pStyle w:val="PBBulletList"/>
        <w:numPr>
          <w:ilvl w:val="1"/>
          <w:numId w:val="9"/>
        </w:numPr>
      </w:pPr>
      <w:r>
        <w:t xml:space="preserve">qui sont disproportionnés ([...] art. 32(2) et (3) [de la Convention Adoption de 1993]), </w:t>
      </w:r>
    </w:p>
    <w:p w14:paraId="552DB929" w14:textId="769FB106" w:rsidR="008179D8" w:rsidRPr="002E65D8" w:rsidRDefault="00D529F4" w:rsidP="00BB7BC4">
      <w:pPr>
        <w:pStyle w:val="PBBulletList"/>
        <w:numPr>
          <w:ilvl w:val="1"/>
          <w:numId w:val="9"/>
        </w:numPr>
      </w:pPr>
      <w:r>
        <w:t>qui dépassent les dépenses effectivement engagées,</w:t>
      </w:r>
    </w:p>
    <w:p w14:paraId="01B7BBC0" w14:textId="0D251826" w:rsidR="007A45DA" w:rsidRPr="002E65D8" w:rsidRDefault="007A45DA" w:rsidP="00BB7BC4">
      <w:pPr>
        <w:pStyle w:val="PBBulletList"/>
        <w:numPr>
          <w:ilvl w:val="1"/>
          <w:numId w:val="9"/>
        </w:numPr>
      </w:pPr>
      <w:r>
        <w:t>pour des services pour lesquels il est inapproprié de le faire et / ou qui n</w:t>
      </w:r>
      <w:r w:rsidR="00715ACD">
        <w:t>’</w:t>
      </w:r>
      <w:r>
        <w:t>ont pas été rendus (fournis) » (</w:t>
      </w:r>
      <w:r>
        <w:rPr>
          <w:color w:val="EE0000"/>
        </w:rPr>
        <w:t xml:space="preserve">FS3, </w:t>
      </w:r>
      <w:r w:rsidR="00250381">
        <w:rPr>
          <w:color w:val="EE0000"/>
        </w:rPr>
        <w:t>boîte </w:t>
      </w:r>
      <w:r w:rsidR="00771599">
        <w:rPr>
          <w:color w:val="EE0000"/>
        </w:rPr>
        <w:t>0</w:t>
      </w:r>
      <w:r>
        <w:rPr>
          <w:color w:val="EE0000"/>
        </w:rPr>
        <w:t>4</w:t>
      </w:r>
      <w:r>
        <w:t>) ; et</w:t>
      </w:r>
    </w:p>
    <w:p w14:paraId="62303AC4" w14:textId="2F510CDE" w:rsidR="00D529F4" w:rsidRPr="002E65D8" w:rsidRDefault="007D0045" w:rsidP="008179D8">
      <w:pPr>
        <w:pStyle w:val="PBBulletList"/>
      </w:pPr>
      <w:r>
        <w:t>« Montant des contributions ou des dons disproportionné par rapport au coût de la vie dans l</w:t>
      </w:r>
      <w:r w:rsidR="00715ACD">
        <w:t>’</w:t>
      </w:r>
      <w:r>
        <w:t>État concerné » (</w:t>
      </w:r>
      <w:r>
        <w:rPr>
          <w:color w:val="EE0000"/>
        </w:rPr>
        <w:t xml:space="preserve">FS3, </w:t>
      </w:r>
      <w:r w:rsidR="00250381">
        <w:rPr>
          <w:color w:val="EE0000"/>
        </w:rPr>
        <w:t>boîte </w:t>
      </w:r>
      <w:r>
        <w:rPr>
          <w:color w:val="EE0000"/>
        </w:rPr>
        <w:t>11</w:t>
      </w:r>
      <w:r>
        <w:t xml:space="preserve">). </w:t>
      </w:r>
    </w:p>
    <w:p w14:paraId="2A4B2D1E" w14:textId="7AC8A2E6" w:rsidR="008D164C" w:rsidRPr="002E65D8" w:rsidRDefault="00D529F4" w:rsidP="00D529F4">
      <w:pPr>
        <w:pStyle w:val="PBParagraph"/>
      </w:pPr>
      <w:r>
        <w:t xml:space="preserve">En outre, la </w:t>
      </w:r>
      <w:r w:rsidR="00250381">
        <w:t xml:space="preserve">Boîte </w:t>
      </w:r>
      <w:r>
        <w:t>à outils sur les pratiques illicites recense comme facteurs propices : des « </w:t>
      </w:r>
      <w:r>
        <w:rPr>
          <w:b/>
          <w:bCs/>
        </w:rPr>
        <w:t>[é]carts importants entre les frais et honoraires</w:t>
      </w:r>
      <w:r>
        <w:t xml:space="preserve"> facturés » (non souligné dans l</w:t>
      </w:r>
      <w:r w:rsidR="00715ACD">
        <w:t>’</w:t>
      </w:r>
      <w:r>
        <w:t>original), 1) « au sein d</w:t>
      </w:r>
      <w:r w:rsidR="00715ACD">
        <w:t>’</w:t>
      </w:r>
      <w:r>
        <w:t>un même État », 2) « d</w:t>
      </w:r>
      <w:r w:rsidR="00715ACD">
        <w:t>’</w:t>
      </w:r>
      <w:r>
        <w:t>un OAA à l</w:t>
      </w:r>
      <w:r w:rsidR="00715ACD">
        <w:t>’</w:t>
      </w:r>
      <w:r>
        <w:t>autre, d</w:t>
      </w:r>
      <w:r w:rsidR="00715ACD">
        <w:t>’</w:t>
      </w:r>
      <w:r>
        <w:t>un État d</w:t>
      </w:r>
      <w:r w:rsidR="00715ACD">
        <w:t>’</w:t>
      </w:r>
      <w:r>
        <w:t>origine à l</w:t>
      </w:r>
      <w:r w:rsidR="00715ACD">
        <w:t>’</w:t>
      </w:r>
      <w:r>
        <w:t>autre » et 3) « d</w:t>
      </w:r>
      <w:r w:rsidR="00715ACD">
        <w:t>’</w:t>
      </w:r>
      <w:r>
        <w:t>un État d</w:t>
      </w:r>
      <w:r w:rsidR="00715ACD">
        <w:t>’</w:t>
      </w:r>
      <w:r>
        <w:t>accueil à l</w:t>
      </w:r>
      <w:r w:rsidR="00715ACD">
        <w:t>’</w:t>
      </w:r>
      <w:r>
        <w:t>autre » (</w:t>
      </w:r>
      <w:r>
        <w:rPr>
          <w:color w:val="FFC000"/>
        </w:rPr>
        <w:t xml:space="preserve">FS3, </w:t>
      </w:r>
      <w:r w:rsidR="00250381">
        <w:rPr>
          <w:color w:val="FFC000"/>
        </w:rPr>
        <w:t>boîte </w:t>
      </w:r>
      <w:r>
        <w:rPr>
          <w:color w:val="FFC000"/>
        </w:rPr>
        <w:t>25</w:t>
      </w:r>
      <w:r>
        <w:t xml:space="preserve">). Les FPA peuvent notamment payer approximativement entre : </w:t>
      </w:r>
    </w:p>
    <w:p w14:paraId="5B7BEF21" w14:textId="0AB1EB41" w:rsidR="008D164C" w:rsidRPr="002E65D8" w:rsidRDefault="00D529F4" w:rsidP="008D164C">
      <w:pPr>
        <w:pStyle w:val="PBBulletList"/>
      </w:pPr>
      <w:r>
        <w:t xml:space="preserve">36 100 et 64 200 dollars américains aux États-Unis ; </w:t>
      </w:r>
    </w:p>
    <w:p w14:paraId="7305AC67" w14:textId="1EC088BF" w:rsidR="008D164C" w:rsidRPr="002E65D8" w:rsidRDefault="00D529F4" w:rsidP="008D164C">
      <w:pPr>
        <w:pStyle w:val="PBBulletList"/>
      </w:pPr>
      <w:r>
        <w:t>165 400 et 294 850 couronnes danoises (</w:t>
      </w:r>
      <w:r w:rsidR="00E47720">
        <w:t>entre</w:t>
      </w:r>
      <w:r>
        <w:t xml:space="preserve"> 25 600 et 45 600 dollars américains) au Danemark (à l</w:t>
      </w:r>
      <w:r w:rsidR="00715ACD">
        <w:t>’</w:t>
      </w:r>
      <w:r>
        <w:t>exception des conseils post-adoption</w:t>
      </w:r>
      <w:r w:rsidR="005A7E69">
        <w:t xml:space="preserve"> dont le taux horaire est d</w:t>
      </w:r>
      <w:r w:rsidR="00715ACD">
        <w:t>’</w:t>
      </w:r>
      <w:r>
        <w:t xml:space="preserve">environ 100 couronnes danoises (soit 16 dollars américains) ; </w:t>
      </w:r>
    </w:p>
    <w:p w14:paraId="52304E71" w14:textId="5F1372A9" w:rsidR="008D164C" w:rsidRPr="002E65D8" w:rsidRDefault="00D529F4" w:rsidP="008D164C">
      <w:pPr>
        <w:pStyle w:val="PBBulletList"/>
      </w:pPr>
      <w:r>
        <w:t xml:space="preserve">3 750 et 13 800 euros (soit entre 4 350 et 16 000 dollars américains) en France ; ou </w:t>
      </w:r>
    </w:p>
    <w:p w14:paraId="25B28998" w14:textId="21978D65" w:rsidR="008D164C" w:rsidRPr="002E65D8" w:rsidRDefault="00D529F4" w:rsidP="008D164C">
      <w:pPr>
        <w:pStyle w:val="PBBulletList"/>
      </w:pPr>
      <w:r>
        <w:t>1 300 et 66 800 euros (soit entre 1 500 et 77 200 dollars américains) en Allemagne</w:t>
      </w:r>
      <w:r w:rsidR="006F50DC">
        <w:rPr>
          <w:rStyle w:val="FootnoteReference"/>
        </w:rPr>
        <w:footnoteReference w:id="273"/>
      </w:r>
      <w:r>
        <w:t xml:space="preserve">. </w:t>
      </w:r>
    </w:p>
    <w:p w14:paraId="6F4B5CA6" w14:textId="4C7D15C0" w:rsidR="00D529F4" w:rsidRPr="002E65D8" w:rsidRDefault="00D529F4" w:rsidP="00C254E7">
      <w:pPr>
        <w:pStyle w:val="PBParagraph"/>
      </w:pPr>
      <w:r>
        <w:t>Plusieurs études ont également relevé des écarts entre les sommes que les parents adoptifs paient pour adopter un enfant originaire d</w:t>
      </w:r>
      <w:r w:rsidR="00715ACD">
        <w:t>’</w:t>
      </w:r>
      <w:r>
        <w:t>un même État, les montants allant par exemple de 3 500 à 17 000 euros (soit entre 4 050 et 19 650 dollars américains) en Inde ou de 4 000 à 21 000 euros (soit entre 4 600 et 24 300 dollars américains) en Colombie</w:t>
      </w:r>
      <w:r w:rsidRPr="002E65D8">
        <w:rPr>
          <w:rStyle w:val="FootnoteReference"/>
        </w:rPr>
        <w:footnoteReference w:id="274"/>
      </w:r>
      <w:r>
        <w:t xml:space="preserve">. Dans de nombreux cas, le montant peut être largement supérieur aux frais justifiés et honoraires raisonnables qui devraient être facturés par les différents acteurs. </w:t>
      </w:r>
    </w:p>
    <w:p w14:paraId="392E3847" w14:textId="7AA71E00" w:rsidR="00D529F4" w:rsidRPr="002E65D8" w:rsidRDefault="00D529F4" w:rsidP="00D529F4">
      <w:pPr>
        <w:pStyle w:val="PBParagraph"/>
      </w:pPr>
      <w:r>
        <w:t>Comme le résume le SSI, « les paiements demandés, les coûts de certains services ou documents, les honoraires des professionnels, les dons aux institutions, les cadeaux, les pourboires, etc.</w:t>
      </w:r>
      <w:r w:rsidR="005A7E69">
        <w:t>,</w:t>
      </w:r>
      <w:r>
        <w:t xml:space="preserve"> sont souvent excessifs, voire inacceptables »</w:t>
      </w:r>
      <w:r w:rsidRPr="002E65D8">
        <w:rPr>
          <w:rStyle w:val="FootnoteReference"/>
        </w:rPr>
        <w:footnoteReference w:id="275"/>
      </w:r>
      <w:r>
        <w:t xml:space="preserve">. </w:t>
      </w:r>
    </w:p>
    <w:p w14:paraId="3D31CBE4" w14:textId="1C915D37" w:rsidR="00D529F4" w:rsidRPr="002E65D8" w:rsidRDefault="00D529F4" w:rsidP="00D529F4">
      <w:pPr>
        <w:pStyle w:val="PBParagraph"/>
      </w:pPr>
      <w:r>
        <w:t>L</w:t>
      </w:r>
      <w:r w:rsidR="00715ACD">
        <w:t>’</w:t>
      </w:r>
      <w:r>
        <w:t>article 32(2) de la Convention mentionne des « </w:t>
      </w:r>
      <w:r>
        <w:rPr>
          <w:b/>
          <w:bCs/>
        </w:rPr>
        <w:t>honoraires raisonnables</w:t>
      </w:r>
      <w:r>
        <w:t> », mais ne dit rien de ce que l</w:t>
      </w:r>
      <w:r w:rsidR="00715ACD">
        <w:t>’</w:t>
      </w:r>
      <w:r>
        <w:t>on peut considérer comme raisonnable. Il incombe donc aux États de le déterminer. Or les États contractants n</w:t>
      </w:r>
      <w:r w:rsidR="00715ACD">
        <w:t>’</w:t>
      </w:r>
      <w:r>
        <w:t>ont pas tous réussi à fournir des chiffres précis ou une méthode de calcul pour recommander ou établir les coûts des services d</w:t>
      </w:r>
      <w:r w:rsidR="00715ACD">
        <w:t>’</w:t>
      </w:r>
      <w:r>
        <w:t>adoption. Il peut y avoir des « [l]imites inexistantes ou inappropriées concernant les frais, honoraires et contributions susceptibles d</w:t>
      </w:r>
      <w:r w:rsidR="00715ACD">
        <w:t>’</w:t>
      </w:r>
      <w:r>
        <w:t xml:space="preserve">être </w:t>
      </w:r>
      <w:r>
        <w:lastRenderedPageBreak/>
        <w:t>facturés</w:t>
      </w:r>
      <w:r w:rsidR="00F3330D">
        <w:t xml:space="preserve"> ou</w:t>
      </w:r>
      <w:r>
        <w:t xml:space="preserve"> payés et les dons susceptibles d</w:t>
      </w:r>
      <w:r w:rsidR="00715ACD">
        <w:t>’</w:t>
      </w:r>
      <w:r>
        <w:t>être faits » (</w:t>
      </w:r>
      <w:r>
        <w:rPr>
          <w:color w:val="FFC000"/>
        </w:rPr>
        <w:t xml:space="preserve">FS3, </w:t>
      </w:r>
      <w:r w:rsidR="00250381">
        <w:rPr>
          <w:color w:val="FFC000"/>
        </w:rPr>
        <w:t>boîte </w:t>
      </w:r>
      <w:r>
        <w:rPr>
          <w:color w:val="FFC000"/>
        </w:rPr>
        <w:t>26</w:t>
      </w:r>
      <w:r>
        <w:t>). Dans certains cas, les Autorités centrales n</w:t>
      </w:r>
      <w:r w:rsidR="00715ACD">
        <w:t>’</w:t>
      </w:r>
      <w:r>
        <w:t>ont pas le mandat ou la capacité juridique d</w:t>
      </w:r>
      <w:r w:rsidR="00715ACD">
        <w:t>’</w:t>
      </w:r>
      <w:r>
        <w:t>entreprendre une telle tâche, en conséquence de quoi les OAA sont responsables de déterminer le prix à demander pour leurs services. Aussi, différents acteurs peuvent tirer avantage de l</w:t>
      </w:r>
      <w:r w:rsidR="00715ACD">
        <w:t>’</w:t>
      </w:r>
      <w:r>
        <w:t xml:space="preserve">absence de législation et de réglementation limitant les montants et augmenter leurs prix. </w:t>
      </w:r>
    </w:p>
    <w:p w14:paraId="3A67CA56" w14:textId="72BD165A" w:rsidR="00D529F4" w:rsidRPr="002E65D8" w:rsidRDefault="00D529F4" w:rsidP="00D529F4">
      <w:pPr>
        <w:pStyle w:val="PBParagraph"/>
      </w:pPr>
      <w:r>
        <w:rPr>
          <w:b/>
          <w:bCs/>
        </w:rPr>
        <w:t>Plus les montants en jeu sont élevés</w:t>
      </w:r>
      <w:r>
        <w:t>, plus la pratique de l</w:t>
      </w:r>
      <w:r w:rsidR="00715ACD">
        <w:t>’</w:t>
      </w:r>
      <w:r>
        <w:t>adoption semblera lucrative, ce qui attirera davantage d</w:t>
      </w:r>
      <w:r w:rsidR="00715ACD">
        <w:t>’</w:t>
      </w:r>
      <w:r>
        <w:t>individus ou d</w:t>
      </w:r>
      <w:r w:rsidR="00715ACD">
        <w:t>’</w:t>
      </w:r>
      <w:r>
        <w:t>organ</w:t>
      </w:r>
      <w:r w:rsidR="00A93E6E">
        <w:t>ism</w:t>
      </w:r>
      <w:r>
        <w:t xml:space="preserve">es </w:t>
      </w:r>
      <w:r w:rsidR="00516E4D">
        <w:t>avant tout</w:t>
      </w:r>
      <w:r>
        <w:t xml:space="preserve"> intéressés par l</w:t>
      </w:r>
      <w:r w:rsidR="00715ACD">
        <w:t>’</w:t>
      </w:r>
      <w:r>
        <w:t>aspect commercial de l</w:t>
      </w:r>
      <w:r w:rsidR="00715ACD">
        <w:t>’</w:t>
      </w:r>
      <w:r>
        <w:t>adoption. Autoriser les professionnels à fixer leurs honoraires sans aucune surveillance est donc la porte ouverte à des pratiques financières contraires à l</w:t>
      </w:r>
      <w:r w:rsidR="00715ACD">
        <w:t>’</w:t>
      </w:r>
      <w:r>
        <w:t>éthique. Tel peut notamment être le cas si « un paiement de sommes d</w:t>
      </w:r>
      <w:r w:rsidR="00715ACD">
        <w:t>’</w:t>
      </w:r>
      <w:r>
        <w:t>argent supplémentaires [est suggéré, proposé, exigé ou effectué] en vue d</w:t>
      </w:r>
      <w:r w:rsidR="00715ACD">
        <w:t>’</w:t>
      </w:r>
      <w:r>
        <w:t>accélérer la procédure d</w:t>
      </w:r>
      <w:r w:rsidR="00715ACD">
        <w:t>’</w:t>
      </w:r>
      <w:r>
        <w:t>adoption avant que la décision d</w:t>
      </w:r>
      <w:r w:rsidR="00715ACD">
        <w:t>’</w:t>
      </w:r>
      <w:r>
        <w:t>adoption ne soit prise » (</w:t>
      </w:r>
      <w:r>
        <w:rPr>
          <w:color w:val="EE0000"/>
        </w:rPr>
        <w:t xml:space="preserve">FS3, </w:t>
      </w:r>
      <w:r w:rsidR="00250381">
        <w:rPr>
          <w:color w:val="EE0000"/>
        </w:rPr>
        <w:t>boîte </w:t>
      </w:r>
      <w:r w:rsidR="00771599">
        <w:rPr>
          <w:color w:val="EE0000"/>
        </w:rPr>
        <w:t>0</w:t>
      </w:r>
      <w:r>
        <w:rPr>
          <w:color w:val="EE0000"/>
        </w:rPr>
        <w:t>5</w:t>
      </w:r>
      <w:r>
        <w:t>). Cela peut également être le cas lorsque la « [r]émunération des professionnels [est] tributaire du nombre d</w:t>
      </w:r>
      <w:r w:rsidR="00715ACD">
        <w:t>’</w:t>
      </w:r>
      <w:r>
        <w:t>adoptions finalisées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27</w:t>
      </w:r>
      <w:r>
        <w:t>).</w:t>
      </w:r>
    </w:p>
    <w:p w14:paraId="3ACA1D49" w14:textId="3A225E79" w:rsidR="00D529F4" w:rsidRPr="002E65D8" w:rsidRDefault="00D529F4" w:rsidP="00D529F4">
      <w:pPr>
        <w:pStyle w:val="PBParagraph"/>
      </w:pPr>
      <w:r>
        <w:t xml:space="preserve">Cependant, comme le soulignent Euradopt et le </w:t>
      </w:r>
      <w:r>
        <w:rPr>
          <w:i/>
          <w:iCs/>
        </w:rPr>
        <w:t>Nordic Adoption Council</w:t>
      </w:r>
      <w:r>
        <w:t>, « raisonnable » ne veut pas dire « le plus bas possible »</w:t>
      </w:r>
      <w:r w:rsidRPr="002E65D8">
        <w:rPr>
          <w:rStyle w:val="FootnoteReference"/>
        </w:rPr>
        <w:footnoteReference w:id="276"/>
      </w:r>
      <w:r>
        <w:t>. Si le seuil est trop bas, il est possible que les honoraires et les coûts ne rémunèrent plus de manière adéquate le travail fourni, ce qui peut dissuader des personnes qualifiées d</w:t>
      </w:r>
      <w:r w:rsidR="00715ACD">
        <w:t>’</w:t>
      </w:r>
      <w:r>
        <w:t xml:space="preserve">exercer cette profession. Une faible rémunération peut par exemple décourager les travailleurs sociaux </w:t>
      </w:r>
      <w:r w:rsidR="0061084E">
        <w:t>si elle ne permet</w:t>
      </w:r>
      <w:r>
        <w:t xml:space="preserve"> pas de tenir suffisamment compte du temps qu</w:t>
      </w:r>
      <w:r w:rsidR="00715ACD">
        <w:t>’</w:t>
      </w:r>
      <w:r>
        <w:t>ils consacrent, de leur dévouement et des risques auxquels ils sont parfois exposés</w:t>
      </w:r>
      <w:r w:rsidRPr="002E65D8">
        <w:rPr>
          <w:rStyle w:val="FootnoteReference"/>
        </w:rPr>
        <w:footnoteReference w:id="277"/>
      </w:r>
      <w:r>
        <w:t>. Il est légitime de s</w:t>
      </w:r>
      <w:r w:rsidR="00715ACD">
        <w:t>’</w:t>
      </w:r>
      <w:r>
        <w:t>attendre à ce que des services de qualité soient rémunérés en conséquence. À défaut, des professionnels peuvent être amenés à recourir à des moyens illicites pour compléter leur revenu (par ex. accepter un pot-de-vin) ou à accepter une charge trop importante qui pourrait les détourner de leurs responsabilités initiales et engendrer des conflits d</w:t>
      </w:r>
      <w:r w:rsidR="00715ACD">
        <w:t>’</w:t>
      </w:r>
      <w:r>
        <w:t>intérêts</w:t>
      </w:r>
      <w:r w:rsidRPr="002E65D8">
        <w:rPr>
          <w:rStyle w:val="FootnoteReference"/>
        </w:rPr>
        <w:footnoteReference w:id="278"/>
      </w:r>
      <w:r>
        <w:t>.</w:t>
      </w:r>
    </w:p>
    <w:p w14:paraId="76D23D67" w14:textId="4E19EDA4" w:rsidR="00D529F4" w:rsidRPr="002E65D8" w:rsidRDefault="00D529F4" w:rsidP="004047D5">
      <w:pPr>
        <w:pStyle w:val="Heading3"/>
        <w:numPr>
          <w:ilvl w:val="2"/>
          <w:numId w:val="4"/>
        </w:numPr>
      </w:pPr>
      <w:bookmarkStart w:id="176" w:name="_Toc236061695"/>
      <w:r>
        <w:t>Mesures visant à limiter</w:t>
      </w:r>
      <w:r w:rsidR="00A759F5">
        <w:t xml:space="preserve"> les </w:t>
      </w:r>
      <w:r w:rsidR="00444D5E">
        <w:t>frais</w:t>
      </w:r>
      <w:r w:rsidR="00A759F5">
        <w:t xml:space="preserve"> et</w:t>
      </w:r>
      <w:r>
        <w:t xml:space="preserve"> les honoraires</w:t>
      </w:r>
      <w:bookmarkEnd w:id="176"/>
      <w:r>
        <w:t xml:space="preserve"> </w:t>
      </w:r>
    </w:p>
    <w:p w14:paraId="23CBF1B2" w14:textId="77777777" w:rsidR="00D529F4" w:rsidRPr="002E65D8" w:rsidRDefault="00D529F4" w:rsidP="004047D5">
      <w:pPr>
        <w:pStyle w:val="Heading4"/>
      </w:pPr>
      <w:bookmarkStart w:id="177" w:name="_Ref211427437"/>
      <w:bookmarkStart w:id="178" w:name="_Ref212030356"/>
      <w:r>
        <w:t xml:space="preserve">Utiliser les </w:t>
      </w:r>
      <w:bookmarkEnd w:id="177"/>
      <w:r>
        <w:t>Tableaux sur les aspects financiers</w:t>
      </w:r>
      <w:bookmarkEnd w:id="178"/>
      <w:r>
        <w:t xml:space="preserve"> </w:t>
      </w:r>
    </w:p>
    <w:p w14:paraId="62040304" w14:textId="3E70FF91" w:rsidR="00D529F4" w:rsidRPr="002E65D8" w:rsidRDefault="00D6085B" w:rsidP="00D529F4">
      <w:pPr>
        <w:pStyle w:val="PBParagraph"/>
      </w:pPr>
      <w:bookmarkStart w:id="179" w:name="_Ref211427621"/>
      <w:r>
        <w:t xml:space="preserve">Les Tableaux sur les aspects financiers mis au point par la HCCH peuvent </w:t>
      </w:r>
      <w:r w:rsidR="003C4438">
        <w:t>aider</w:t>
      </w:r>
      <w:r>
        <w:t xml:space="preserve"> les États à limiter </w:t>
      </w:r>
      <w:r w:rsidR="00AE364A">
        <w:t xml:space="preserve">les </w:t>
      </w:r>
      <w:r w:rsidR="00320ABE">
        <w:t>frais</w:t>
      </w:r>
      <w:r w:rsidR="00AE364A">
        <w:t xml:space="preserve"> et </w:t>
      </w:r>
      <w:r>
        <w:t>les honoraires en les rendant transparents et comparables d</w:t>
      </w:r>
      <w:r w:rsidR="00715ACD">
        <w:t>’</w:t>
      </w:r>
      <w:r>
        <w:t>un État ou d</w:t>
      </w:r>
      <w:r w:rsidR="00715ACD">
        <w:t>’</w:t>
      </w:r>
      <w:r>
        <w:t>un OAA à l</w:t>
      </w:r>
      <w:r w:rsidR="00715ACD">
        <w:t>’</w:t>
      </w:r>
      <w:r>
        <w:t>autre, ce qui permettra de déceler plus facilement des différences injustifiées. Les États pourraient ensuite « [l]imiter les paiements aux frais et honoraires qui ont été communiqués par chaque État dans les Tableaux […] sur les aspects financiers » (</w:t>
      </w:r>
      <w:r>
        <w:rPr>
          <w:color w:val="00B050"/>
          <w:shd w:val="clear" w:color="auto" w:fill="FFFFFF" w:themeFill="background1"/>
        </w:rPr>
        <w:t xml:space="preserve">FS3, </w:t>
      </w:r>
      <w:r w:rsidR="00250381">
        <w:rPr>
          <w:color w:val="00B050"/>
          <w:shd w:val="clear" w:color="auto" w:fill="FFFFFF" w:themeFill="background1"/>
        </w:rPr>
        <w:t>boîte </w:t>
      </w:r>
      <w:r w:rsidR="00771599">
        <w:rPr>
          <w:color w:val="00B050"/>
          <w:shd w:val="clear" w:color="auto" w:fill="FFFFFF" w:themeFill="background1"/>
        </w:rPr>
        <w:t>0</w:t>
      </w:r>
      <w:r>
        <w:rPr>
          <w:color w:val="00B050"/>
          <w:shd w:val="clear" w:color="auto" w:fill="FFFFFF" w:themeFill="background1"/>
        </w:rPr>
        <w:t>4.3</w:t>
      </w:r>
      <w:r>
        <w:t xml:space="preserve">). Cette possibilité de comparer </w:t>
      </w:r>
      <w:r w:rsidR="007D2053">
        <w:t xml:space="preserve">promeut également </w:t>
      </w:r>
      <w:r>
        <w:t xml:space="preserve">une meilleure supervision et un meilleur suivi, les autorités étant en mesure de </w:t>
      </w:r>
      <w:r w:rsidR="00510DB1">
        <w:t>s</w:t>
      </w:r>
      <w:r w:rsidR="00715ACD">
        <w:t>’</w:t>
      </w:r>
      <w:r w:rsidR="00510DB1">
        <w:t>assurer</w:t>
      </w:r>
      <w:r>
        <w:t xml:space="preserve"> que seuls les </w:t>
      </w:r>
      <w:r w:rsidR="00510DB1">
        <w:t xml:space="preserve">frais </w:t>
      </w:r>
      <w:r>
        <w:t>autorisés sont facturés et que les documents adéquats sont fournis. Par voie de conséquence, les Tableaux ont pour effet de décourager les honoraires cachés ou excessifs et de promouvoir la responsabilisation tout au long de la procédure d</w:t>
      </w:r>
      <w:r w:rsidR="00715ACD">
        <w:t>’</w:t>
      </w:r>
      <w:r>
        <w:t>adoption (voir para. </w:t>
      </w:r>
      <w:r w:rsidR="00C852F9" w:rsidRPr="002E65D8">
        <w:fldChar w:fldCharType="begin"/>
      </w:r>
      <w:r w:rsidR="00C852F9" w:rsidRPr="002E65D8">
        <w:instrText xml:space="preserve"> REF _Ref209372013 \r \h </w:instrText>
      </w:r>
      <w:r w:rsidR="002E65D8">
        <w:instrText xml:space="preserve"> \* MERGEFORMAT </w:instrText>
      </w:r>
      <w:r w:rsidR="00C852F9" w:rsidRPr="002E65D8">
        <w:fldChar w:fldCharType="separate"/>
      </w:r>
      <w:r w:rsidR="00E6549D">
        <w:t>117</w:t>
      </w:r>
      <w:r w:rsidR="00C852F9" w:rsidRPr="002E65D8">
        <w:fldChar w:fldCharType="end"/>
      </w:r>
      <w:r>
        <w:t xml:space="preserve"> </w:t>
      </w:r>
      <w:r w:rsidR="00FE424A">
        <w:t>e</w:t>
      </w:r>
      <w:r>
        <w:t xml:space="preserve">t </w:t>
      </w:r>
      <w:r w:rsidR="00CB3B88" w:rsidRPr="002E65D8">
        <w:fldChar w:fldCharType="begin"/>
      </w:r>
      <w:r w:rsidR="00CB3B88" w:rsidRPr="002E65D8">
        <w:instrText xml:space="preserve"> REF _Ref209372014 \r \h </w:instrText>
      </w:r>
      <w:r w:rsidR="002E65D8">
        <w:instrText xml:space="preserve"> \* MERGEFORMAT </w:instrText>
      </w:r>
      <w:r w:rsidR="00CB3B88" w:rsidRPr="002E65D8">
        <w:fldChar w:fldCharType="separate"/>
      </w:r>
      <w:r w:rsidR="00E6549D">
        <w:t>119</w:t>
      </w:r>
      <w:r w:rsidR="00CB3B88" w:rsidRPr="002E65D8">
        <w:fldChar w:fldCharType="end"/>
      </w:r>
      <w:r>
        <w:t xml:space="preserve"> et </w:t>
      </w:r>
      <w:r w:rsidR="002E7A3B">
        <w:t>boîte</w:t>
      </w:r>
      <w:r>
        <w:t> 4 ci-dessus).</w:t>
      </w:r>
      <w:bookmarkEnd w:id="179"/>
    </w:p>
    <w:p w14:paraId="4EF4A9FC" w14:textId="27770738" w:rsidR="00D6085B" w:rsidRPr="002E65D8" w:rsidRDefault="00D6085B" w:rsidP="00D6085B">
      <w:pPr>
        <w:pStyle w:val="Heading4"/>
      </w:pPr>
      <w:bookmarkStart w:id="180" w:name="_Ref211427445"/>
      <w:r>
        <w:t>Services fournis à titre gratuit</w:t>
      </w:r>
    </w:p>
    <w:p w14:paraId="1B2A1A37" w14:textId="10092F47" w:rsidR="00D6085B" w:rsidRPr="002E65D8" w:rsidRDefault="001A7450" w:rsidP="00D6085B">
      <w:pPr>
        <w:pStyle w:val="PBParagraph"/>
      </w:pPr>
      <w:r>
        <w:t xml:space="preserve">Certaines Autorités centrales et / ou autorités compétentes fournissent leurs services </w:t>
      </w:r>
      <w:r>
        <w:rPr>
          <w:b/>
          <w:bCs/>
        </w:rPr>
        <w:t>à titre gratuit</w:t>
      </w:r>
      <w:r>
        <w:t xml:space="preserve"> ou en contrepartie d</w:t>
      </w:r>
      <w:r w:rsidR="00715ACD">
        <w:t>’</w:t>
      </w:r>
      <w:r>
        <w:t xml:space="preserve">honoraires très faibles. Il peut toutefois y avoir certains </w:t>
      </w:r>
      <w:r w:rsidR="007C1D7D">
        <w:t>frais</w:t>
      </w:r>
      <w:r>
        <w:t xml:space="preserve"> à payer dans ces États (par ex. les frais de traduction ou d</w:t>
      </w:r>
      <w:r w:rsidR="00715ACD">
        <w:t>’</w:t>
      </w:r>
      <w:r>
        <w:t xml:space="preserve">interprétation). </w:t>
      </w:r>
    </w:p>
    <w:p w14:paraId="5B0F4C10" w14:textId="3D5CB81F" w:rsidR="00D6085B" w:rsidRPr="002E65D8" w:rsidRDefault="002E7A3B" w:rsidP="00D6085B">
      <w:pPr>
        <w:pStyle w:val="Blueboxtitle"/>
        <w:spacing w:after="0" w:line="240" w:lineRule="auto"/>
        <w:outlineLvl w:val="2"/>
      </w:pPr>
      <w:bookmarkStart w:id="181" w:name="_Toc236061696"/>
      <w:r>
        <w:t>Boîte</w:t>
      </w:r>
      <w:r w:rsidR="00D6085B">
        <w:t> 17 : Services fournis à titre gratuit</w:t>
      </w:r>
      <w:bookmarkEnd w:id="181"/>
    </w:p>
    <w:p w14:paraId="74E5D9C7" w14:textId="77777777" w:rsidR="00D6085B" w:rsidRPr="002E65D8" w:rsidRDefault="00D6085B" w:rsidP="00D6085B">
      <w:pPr>
        <w:pStyle w:val="Blueboxtitle"/>
        <w:rPr>
          <w:b w:val="0"/>
          <w:bCs w:val="0"/>
        </w:rPr>
      </w:pPr>
      <w:r>
        <w:rPr>
          <w:b w:val="0"/>
        </w:rPr>
        <w:t xml:space="preserve">Quelques exemples de mesures mises en œuvre par les États </w:t>
      </w:r>
    </w:p>
    <w:p w14:paraId="28B21A1E" w14:textId="102B27B7" w:rsidR="003016B7" w:rsidRPr="002E65D8" w:rsidRDefault="003016B7" w:rsidP="003016B7">
      <w:pPr>
        <w:pStyle w:val="Bluebox"/>
      </w:pPr>
      <w:r>
        <w:lastRenderedPageBreak/>
        <w:t>Dans de nombreux États d</w:t>
      </w:r>
      <w:r w:rsidR="00715ACD">
        <w:t>’</w:t>
      </w:r>
      <w:r>
        <w:t>Amérique latine, l</w:t>
      </w:r>
      <w:r w:rsidR="00715ACD">
        <w:t>’</w:t>
      </w:r>
      <w:r>
        <w:t xml:space="preserve">Autorité centrale ne facture aucun </w:t>
      </w:r>
      <w:r w:rsidR="008772C1">
        <w:t>frais</w:t>
      </w:r>
      <w:r>
        <w:t xml:space="preserve"> lié à l</w:t>
      </w:r>
      <w:r w:rsidR="00715ACD">
        <w:t>’</w:t>
      </w:r>
      <w:r>
        <w:t>adoption (par ex. Brésil, Chili, Colombie, El Salvador, Équateur, Mexique, Pérou, Uruguay)</w:t>
      </w:r>
      <w:r w:rsidRPr="002E65D8">
        <w:rPr>
          <w:rStyle w:val="FootnoteReference"/>
        </w:rPr>
        <w:footnoteReference w:id="279"/>
      </w:r>
      <w:r>
        <w:t>. C</w:t>
      </w:r>
      <w:r w:rsidR="00715ACD">
        <w:t>’</w:t>
      </w:r>
      <w:r>
        <w:t>est également le cas dans d</w:t>
      </w:r>
      <w:r w:rsidR="00715ACD">
        <w:t>’</w:t>
      </w:r>
      <w:r>
        <w:t>autres États, notamment le Portugal et la République tchèque</w:t>
      </w:r>
      <w:r w:rsidRPr="002E65D8">
        <w:rPr>
          <w:rStyle w:val="FootnoteReference"/>
        </w:rPr>
        <w:footnoteReference w:id="280"/>
      </w:r>
      <w:r w:rsidR="006B6CAF">
        <w:t>.</w:t>
      </w:r>
    </w:p>
    <w:p w14:paraId="48B0C77F" w14:textId="34D7BDE6" w:rsidR="00B81285" w:rsidRPr="002E65D8" w:rsidRDefault="00B81285" w:rsidP="00B81285">
      <w:pPr>
        <w:pStyle w:val="Bluebox"/>
      </w:pPr>
      <w:r>
        <w:t>L</w:t>
      </w:r>
      <w:r w:rsidR="00715ACD">
        <w:t>’</w:t>
      </w:r>
      <w:r>
        <w:t>Autriche et la Croatie expliquent que la procédure devant l</w:t>
      </w:r>
      <w:r w:rsidR="00715ACD">
        <w:t>’</w:t>
      </w:r>
      <w:r>
        <w:t>Autorité centrale est gratuite. Certaines procédures administratives connexes peuvent néanmoins avoir un coût (par ex. la traduction d</w:t>
      </w:r>
      <w:r w:rsidR="00715ACD">
        <w:t>’</w:t>
      </w:r>
      <w:r>
        <w:t>actes, l</w:t>
      </w:r>
      <w:r w:rsidR="00715ACD">
        <w:t>’</w:t>
      </w:r>
      <w:r>
        <w:t>octroi de la nationalité, la délivrance des visas)</w:t>
      </w:r>
      <w:r w:rsidRPr="002E65D8">
        <w:rPr>
          <w:rStyle w:val="FootnoteReference"/>
        </w:rPr>
        <w:footnoteReference w:id="281"/>
      </w:r>
      <w:r w:rsidR="006B6CAF">
        <w:t>.</w:t>
      </w:r>
    </w:p>
    <w:p w14:paraId="7411268B" w14:textId="129594F8" w:rsidR="00D529F4" w:rsidRPr="002E65D8" w:rsidRDefault="00D529F4" w:rsidP="004047D5">
      <w:pPr>
        <w:pStyle w:val="Heading4"/>
      </w:pPr>
      <w:r>
        <w:t>Interdire la facturation de certains types de services</w:t>
      </w:r>
      <w:bookmarkEnd w:id="180"/>
      <w:r>
        <w:t xml:space="preserve"> </w:t>
      </w:r>
    </w:p>
    <w:p w14:paraId="510097E8" w14:textId="7446BA2B" w:rsidR="00D529F4" w:rsidRPr="002E65D8" w:rsidRDefault="00D529F4" w:rsidP="00D529F4">
      <w:pPr>
        <w:pStyle w:val="PBParagraph"/>
      </w:pPr>
      <w:bookmarkStart w:id="182" w:name="_Ref211427637"/>
      <w:r>
        <w:t>Les États peuvent interdire les paiements correspondant à des mesures ou à des services spécifiques. Ils peuvent notamment « [i]nterdire de suggérer, de proposer, d</w:t>
      </w:r>
      <w:r w:rsidR="00715ACD">
        <w:t>’</w:t>
      </w:r>
      <w:r>
        <w:t>exiger</w:t>
      </w:r>
      <w:r w:rsidR="0014431D">
        <w:t>,</w:t>
      </w:r>
      <w:r>
        <w:t xml:space="preserve"> d</w:t>
      </w:r>
      <w:r w:rsidR="00715ACD">
        <w:t>’</w:t>
      </w:r>
      <w:r>
        <w:t xml:space="preserve">effectuer </w:t>
      </w:r>
      <w:r w:rsidR="0014431D">
        <w:t xml:space="preserve">ou de recevoir </w:t>
      </w:r>
      <w:r>
        <w:t>un paiement d</w:t>
      </w:r>
      <w:r w:rsidR="00715ACD">
        <w:t>’</w:t>
      </w:r>
      <w:r>
        <w:t>honoraires supplémentaires pour accélérer la procédure d</w:t>
      </w:r>
      <w:r w:rsidR="00715ACD">
        <w:t>’</w:t>
      </w:r>
      <w:r>
        <w:t xml:space="preserve">adoption (par ex. </w:t>
      </w:r>
      <w:r>
        <w:rPr>
          <w:b/>
          <w:bCs/>
        </w:rPr>
        <w:t>“honoraires d</w:t>
      </w:r>
      <w:r w:rsidR="00715ACD">
        <w:rPr>
          <w:b/>
          <w:bCs/>
        </w:rPr>
        <w:t>’</w:t>
      </w:r>
      <w:r>
        <w:rPr>
          <w:b/>
          <w:bCs/>
        </w:rPr>
        <w:t>accélération”</w:t>
      </w:r>
      <w:r>
        <w:t xml:space="preserve"> » </w:t>
      </w:r>
      <w:r w:rsidRPr="008D21A8">
        <w:t>(</w:t>
      </w:r>
      <w:r w:rsidRPr="008D21A8">
        <w:rPr>
          <w:color w:val="00B050"/>
        </w:rPr>
        <w:t xml:space="preserve">FS3, </w:t>
      </w:r>
      <w:r w:rsidR="00250381" w:rsidRPr="008D21A8">
        <w:rPr>
          <w:color w:val="00B050"/>
        </w:rPr>
        <w:t>boîte </w:t>
      </w:r>
      <w:r w:rsidR="00771599" w:rsidRPr="008D21A8">
        <w:rPr>
          <w:color w:val="00B050"/>
        </w:rPr>
        <w:t>0</w:t>
      </w:r>
      <w:r w:rsidRPr="008D21A8">
        <w:rPr>
          <w:color w:val="00B050"/>
        </w:rPr>
        <w:t>5</w:t>
      </w:r>
      <w:r w:rsidRPr="008D21A8">
        <w:t>), obtenir un privilège ou prendre soin de l</w:t>
      </w:r>
      <w:r w:rsidR="00715ACD" w:rsidRPr="008D21A8">
        <w:t>’</w:t>
      </w:r>
      <w:r w:rsidRPr="008D21A8">
        <w:t>enfant à adopter</w:t>
      </w:r>
      <w:r w:rsidRPr="008D21A8">
        <w:rPr>
          <w:rStyle w:val="FootnoteReference"/>
        </w:rPr>
        <w:footnoteReference w:id="282"/>
      </w:r>
      <w:r w:rsidRPr="008D21A8">
        <w:t xml:space="preserve">. Ils peuvent aussi expressément « [i]nterdire aux acteurs de facturer des </w:t>
      </w:r>
      <w:r w:rsidRPr="008D21A8">
        <w:rPr>
          <w:b/>
          <w:bCs/>
        </w:rPr>
        <w:t>services qu</w:t>
      </w:r>
      <w:r w:rsidR="00715ACD" w:rsidRPr="008D21A8">
        <w:rPr>
          <w:b/>
          <w:bCs/>
        </w:rPr>
        <w:t>’</w:t>
      </w:r>
      <w:r w:rsidRPr="008D21A8">
        <w:rPr>
          <w:b/>
          <w:bCs/>
        </w:rPr>
        <w:t>un État fournit généralement</w:t>
      </w:r>
      <w:r w:rsidRPr="008D21A8">
        <w:t xml:space="preserve"> aux FPA à titre gratuit, qui n</w:t>
      </w:r>
      <w:r w:rsidR="00715ACD" w:rsidRPr="008D21A8">
        <w:t>’</w:t>
      </w:r>
      <w:r w:rsidRPr="008D21A8">
        <w:t>ont pas été rendus (fournis) ou lorsqu</w:t>
      </w:r>
      <w:r w:rsidR="00715ACD" w:rsidRPr="008D21A8">
        <w:t>’</w:t>
      </w:r>
      <w:r w:rsidRPr="008D21A8">
        <w:t>il est inapproprié de le faire » (non souligné dans l</w:t>
      </w:r>
      <w:r w:rsidR="00715ACD" w:rsidRPr="008D21A8">
        <w:t>’</w:t>
      </w:r>
      <w:r w:rsidRPr="008D21A8">
        <w:t>original) (</w:t>
      </w:r>
      <w:r w:rsidRPr="008D21A8">
        <w:rPr>
          <w:color w:val="00B050"/>
        </w:rPr>
        <w:t xml:space="preserve">FS3, </w:t>
      </w:r>
      <w:r w:rsidR="00250381" w:rsidRPr="008D21A8">
        <w:rPr>
          <w:color w:val="00B050"/>
        </w:rPr>
        <w:t>boîte </w:t>
      </w:r>
      <w:r w:rsidR="00771599" w:rsidRPr="008D21A8">
        <w:rPr>
          <w:color w:val="00B050"/>
        </w:rPr>
        <w:t>0</w:t>
      </w:r>
      <w:r w:rsidRPr="008D21A8">
        <w:rPr>
          <w:color w:val="00B050"/>
        </w:rPr>
        <w:t>4.4</w:t>
      </w:r>
      <w:r w:rsidRPr="008D21A8">
        <w:t>)</w:t>
      </w:r>
      <w:r w:rsidRPr="008D21A8">
        <w:rPr>
          <w:rStyle w:val="FootnoteReference"/>
        </w:rPr>
        <w:footnoteReference w:id="283"/>
      </w:r>
      <w:r w:rsidRPr="008D21A8">
        <w:t>.</w:t>
      </w:r>
      <w:bookmarkEnd w:id="182"/>
    </w:p>
    <w:p w14:paraId="1F7325E2" w14:textId="13F5292A" w:rsidR="00260F8D" w:rsidRPr="002E65D8" w:rsidRDefault="002E7A3B" w:rsidP="00260F8D">
      <w:pPr>
        <w:pStyle w:val="Blueboxtitle"/>
        <w:spacing w:after="0" w:line="240" w:lineRule="auto"/>
        <w:outlineLvl w:val="2"/>
      </w:pPr>
      <w:bookmarkStart w:id="183" w:name="_Toc236061697"/>
      <w:r>
        <w:t>Boîte</w:t>
      </w:r>
      <w:r w:rsidR="00260F8D">
        <w:t> 18 : Interdiction de facturer certains services</w:t>
      </w:r>
      <w:bookmarkEnd w:id="183"/>
    </w:p>
    <w:p w14:paraId="1F811C48" w14:textId="77777777" w:rsidR="00260F8D" w:rsidRPr="002E65D8" w:rsidRDefault="00260F8D" w:rsidP="00260F8D">
      <w:pPr>
        <w:pStyle w:val="Blueboxtitle"/>
        <w:rPr>
          <w:b w:val="0"/>
          <w:bCs w:val="0"/>
        </w:rPr>
      </w:pPr>
      <w:r>
        <w:rPr>
          <w:b w:val="0"/>
        </w:rPr>
        <w:t xml:space="preserve">Quelques exemples de mesures mises en œuvre par les États </w:t>
      </w:r>
    </w:p>
    <w:p w14:paraId="19008692" w14:textId="20CB7CD7" w:rsidR="00C33F79" w:rsidRPr="002E65D8" w:rsidRDefault="00E935B1" w:rsidP="00336CAC">
      <w:pPr>
        <w:pStyle w:val="Bluebox"/>
      </w:pPr>
      <w:r>
        <w:t>En Colombie, le site web de l</w:t>
      </w:r>
      <w:r w:rsidR="00715ACD">
        <w:t>’</w:t>
      </w:r>
      <w:r>
        <w:t>Autorité centrale (ICBF) énonce clairement qu</w:t>
      </w:r>
      <w:r w:rsidR="00715ACD">
        <w:t>’</w:t>
      </w:r>
      <w:r>
        <w:t xml:space="preserve">il est formellement interdit à </w:t>
      </w:r>
      <w:r w:rsidR="00AF5B29">
        <w:t xml:space="preserve">celle-ci </w:t>
      </w:r>
      <w:r>
        <w:t>ou à ses fonctionnaires de recevoir de l</w:t>
      </w:r>
      <w:r w:rsidR="00715ACD">
        <w:t>’</w:t>
      </w:r>
      <w:r>
        <w:t>argent pour mener / accélérer la procédure. De même, en aucun cas ne peut être versée aux parents d</w:t>
      </w:r>
      <w:r w:rsidR="00715ACD">
        <w:t>’</w:t>
      </w:r>
      <w:r>
        <w:t>origine une quelconque récompense pour l</w:t>
      </w:r>
      <w:r w:rsidR="00715ACD">
        <w:t>’</w:t>
      </w:r>
      <w:r>
        <w:t>abandon de leur enfant</w:t>
      </w:r>
      <w:r w:rsidR="00C33F79" w:rsidRPr="002E65D8">
        <w:rPr>
          <w:rStyle w:val="FootnoteReference"/>
        </w:rPr>
        <w:footnoteReference w:id="284"/>
      </w:r>
      <w:r>
        <w:t>.</w:t>
      </w:r>
    </w:p>
    <w:p w14:paraId="1ED09166" w14:textId="24E31294" w:rsidR="00D529F4" w:rsidRPr="002E65D8" w:rsidRDefault="00D529F4" w:rsidP="004047D5">
      <w:pPr>
        <w:pStyle w:val="Heading4"/>
      </w:pPr>
      <w:bookmarkStart w:id="184" w:name="_Ref211427447"/>
      <w:r>
        <w:t>Limiter les montants et fixer une fourchette de frais et d</w:t>
      </w:r>
      <w:r w:rsidR="00715ACD">
        <w:t>’</w:t>
      </w:r>
      <w:r>
        <w:t>honoraires</w:t>
      </w:r>
      <w:bookmarkEnd w:id="184"/>
    </w:p>
    <w:p w14:paraId="4266C208" w14:textId="2F9F28C5" w:rsidR="00D529F4" w:rsidRPr="002E65D8" w:rsidRDefault="00D529F4" w:rsidP="00D529F4">
      <w:pPr>
        <w:pStyle w:val="PBParagraph"/>
      </w:pPr>
      <w:bookmarkStart w:id="185" w:name="_Ref210733515"/>
      <w:r>
        <w:t>Les États devraient « </w:t>
      </w:r>
      <w:r>
        <w:rPr>
          <w:b/>
          <w:bCs/>
        </w:rPr>
        <w:t>[l]imiter le montant</w:t>
      </w:r>
      <w:r>
        <w:t xml:space="preserve"> des frais [et] honoraires » (</w:t>
      </w:r>
      <w:r>
        <w:rPr>
          <w:color w:val="00B050"/>
        </w:rPr>
        <w:t xml:space="preserve">FS3, </w:t>
      </w:r>
      <w:r w:rsidR="00250381">
        <w:rPr>
          <w:color w:val="00B050"/>
        </w:rPr>
        <w:t>boîte </w:t>
      </w:r>
      <w:r>
        <w:rPr>
          <w:color w:val="00B050"/>
        </w:rPr>
        <w:t>26</w:t>
      </w:r>
      <w:r>
        <w:t>). La législation et la réglementation peuvent plafonner les coûts des services rendus par les OAA, les professionnels et les autres autorités afin d</w:t>
      </w:r>
      <w:r w:rsidR="00715ACD">
        <w:t>’</w:t>
      </w:r>
      <w:r>
        <w:t>éviter les risques associés à la liberté des prix, comme l</w:t>
      </w:r>
      <w:r w:rsidR="00715ACD">
        <w:t>’</w:t>
      </w:r>
      <w:r>
        <w:t>inflation des coûts</w:t>
      </w:r>
      <w:r w:rsidRPr="002E65D8">
        <w:rPr>
          <w:rStyle w:val="FootnoteReference"/>
        </w:rPr>
        <w:footnoteReference w:id="285"/>
      </w:r>
      <w:r>
        <w:t>. Étant assujettis à un plafond sur le total des frais, les OAA chercheront le meilleur rapport qualité-prix auprès des professionnels avec lesquels ils travaillent (par ex., les interprètes et les avocats) parce qu</w:t>
      </w:r>
      <w:r w:rsidR="00715ACD">
        <w:t>’</w:t>
      </w:r>
      <w:r>
        <w:t>ils savent qu</w:t>
      </w:r>
      <w:r w:rsidR="00715ACD">
        <w:t>’</w:t>
      </w:r>
      <w:r>
        <w:t>ils ne pourront pas facturer ces frais aux FPA</w:t>
      </w:r>
      <w:r w:rsidRPr="002E65D8">
        <w:rPr>
          <w:rStyle w:val="FootnoteReference"/>
        </w:rPr>
        <w:footnoteReference w:id="286"/>
      </w:r>
      <w:r>
        <w:t>.</w:t>
      </w:r>
      <w:bookmarkEnd w:id="185"/>
    </w:p>
    <w:p w14:paraId="6B9C35C0" w14:textId="3F6A935E" w:rsidR="008617CB" w:rsidRPr="002E65D8" w:rsidRDefault="00D529F4" w:rsidP="00AF53AF">
      <w:pPr>
        <w:pStyle w:val="PBParagraph"/>
      </w:pPr>
      <w:r>
        <w:t xml:space="preserve">Les États pourraient ne pas être en mesure de fixer des limites dans la loi, en raison de la nécessaire flexibilité liée à la fluctuation des coûts. Dans ces cas-là, les Autorités centrales pourraient « [f]ixer une </w:t>
      </w:r>
      <w:r>
        <w:rPr>
          <w:b/>
          <w:bCs/>
          <w:i/>
          <w:iCs/>
        </w:rPr>
        <w:t>fourchette</w:t>
      </w:r>
      <w:r>
        <w:rPr>
          <w:b/>
          <w:bCs/>
        </w:rPr>
        <w:t xml:space="preserve"> acceptable des frais et honoraires autorisés</w:t>
      </w:r>
      <w:r>
        <w:t xml:space="preserve">, </w:t>
      </w:r>
      <w:r w:rsidR="00FD34E1">
        <w:t>au moins au sein d</w:t>
      </w:r>
      <w:r>
        <w:t>u même État et de ses OAA le cas échéant » pour chaque service. Pour éviter de laisser une marge de discrétion totale, cette fourchette devrait être limitée et « proportionne</w:t>
      </w:r>
      <w:r w:rsidR="007C1DF0">
        <w:t>lle</w:t>
      </w:r>
      <w:r>
        <w:t xml:space="preserve"> au niveau de vie de l</w:t>
      </w:r>
      <w:r w:rsidR="00715ACD">
        <w:t>’</w:t>
      </w:r>
      <w:r>
        <w:t>État concerné et aux autres services de protection des enfants » (</w:t>
      </w:r>
      <w:r w:rsidR="006B6CAF">
        <w:rPr>
          <w:color w:val="00B050"/>
        </w:rPr>
        <w:t xml:space="preserve">FS3, </w:t>
      </w:r>
      <w:r w:rsidR="00250381">
        <w:rPr>
          <w:color w:val="00B050"/>
        </w:rPr>
        <w:t>boîte </w:t>
      </w:r>
      <w:r>
        <w:rPr>
          <w:color w:val="00B050"/>
        </w:rPr>
        <w:t xml:space="preserve">4.1 et </w:t>
      </w:r>
      <w:r w:rsidR="00771599">
        <w:rPr>
          <w:color w:val="00B050"/>
          <w:shd w:val="clear" w:color="auto" w:fill="FFFFFF" w:themeFill="background1"/>
        </w:rPr>
        <w:t xml:space="preserve">boîte </w:t>
      </w:r>
      <w:r>
        <w:rPr>
          <w:color w:val="00B050"/>
        </w:rPr>
        <w:t>25.1</w:t>
      </w:r>
      <w:r>
        <w:t>). Les États devraient également « [r]econsidérer l</w:t>
      </w:r>
      <w:r w:rsidR="00715ACD">
        <w:t>’</w:t>
      </w:r>
      <w:r>
        <w:t>étendue de la coopération (et au besoin y mettre fin) avec un État ([État d</w:t>
      </w:r>
      <w:r w:rsidR="00715ACD">
        <w:t>’</w:t>
      </w:r>
      <w:r>
        <w:t>accueil ou État d</w:t>
      </w:r>
      <w:r w:rsidR="00715ACD">
        <w:t>’</w:t>
      </w:r>
      <w:r>
        <w:t>origine]) lorsqu</w:t>
      </w:r>
      <w:r w:rsidR="00715ACD">
        <w:t>’</w:t>
      </w:r>
      <w:r>
        <w:t>aucune explication claire et raisonnable n</w:t>
      </w:r>
      <w:r w:rsidR="00715ACD">
        <w:t>’</w:t>
      </w:r>
      <w:r>
        <w:t xml:space="preserve">est apportée concernant </w:t>
      </w:r>
      <w:r w:rsidR="00A847A4">
        <w:t>un écart important</w:t>
      </w:r>
      <w:r>
        <w:t xml:space="preserve"> des frais et honoraires par rapport aux autres États de sa région » (</w:t>
      </w:r>
      <w:r>
        <w:rPr>
          <w:color w:val="00B050"/>
        </w:rPr>
        <w:t xml:space="preserve">FS3, </w:t>
      </w:r>
      <w:r w:rsidR="00250381">
        <w:rPr>
          <w:color w:val="00B050"/>
        </w:rPr>
        <w:t>boîte </w:t>
      </w:r>
      <w:r>
        <w:rPr>
          <w:color w:val="00B050"/>
        </w:rPr>
        <w:t>25.2</w:t>
      </w:r>
      <w:r>
        <w:t xml:space="preserve">). </w:t>
      </w:r>
    </w:p>
    <w:p w14:paraId="440252E7" w14:textId="2DA3E7F7" w:rsidR="00D529F4" w:rsidRPr="002E65D8" w:rsidRDefault="00D529F4" w:rsidP="00D529F4">
      <w:pPr>
        <w:pStyle w:val="PBParagraph"/>
      </w:pPr>
      <w:r>
        <w:t xml:space="preserve">Les Autorités centrales devraient travailler avec les </w:t>
      </w:r>
      <w:r>
        <w:rPr>
          <w:b/>
          <w:bCs/>
        </w:rPr>
        <w:t>autorités qui délivrent les agréments et les conseils des ordres professionnels</w:t>
      </w:r>
      <w:r>
        <w:t xml:space="preserve"> afin de réguler leurs coûts respectifs et de déterminer la fourchette acceptable. </w:t>
      </w:r>
    </w:p>
    <w:p w14:paraId="28333D90" w14:textId="505A000E" w:rsidR="00D529F4" w:rsidRPr="002E65D8" w:rsidRDefault="00D529F4" w:rsidP="00D529F4">
      <w:pPr>
        <w:pStyle w:val="PBParagraph"/>
      </w:pPr>
      <w:r>
        <w:lastRenderedPageBreak/>
        <w:t>S</w:t>
      </w:r>
      <w:r w:rsidR="00715ACD">
        <w:t>’</w:t>
      </w:r>
      <w:r>
        <w:t xml:space="preserve">agissant des </w:t>
      </w:r>
      <w:r>
        <w:rPr>
          <w:b/>
          <w:bCs/>
        </w:rPr>
        <w:t>professionnels</w:t>
      </w:r>
      <w:r>
        <w:t>, la fourchette devrait tenir compte des honoraires que les mêmes professionnels demandent pour des services comparables dans la même région. Seuls les honoraires qui satisfont aux critères suivants devraient être jugés raisonnables :</w:t>
      </w:r>
    </w:p>
    <w:p w14:paraId="50CD8864" w14:textId="46D9D878" w:rsidR="00D529F4" w:rsidRPr="002E65D8" w:rsidRDefault="00D529F4" w:rsidP="00D529F4">
      <w:pPr>
        <w:pStyle w:val="PBBulletList"/>
      </w:pPr>
      <w:r>
        <w:t>honoraires autorisés par la loi de l</w:t>
      </w:r>
      <w:r w:rsidR="00715ACD">
        <w:t>’</w:t>
      </w:r>
      <w:r>
        <w:t>État dans lequel le paiement est effectué et le service fourni ;</w:t>
      </w:r>
    </w:p>
    <w:p w14:paraId="77F63E50" w14:textId="325A79AE" w:rsidR="00D529F4" w:rsidRPr="002E65D8" w:rsidRDefault="00D529F4" w:rsidP="00D529F4">
      <w:pPr>
        <w:pStyle w:val="PBBulletList"/>
      </w:pPr>
      <w:r>
        <w:t>honoraires proportionn</w:t>
      </w:r>
      <w:r w:rsidR="00B74269">
        <w:t>el</w:t>
      </w:r>
      <w:r>
        <w:t>s au nombre d</w:t>
      </w:r>
      <w:r w:rsidR="00715ACD">
        <w:t>’</w:t>
      </w:r>
      <w:r>
        <w:t>heures, aux qualifications et à l</w:t>
      </w:r>
      <w:r w:rsidR="00715ACD">
        <w:t>’</w:t>
      </w:r>
      <w:r>
        <w:t>expérience nécessaires pour exécuter la prestation de service ainsi qu</w:t>
      </w:r>
      <w:r w:rsidR="00715ACD">
        <w:t>’</w:t>
      </w:r>
      <w:r>
        <w:t>à sa complexité et aux frais généraux associés ;</w:t>
      </w:r>
    </w:p>
    <w:p w14:paraId="3CC18909" w14:textId="5B73FCDB" w:rsidR="00D529F4" w:rsidRPr="002E65D8" w:rsidRDefault="00D529F4" w:rsidP="00D529F4">
      <w:pPr>
        <w:pStyle w:val="PBBulletList"/>
      </w:pPr>
      <w:r>
        <w:t>honoraires ne dépassant pas ceux qui sont demandés par des organismes ou professionnels similaires compte tenu du nombre d</w:t>
      </w:r>
      <w:r w:rsidR="00715ACD">
        <w:t>’</w:t>
      </w:r>
      <w:r>
        <w:t>heures, des qualifications et de l</w:t>
      </w:r>
      <w:r w:rsidR="00715ACD">
        <w:t>’</w:t>
      </w:r>
      <w:r>
        <w:t>expérience nécessaires pour exécuter la prestation de service, de la complexité et des frais généraux associés ;</w:t>
      </w:r>
    </w:p>
    <w:p w14:paraId="67B2EF6A" w14:textId="34C01199" w:rsidR="00D529F4" w:rsidRPr="002E65D8" w:rsidRDefault="00D529F4" w:rsidP="00D529F4">
      <w:pPr>
        <w:pStyle w:val="PBBulletList"/>
      </w:pPr>
      <w:r>
        <w:t>honoraires fixés en tenant compte : des salaires généralement pratiqués sur le lieu d</w:t>
      </w:r>
      <w:r w:rsidR="00715ACD">
        <w:t>’</w:t>
      </w:r>
      <w:r>
        <w:t>exécution de la prestation de service tant pour le personnel local que pour les étrangers, y compris les suppléments basés sur la coutume (comme des congés particuliers et des avantages sociaux) ou imposés par la loi, des honoraires payés à des professionnels pour des services fournis dans les États d</w:t>
      </w:r>
      <w:r w:rsidR="00715ACD">
        <w:t>’</w:t>
      </w:r>
      <w:r>
        <w:t>origine et semblables à ceux qu</w:t>
      </w:r>
      <w:r w:rsidR="00715ACD">
        <w:t>’</w:t>
      </w:r>
      <w:r>
        <w:t>exige un dossier d</w:t>
      </w:r>
      <w:r w:rsidR="00715ACD">
        <w:t>’</w:t>
      </w:r>
      <w:r>
        <w:t>adoption nationale et des données macroéconomiques générales</w:t>
      </w:r>
      <w:r w:rsidRPr="002E65D8">
        <w:rPr>
          <w:rStyle w:val="FootnoteReference"/>
        </w:rPr>
        <w:footnoteReference w:id="287"/>
      </w:r>
      <w:r>
        <w:t>.</w:t>
      </w:r>
    </w:p>
    <w:p w14:paraId="5697AAD8" w14:textId="4B6762DA" w:rsidR="00D529F4" w:rsidRPr="002E65D8" w:rsidRDefault="00D529F4" w:rsidP="00D529F4">
      <w:pPr>
        <w:pStyle w:val="PBParagraph"/>
      </w:pPr>
      <w:r>
        <w:t>Il peut s</w:t>
      </w:r>
      <w:r w:rsidR="00715ACD">
        <w:t>’</w:t>
      </w:r>
      <w:r>
        <w:t>avérer difficile pour les États d</w:t>
      </w:r>
      <w:r w:rsidR="00715ACD">
        <w:t>’</w:t>
      </w:r>
      <w:r>
        <w:t xml:space="preserve">accueil de </w:t>
      </w:r>
      <w:r>
        <w:rPr>
          <w:b/>
          <w:bCs/>
        </w:rPr>
        <w:t>déterminer quels montants peuvent être considérés comme raisonnables dans un État d</w:t>
      </w:r>
      <w:r w:rsidR="00715ACD">
        <w:rPr>
          <w:b/>
          <w:bCs/>
        </w:rPr>
        <w:t>’</w:t>
      </w:r>
      <w:r>
        <w:rPr>
          <w:b/>
          <w:bCs/>
        </w:rPr>
        <w:t>origine</w:t>
      </w:r>
      <w:r>
        <w:t>, puisqu</w:t>
      </w:r>
      <w:r w:rsidR="00715ACD">
        <w:t>’</w:t>
      </w:r>
      <w:r>
        <w:t>ils peuvent ne pas disposer des informations relatives aux honoraires moyens facturés par des acteurs privés, tels que des avocats, des traducteurs, des chauffeurs ou des docteurs. Bien qu</w:t>
      </w:r>
      <w:r w:rsidR="00715ACD">
        <w:t>’</w:t>
      </w:r>
      <w:r>
        <w:t>il s</w:t>
      </w:r>
      <w:r w:rsidR="00715ACD">
        <w:t>’</w:t>
      </w:r>
      <w:r>
        <w:t>agisse de professions libérales, dans le cadre desquelles les individus sont libres de fixer leurs honoraires en toute indépendance, il serait utile de disposer d</w:t>
      </w:r>
      <w:r w:rsidR="00715ACD">
        <w:t>’</w:t>
      </w:r>
      <w:r>
        <w:t>un tableau recensant la rémunération horaire ou par service moyenne. Une autre possibilité pourrait être que l</w:t>
      </w:r>
      <w:r w:rsidR="00715ACD">
        <w:t>’</w:t>
      </w:r>
      <w:r>
        <w:t>Autorité centrale de l</w:t>
      </w:r>
      <w:r w:rsidR="00715ACD">
        <w:t>’</w:t>
      </w:r>
      <w:r>
        <w:t>État d</w:t>
      </w:r>
      <w:r w:rsidR="00715ACD">
        <w:t>’</w:t>
      </w:r>
      <w:r>
        <w:t>accueil, avant d</w:t>
      </w:r>
      <w:r w:rsidR="00715ACD">
        <w:t>’</w:t>
      </w:r>
      <w:r>
        <w:t>autoriser un OAA à travailler dans un État d</w:t>
      </w:r>
      <w:r w:rsidR="00715ACD">
        <w:t>’</w:t>
      </w:r>
      <w:r>
        <w:t>origine en particulier, prenne contact avec l</w:t>
      </w:r>
      <w:r w:rsidR="00715ACD">
        <w:t>’</w:t>
      </w:r>
      <w:r>
        <w:t>Autorité centrale de l</w:t>
      </w:r>
      <w:r w:rsidR="00715ACD">
        <w:t>’</w:t>
      </w:r>
      <w:r>
        <w:t>État concerné pour lui présenter le tableau des frais envisagés</w:t>
      </w:r>
      <w:r w:rsidR="00EF6DA3">
        <w:t>, ce qui lui</w:t>
      </w:r>
      <w:r>
        <w:t xml:space="preserve"> permettrait </w:t>
      </w:r>
      <w:r w:rsidR="00EF6DA3">
        <w:t xml:space="preserve">de se prononcer sur </w:t>
      </w:r>
      <w:r>
        <w:t>le caractère raisonnable des frais envisagés.</w:t>
      </w:r>
    </w:p>
    <w:p w14:paraId="13820B8B" w14:textId="6F2346BC" w:rsidR="00D529F4" w:rsidRPr="002E65D8" w:rsidRDefault="00D529F4" w:rsidP="00D529F4">
      <w:pPr>
        <w:pStyle w:val="PBParagraph"/>
      </w:pPr>
      <w:r>
        <w:t>Si les Autorités centrales et les autorités qui délivrent l</w:t>
      </w:r>
      <w:r w:rsidR="00715ACD">
        <w:t>’</w:t>
      </w:r>
      <w:r>
        <w:t xml:space="preserve">agrément ont fixé une fourchette appropriée, elles pourraient demander aux </w:t>
      </w:r>
      <w:r>
        <w:rPr>
          <w:b/>
          <w:bCs/>
        </w:rPr>
        <w:t>OAA</w:t>
      </w:r>
      <w:r>
        <w:t xml:space="preserve"> auxquels la fourchette s</w:t>
      </w:r>
      <w:r w:rsidR="00715ACD">
        <w:t>’</w:t>
      </w:r>
      <w:r>
        <w:t>applique de les consulter (au moment de l</w:t>
      </w:r>
      <w:r w:rsidR="00715ACD">
        <w:t>’</w:t>
      </w:r>
      <w:r>
        <w:t>agrément, de la délivrance de l</w:t>
      </w:r>
      <w:r w:rsidR="00715ACD">
        <w:t>’</w:t>
      </w:r>
      <w:r>
        <w:t xml:space="preserve">autorisation, du renouvellement ou en cas de changement) afin de garantir que les coûts entrent dans la fourchette autorisée. Les Autorités centrales, les autorités qui délivrent les agréments et les conseils des ordres professionnels pourraient demander à être informés de toute modification des honoraires et exiger une justification. </w:t>
      </w:r>
    </w:p>
    <w:p w14:paraId="7F019C9F" w14:textId="73470736" w:rsidR="00D529F4" w:rsidRPr="002E65D8" w:rsidRDefault="00D529F4" w:rsidP="00D529F4">
      <w:pPr>
        <w:pStyle w:val="PBParagraph"/>
      </w:pPr>
      <w:r>
        <w:t>En outre, afin d</w:t>
      </w:r>
      <w:r w:rsidR="00715ACD">
        <w:t>’</w:t>
      </w:r>
      <w:r>
        <w:t xml:space="preserve">éviter toute relation ou dépendance économique entre les OAA et les </w:t>
      </w:r>
      <w:r>
        <w:rPr>
          <w:b/>
          <w:bCs/>
        </w:rPr>
        <w:t>professionnels</w:t>
      </w:r>
      <w:r>
        <w:t xml:space="preserve"> avec lesquels ils sont souvent amenés à collaborer étroitement, les autorités concernées des États d</w:t>
      </w:r>
      <w:r w:rsidR="00715ACD">
        <w:t>’</w:t>
      </w:r>
      <w:r>
        <w:t>origine peuvent référencer, au moyen d</w:t>
      </w:r>
      <w:r w:rsidR="00715ACD">
        <w:t>’</w:t>
      </w:r>
      <w:r>
        <w:t xml:space="preserve">une liste, les professionnels (traducteurs, avocats ou chauffeurs, par ex.) qui pratiquent des frais et honoraires conformes aux fourchettes figurant dans </w:t>
      </w:r>
      <w:r w:rsidR="005C2582">
        <w:t>la liste</w:t>
      </w:r>
      <w:r>
        <w:t>. Les professionnels demandant des honoraires plus élevés pourraient être retirés de la liste.</w:t>
      </w:r>
    </w:p>
    <w:p w14:paraId="7BE28AC0" w14:textId="623253A1" w:rsidR="00D529F4" w:rsidRPr="002E65D8" w:rsidRDefault="00D529F4" w:rsidP="00D529F4">
      <w:pPr>
        <w:pStyle w:val="PBParagraph"/>
      </w:pPr>
      <w:bookmarkStart w:id="186" w:name="_Ref211427673"/>
      <w:r>
        <w:t xml:space="preserve">Des </w:t>
      </w:r>
      <w:r>
        <w:rPr>
          <w:b/>
          <w:bCs/>
        </w:rPr>
        <w:t>frais plus élevés</w:t>
      </w:r>
      <w:r>
        <w:t xml:space="preserve"> peuvent être justifiés dans certaines circonstances, selon la nature et le niveau des services prêtés par les OAA. Auquel cas, l</w:t>
      </w:r>
      <w:r w:rsidR="00715ACD">
        <w:t>’</w:t>
      </w:r>
      <w:r>
        <w:t>essentiel est que l</w:t>
      </w:r>
      <w:r w:rsidR="00715ACD">
        <w:t>’</w:t>
      </w:r>
      <w:r>
        <w:t>OAA explique clairement les raisons sous-tendant la majoration des frais.</w:t>
      </w:r>
      <w:bookmarkEnd w:id="186"/>
      <w:r>
        <w:t xml:space="preserve"> </w:t>
      </w:r>
    </w:p>
    <w:p w14:paraId="7540CFA1" w14:textId="1A21B5FB" w:rsidR="00BB1442" w:rsidRPr="002E65D8" w:rsidRDefault="002E7A3B" w:rsidP="00BB1442">
      <w:pPr>
        <w:pStyle w:val="Blueboxtitle"/>
        <w:spacing w:after="0" w:line="240" w:lineRule="auto"/>
        <w:outlineLvl w:val="2"/>
      </w:pPr>
      <w:bookmarkStart w:id="187" w:name="_Toc236061698"/>
      <w:r>
        <w:t>Boîte</w:t>
      </w:r>
      <w:r w:rsidR="00BB1442">
        <w:t> 19 : Limiter les montants et la fourchette des coûts</w:t>
      </w:r>
      <w:bookmarkEnd w:id="187"/>
    </w:p>
    <w:p w14:paraId="526A5497" w14:textId="77777777" w:rsidR="00BB1442" w:rsidRPr="002E65D8" w:rsidRDefault="00BB1442" w:rsidP="00BB1442">
      <w:pPr>
        <w:pStyle w:val="Blueboxtitle"/>
        <w:rPr>
          <w:b w:val="0"/>
          <w:bCs w:val="0"/>
        </w:rPr>
      </w:pPr>
      <w:r>
        <w:rPr>
          <w:b w:val="0"/>
        </w:rPr>
        <w:t xml:space="preserve">Quelques exemples de mesures mises en œuvre par les États </w:t>
      </w:r>
    </w:p>
    <w:p w14:paraId="75497125" w14:textId="525F37D7" w:rsidR="00E471FB" w:rsidRPr="002E65D8" w:rsidRDefault="00D529F4" w:rsidP="003E5933">
      <w:pPr>
        <w:pStyle w:val="Bluebox"/>
        <w:rPr>
          <w:szCs w:val="16"/>
        </w:rPr>
      </w:pPr>
      <w:r>
        <w:lastRenderedPageBreak/>
        <w:t>En Belgique (communauté francophone), certains coûts sont fixés par les autorités compétentes et peuvent donc être limités (tandis que d</w:t>
      </w:r>
      <w:r w:rsidR="00715ACD">
        <w:t>’</w:t>
      </w:r>
      <w:r>
        <w:t>autres varient en fonction de facteurs qui sont hors du contrôle des autorités et des OAA). De plus, avant d</w:t>
      </w:r>
      <w:r w:rsidR="00715ACD">
        <w:t>’</w:t>
      </w:r>
      <w:r>
        <w:t>autoriser un OAA à travailler à l</w:t>
      </w:r>
      <w:r w:rsidR="00715ACD">
        <w:t>’</w:t>
      </w:r>
      <w:r>
        <w:t>étranger, l</w:t>
      </w:r>
      <w:r w:rsidR="00715ACD">
        <w:t>’</w:t>
      </w:r>
      <w:r>
        <w:t>Autorité centrale vérifie que les frais facturés sont raisonnables et ne génèrent pas de profits indus</w:t>
      </w:r>
      <w:r w:rsidR="00601C3C" w:rsidRPr="002E65D8">
        <w:rPr>
          <w:rStyle w:val="FootnoteReference"/>
          <w:szCs w:val="16"/>
        </w:rPr>
        <w:footnoteReference w:id="288"/>
      </w:r>
      <w:r>
        <w:t>. En Belgique (communauté flamande), les autorités ont fixé le montant maximum des honoraires que les OAA peuvent facturer</w:t>
      </w:r>
      <w:r w:rsidR="000B3C38" w:rsidRPr="002E65D8">
        <w:rPr>
          <w:rStyle w:val="FootnoteReference"/>
          <w:szCs w:val="16"/>
        </w:rPr>
        <w:footnoteReference w:id="289"/>
      </w:r>
      <w:r>
        <w:t>.</w:t>
      </w:r>
    </w:p>
    <w:p w14:paraId="09A31B2C" w14:textId="05F1E91B" w:rsidR="00CC26F5" w:rsidRPr="002E65D8" w:rsidRDefault="00CC26F5" w:rsidP="00CC26F5">
      <w:pPr>
        <w:pStyle w:val="Bluebox"/>
        <w:rPr>
          <w:szCs w:val="16"/>
        </w:rPr>
      </w:pPr>
      <w:r>
        <w:t>En Bulgarie, l</w:t>
      </w:r>
      <w:r w:rsidR="00715ACD">
        <w:t>’</w:t>
      </w:r>
      <w:r>
        <w:t>Autorité centrale exige de chaque OAA qu</w:t>
      </w:r>
      <w:r w:rsidR="00715ACD">
        <w:t>’</w:t>
      </w:r>
      <w:r>
        <w:t xml:space="preserve">il présente des informations quant aux montants </w:t>
      </w:r>
      <w:r w:rsidR="00996926">
        <w:t xml:space="preserve">maximums </w:t>
      </w:r>
      <w:r>
        <w:t xml:space="preserve">des frais </w:t>
      </w:r>
      <w:r w:rsidR="00996926">
        <w:t xml:space="preserve">supportés dans le cadre </w:t>
      </w:r>
      <w:r>
        <w:t>de l</w:t>
      </w:r>
      <w:r w:rsidR="00715ACD">
        <w:t>’</w:t>
      </w:r>
      <w:r>
        <w:t>adoption internationale pour chaque État</w:t>
      </w:r>
      <w:r w:rsidRPr="002E65D8">
        <w:rPr>
          <w:rStyle w:val="FootnoteReference"/>
          <w:szCs w:val="16"/>
        </w:rPr>
        <w:footnoteReference w:id="290"/>
      </w:r>
      <w:r>
        <w:t xml:space="preserve">. </w:t>
      </w:r>
    </w:p>
    <w:p w14:paraId="26F067E3" w14:textId="081D0EF4" w:rsidR="00D529F4" w:rsidRPr="002E65D8" w:rsidRDefault="00D529F4" w:rsidP="00017C48">
      <w:pPr>
        <w:pStyle w:val="Bluebox"/>
        <w:rPr>
          <w:szCs w:val="16"/>
        </w:rPr>
      </w:pPr>
      <w:r>
        <w:t>Au Canada (Manitoba), les honoraires maximums qu</w:t>
      </w:r>
      <w:r w:rsidR="00715ACD">
        <w:t>’</w:t>
      </w:r>
      <w:r>
        <w:t>un OAA peut facturer pour ses services sont fixés dans un règlement</w:t>
      </w:r>
      <w:r w:rsidR="00E94AD7" w:rsidRPr="002E65D8">
        <w:rPr>
          <w:rStyle w:val="FootnoteReference"/>
          <w:szCs w:val="16"/>
        </w:rPr>
        <w:footnoteReference w:id="291"/>
      </w:r>
      <w:r>
        <w:t xml:space="preserve">. </w:t>
      </w:r>
    </w:p>
    <w:p w14:paraId="2E9E0F8A" w14:textId="05F40798" w:rsidR="00D529F4" w:rsidRPr="002E65D8" w:rsidRDefault="00D529F4" w:rsidP="004047D5">
      <w:pPr>
        <w:pStyle w:val="Heading4"/>
      </w:pPr>
      <w:bookmarkStart w:id="188" w:name="_Ref211427449"/>
      <w:r>
        <w:t>Fixer des normes en matière de rémunération</w:t>
      </w:r>
      <w:bookmarkEnd w:id="188"/>
    </w:p>
    <w:p w14:paraId="00C6DF2D" w14:textId="12B5ED45" w:rsidR="00D529F4" w:rsidRPr="002E65D8" w:rsidRDefault="00D529F4" w:rsidP="00D529F4">
      <w:pPr>
        <w:pStyle w:val="PBParagraph"/>
      </w:pPr>
      <w:bookmarkStart w:id="189" w:name="_Ref211427704"/>
      <w:r>
        <w:t>Les États peuvent demander que les autorités et les organismes respectent certaines limites lorsqu</w:t>
      </w:r>
      <w:r w:rsidR="00715ACD">
        <w:t>’</w:t>
      </w:r>
      <w:r>
        <w:t>ils fixent le salaire de leur personnel, de leurs représentants et de leurs collaborateurs</w:t>
      </w:r>
      <w:r w:rsidRPr="002E65D8">
        <w:rPr>
          <w:rStyle w:val="FootnoteReference"/>
        </w:rPr>
        <w:footnoteReference w:id="292"/>
      </w:r>
      <w:r>
        <w:t>. À titre d</w:t>
      </w:r>
      <w:r w:rsidR="00715ACD">
        <w:t>’</w:t>
      </w:r>
      <w:r>
        <w:t xml:space="preserve">exemple, « la </w:t>
      </w:r>
      <w:r>
        <w:rPr>
          <w:b/>
          <w:bCs/>
        </w:rPr>
        <w:t>rémunération des professionnels</w:t>
      </w:r>
      <w:r>
        <w:t xml:space="preserve"> ne [devrait] pas [être] tributaire du nombre d</w:t>
      </w:r>
      <w:r w:rsidR="00715ACD">
        <w:t>’</w:t>
      </w:r>
      <w:r>
        <w:t>adoptions ou des caractéristiques de l</w:t>
      </w:r>
      <w:r w:rsidR="00715ACD">
        <w:t>’</w:t>
      </w:r>
      <w:r>
        <w:t>enfant placé en vue d</w:t>
      </w:r>
      <w:r w:rsidR="00715ACD">
        <w:t>’</w:t>
      </w:r>
      <w:r>
        <w:t>une adoption et, si possible et lorsque le nombre de dossiers d</w:t>
      </w:r>
      <w:r w:rsidR="00715ACD">
        <w:t>’</w:t>
      </w:r>
      <w:r>
        <w:t>adoption le permet, [elle devrait être] déterminée sur une base annuelle ou mensuelle » (</w:t>
      </w:r>
      <w:r>
        <w:rPr>
          <w:color w:val="00B050"/>
        </w:rPr>
        <w:t xml:space="preserve">FS3, </w:t>
      </w:r>
      <w:r w:rsidR="00250381">
        <w:rPr>
          <w:color w:val="00B050"/>
        </w:rPr>
        <w:t>boîte </w:t>
      </w:r>
      <w:r>
        <w:rPr>
          <w:color w:val="00B050"/>
        </w:rPr>
        <w:t>27</w:t>
      </w:r>
      <w:r>
        <w:t>)</w:t>
      </w:r>
      <w:r w:rsidRPr="002E65D8">
        <w:rPr>
          <w:rStyle w:val="FootnoteReference"/>
          <w:shd w:val="clear" w:color="auto" w:fill="FFFFFF" w:themeFill="background1"/>
        </w:rPr>
        <w:footnoteReference w:id="293"/>
      </w:r>
      <w:r>
        <w:t>.</w:t>
      </w:r>
      <w:r>
        <w:rPr>
          <w:color w:val="00B050"/>
        </w:rPr>
        <w:t xml:space="preserve"> </w:t>
      </w:r>
      <w:r>
        <w:t>Toutefois, vu la baisse du nombre d</w:t>
      </w:r>
      <w:r w:rsidR="00715ACD">
        <w:t>’</w:t>
      </w:r>
      <w:r>
        <w:t>adoptions internationales, cela devient de plus en plus difficile en pratique. En conséquence, lorsqu</w:t>
      </w:r>
      <w:r w:rsidR="00715ACD">
        <w:t>’</w:t>
      </w:r>
      <w:r>
        <w:t>il n</w:t>
      </w:r>
      <w:r w:rsidR="00715ACD">
        <w:t>’</w:t>
      </w:r>
      <w:r>
        <w:t>est pas possible de verser des salaires sur une base annuelle ou mensuelle, la rémunération peut alors s</w:t>
      </w:r>
      <w:r w:rsidR="00715ACD">
        <w:t>’</w:t>
      </w:r>
      <w:r>
        <w:t>appuyer sur un forfait par service ou un dédommagement horaire. Dans un tel cas, pour éviter tout abus, les Autorités centrales devraient s</w:t>
      </w:r>
      <w:r w:rsidR="00715ACD">
        <w:t>’</w:t>
      </w:r>
      <w:r>
        <w:t>assurer que ce dédommagement horaire ou forfait par service est limité et conforme aux pratiques locales en matière de rémunération. En outre, la rémunération ne devrait jamais être subordonnée au « succès » d</w:t>
      </w:r>
      <w:r w:rsidR="00715ACD">
        <w:t>’</w:t>
      </w:r>
      <w:r>
        <w:t>une adoption ni au nombre de dossiers d</w:t>
      </w:r>
      <w:r w:rsidR="00715ACD">
        <w:t>’</w:t>
      </w:r>
      <w:r>
        <w:t>adoptions ayant abouti. Son montant devrait également être raisonnable.</w:t>
      </w:r>
      <w:bookmarkEnd w:id="189"/>
    </w:p>
    <w:p w14:paraId="686C841B" w14:textId="03E34235" w:rsidR="00D529F4" w:rsidRPr="002E65D8" w:rsidRDefault="00D529F4" w:rsidP="00D529F4">
      <w:pPr>
        <w:pStyle w:val="PBParagraph"/>
      </w:pPr>
      <w:r>
        <w:t xml:space="preserve">Il est également important que les </w:t>
      </w:r>
      <w:r>
        <w:rPr>
          <w:b/>
          <w:bCs/>
        </w:rPr>
        <w:t>OAA précisent clairement à l</w:t>
      </w:r>
      <w:r w:rsidR="00715ACD">
        <w:rPr>
          <w:b/>
          <w:bCs/>
        </w:rPr>
        <w:t>’</w:t>
      </w:r>
      <w:r>
        <w:rPr>
          <w:b/>
          <w:bCs/>
        </w:rPr>
        <w:t>avance la rémunération</w:t>
      </w:r>
      <w:r>
        <w:t xml:space="preserve"> de leur personnel, de leurs représentants et / ou de leurs collaborateurs. </w:t>
      </w:r>
    </w:p>
    <w:p w14:paraId="2614F9F2" w14:textId="4B78F6D6" w:rsidR="00D529F4" w:rsidRPr="002E65D8" w:rsidRDefault="00D529F4" w:rsidP="00D529F4">
      <w:pPr>
        <w:pStyle w:val="PBParagraph"/>
      </w:pPr>
      <w:r>
        <w:t xml:space="preserve">La rémunération devrait être </w:t>
      </w:r>
      <w:r>
        <w:rPr>
          <w:b/>
          <w:bCs/>
        </w:rPr>
        <w:t>comparable aux taux de rémunération pratiqués dans l</w:t>
      </w:r>
      <w:r w:rsidR="00715ACD">
        <w:rPr>
          <w:b/>
          <w:bCs/>
        </w:rPr>
        <w:t>’</w:t>
      </w:r>
      <w:r>
        <w:rPr>
          <w:b/>
          <w:bCs/>
        </w:rPr>
        <w:t>État</w:t>
      </w:r>
      <w:r>
        <w:t xml:space="preserve"> où le professionnel travaille, compte tenu des tâches à exécuter, des compétences requises et des normes locales en vigueur dans cet État pour des postes similaires</w:t>
      </w:r>
      <w:r w:rsidRPr="002E65D8">
        <w:rPr>
          <w:rStyle w:val="FootnoteReference"/>
        </w:rPr>
        <w:footnoteReference w:id="294"/>
      </w:r>
      <w:r>
        <w:t>. À cet égard, les OAA devraient être parfaitement informés des taux de rémunération dans les deux États</w:t>
      </w:r>
      <w:r w:rsidRPr="002E65D8">
        <w:rPr>
          <w:rStyle w:val="FootnoteReference"/>
        </w:rPr>
        <w:footnoteReference w:id="295"/>
      </w:r>
      <w:r>
        <w:t xml:space="preserve"> et à un niveau plus local si nécessaire</w:t>
      </w:r>
      <w:r w:rsidRPr="002E65D8">
        <w:rPr>
          <w:rStyle w:val="FootnoteReference"/>
        </w:rPr>
        <w:footnoteReference w:id="296"/>
      </w:r>
      <w:r>
        <w:t>. La rémunération peut par exemple suivre la méthodologie de rémunération du personnel local des ambassades dans un pays donné</w:t>
      </w:r>
      <w:r w:rsidRPr="002E65D8">
        <w:rPr>
          <w:rStyle w:val="FootnoteReference"/>
        </w:rPr>
        <w:footnoteReference w:id="297"/>
      </w:r>
      <w:r>
        <w:t>. Les autorités devraient également « [v]eiller à ce que [...] la rémunération du personnel des OAA [...] soi[t] raisonnable[...] compte tenu du niveau de vie de l</w:t>
      </w:r>
      <w:r w:rsidR="00715ACD">
        <w:t>’</w:t>
      </w:r>
      <w:r>
        <w:t>État concerné et des autres services de protection des enfants » (</w:t>
      </w:r>
      <w:r>
        <w:rPr>
          <w:color w:val="00B050"/>
          <w:shd w:val="clear" w:color="auto" w:fill="FFFFFF" w:themeFill="background1"/>
        </w:rPr>
        <w:t xml:space="preserve">FS3, </w:t>
      </w:r>
      <w:r w:rsidR="00250381">
        <w:rPr>
          <w:color w:val="00B050"/>
          <w:shd w:val="clear" w:color="auto" w:fill="FFFFFF" w:themeFill="background1"/>
        </w:rPr>
        <w:t>boîte </w:t>
      </w:r>
      <w:r w:rsidR="00771599">
        <w:rPr>
          <w:color w:val="00B050"/>
          <w:shd w:val="clear" w:color="auto" w:fill="FFFFFF" w:themeFill="background1"/>
        </w:rPr>
        <w:t>0</w:t>
      </w:r>
      <w:r>
        <w:rPr>
          <w:color w:val="00B050"/>
          <w:shd w:val="clear" w:color="auto" w:fill="FFFFFF" w:themeFill="background1"/>
        </w:rPr>
        <w:t>4.1</w:t>
      </w:r>
      <w:r>
        <w:t>).</w:t>
      </w:r>
    </w:p>
    <w:p w14:paraId="0DC57AB4" w14:textId="327D31D2" w:rsidR="00D529F4" w:rsidRPr="002E65D8" w:rsidRDefault="00D529F4" w:rsidP="00D529F4">
      <w:pPr>
        <w:pStyle w:val="PBParagraph"/>
      </w:pPr>
      <w:bookmarkStart w:id="190" w:name="_Ref211427710"/>
      <w:r>
        <w:t xml:space="preserve">Les données locales de comparaison en matière de rémunération permettent ensuite de fixer un taux de rémunération approprié pour un poste donné dans cet État. La rémunération ne devrait pas non plus être </w:t>
      </w:r>
      <w:r>
        <w:rPr>
          <w:b/>
          <w:bCs/>
        </w:rPr>
        <w:t>si faible</w:t>
      </w:r>
      <w:r>
        <w:t xml:space="preserve"> qu</w:t>
      </w:r>
      <w:r w:rsidR="00715ACD">
        <w:t>’</w:t>
      </w:r>
      <w:r>
        <w:t>elle ne rétribue pas de manière appropriée les services de qualité.</w:t>
      </w:r>
      <w:bookmarkEnd w:id="190"/>
    </w:p>
    <w:p w14:paraId="32CA9A51" w14:textId="33F2536F" w:rsidR="00BB1442" w:rsidRPr="002E65D8" w:rsidRDefault="002E7A3B" w:rsidP="00BB1442">
      <w:pPr>
        <w:pStyle w:val="Blueboxtitle"/>
        <w:spacing w:after="0" w:line="240" w:lineRule="auto"/>
        <w:outlineLvl w:val="2"/>
      </w:pPr>
      <w:bookmarkStart w:id="191" w:name="_Toc236061699"/>
      <w:r>
        <w:t>Boîte</w:t>
      </w:r>
      <w:r w:rsidR="00BB1442">
        <w:t> 20 : Normes en matière de rémunération</w:t>
      </w:r>
      <w:bookmarkEnd w:id="191"/>
    </w:p>
    <w:p w14:paraId="218EEE25" w14:textId="77777777" w:rsidR="00BB1442" w:rsidRPr="002E65D8" w:rsidRDefault="00BB1442" w:rsidP="00BB1442">
      <w:pPr>
        <w:pStyle w:val="Blueboxtitle"/>
        <w:rPr>
          <w:b w:val="0"/>
          <w:bCs w:val="0"/>
        </w:rPr>
      </w:pPr>
      <w:r>
        <w:rPr>
          <w:b w:val="0"/>
        </w:rPr>
        <w:t xml:space="preserve">Quelques exemples de mesures mises en œuvre par les États </w:t>
      </w:r>
    </w:p>
    <w:p w14:paraId="1E425397" w14:textId="77777777" w:rsidR="00351B54" w:rsidRPr="002E65D8" w:rsidRDefault="00351B54" w:rsidP="00351B54">
      <w:pPr>
        <w:pStyle w:val="Bluebox"/>
      </w:pPr>
      <w:r>
        <w:t>En Allemagne, les Autorités centrales régionales doivent respecter des honoraires déterminés pour l’évaluation des FPA (1 300 euros, soit environ 1 500 dollars américains) et pour leur intervention dans la procédure d’adoption internationale (1 200 euros, soit environ 1 400 dollars américains). Tout frais supplémentaire doit être justifié</w:t>
      </w:r>
      <w:r w:rsidRPr="002E65D8">
        <w:rPr>
          <w:rStyle w:val="FootnoteReference"/>
        </w:rPr>
        <w:footnoteReference w:id="298"/>
      </w:r>
      <w:r>
        <w:t>.</w:t>
      </w:r>
    </w:p>
    <w:p w14:paraId="32DC07FD" w14:textId="3EE6DADB" w:rsidR="0048755F" w:rsidRPr="002E65D8" w:rsidRDefault="0048755F" w:rsidP="00017C48">
      <w:pPr>
        <w:pStyle w:val="Bluebox"/>
      </w:pPr>
      <w:r>
        <w:lastRenderedPageBreak/>
        <w:t>En Chine (RAS de Hong Kong), les OAA peuvent facturer des honoraires pour couvrir les coûts administratifs des services d</w:t>
      </w:r>
      <w:r w:rsidR="00715ACD">
        <w:t>’</w:t>
      </w:r>
      <w:r>
        <w:t>adoption, mais ces honoraires doivent être raisonnables et calculés sur la base d</w:t>
      </w:r>
      <w:r w:rsidR="00715ACD">
        <w:t>’</w:t>
      </w:r>
      <w:r>
        <w:t>une grille tarifaire approuvée par le Directeur des services sociaux</w:t>
      </w:r>
      <w:r w:rsidRPr="002E65D8">
        <w:rPr>
          <w:rStyle w:val="FootnoteReference"/>
        </w:rPr>
        <w:footnoteReference w:id="299"/>
      </w:r>
      <w:r>
        <w:t>.</w:t>
      </w:r>
    </w:p>
    <w:p w14:paraId="3C7975E4" w14:textId="77777777" w:rsidR="00351B54" w:rsidRPr="002E65D8" w:rsidRDefault="00351B54" w:rsidP="00351B54">
      <w:pPr>
        <w:pStyle w:val="Bluebox"/>
      </w:pPr>
      <w:r>
        <w:t>Aux États-Unis, la réglementation en matière d’agrément et d’autorisation interdit aux OAA ou aux personnes autorisées de dédommager par des frais de nature incitative ou des honoraires conditionnels pour chaque enfant repéré ou placé en vue d’une adoption tout individu qui fournit des services liés à l’adoption internationale. Ils ne peuvent dédommager les directeurs, agents, employés et prestataires supervisés que pour des services rendus dans les faits et ce dédommagement doit prendre la forme d’un forfait pour un service, d’un dédommagement horaire ou d’un salaire mensuel, mais ne doit pas être conditionnel</w:t>
      </w:r>
      <w:r w:rsidRPr="002E65D8">
        <w:rPr>
          <w:rStyle w:val="FootnoteReference"/>
        </w:rPr>
        <w:footnoteReference w:id="300"/>
      </w:r>
      <w:r>
        <w:t xml:space="preserve">. </w:t>
      </w:r>
    </w:p>
    <w:p w14:paraId="00017C83" w14:textId="6F9A17CE" w:rsidR="00D529F4" w:rsidRPr="002E65D8" w:rsidRDefault="00D529F4" w:rsidP="00017C48">
      <w:pPr>
        <w:pStyle w:val="Bluebox"/>
      </w:pPr>
      <w:r>
        <w:t>En Suisse, l</w:t>
      </w:r>
      <w:r w:rsidR="00715ACD">
        <w:t>’</w:t>
      </w:r>
      <w:r>
        <w:t>OAA a le droit à une rémunération adaptée pour son travail et ses frais</w:t>
      </w:r>
      <w:r w:rsidR="009349E6" w:rsidRPr="002E65D8">
        <w:rPr>
          <w:rStyle w:val="FootnoteReference"/>
        </w:rPr>
        <w:footnoteReference w:id="301"/>
      </w:r>
      <w:r>
        <w:t>.</w:t>
      </w:r>
    </w:p>
    <w:p w14:paraId="54125048" w14:textId="11E27304" w:rsidR="00D529F4" w:rsidRPr="002E65D8" w:rsidRDefault="00D529F4" w:rsidP="004047D5">
      <w:pPr>
        <w:pStyle w:val="Heading4"/>
      </w:pPr>
      <w:bookmarkStart w:id="192" w:name="_Ref211427482"/>
      <w:r>
        <w:t>Atténuer la pression financière pesant sur les FPA</w:t>
      </w:r>
      <w:bookmarkEnd w:id="192"/>
      <w:r>
        <w:t xml:space="preserve"> </w:t>
      </w:r>
    </w:p>
    <w:p w14:paraId="6F5FBCFF" w14:textId="26323FC4" w:rsidR="008A5154" w:rsidRPr="002E65D8" w:rsidRDefault="00D529F4" w:rsidP="008A5154">
      <w:pPr>
        <w:pStyle w:val="PBParagraph"/>
      </w:pPr>
      <w:bookmarkStart w:id="193" w:name="_Ref211427725"/>
      <w:r>
        <w:t xml:space="preserve">Si les frais sont raisonnables, la </w:t>
      </w:r>
      <w:r>
        <w:rPr>
          <w:b/>
          <w:bCs/>
        </w:rPr>
        <w:t>pression financière</w:t>
      </w:r>
      <w:r>
        <w:t xml:space="preserve"> exercée sur les FPA sera </w:t>
      </w:r>
      <w:r>
        <w:rPr>
          <w:b/>
          <w:bCs/>
        </w:rPr>
        <w:t>moindre</w:t>
      </w:r>
      <w:r>
        <w:t>. Pour parvenir à cette fin, le SSI propose d</w:t>
      </w:r>
      <w:r w:rsidR="00715ACD">
        <w:t>’</w:t>
      </w:r>
      <w:r>
        <w:t>envisager les mesures suivantes</w:t>
      </w:r>
      <w:r w:rsidR="003B0B27" w:rsidRPr="002E65D8">
        <w:rPr>
          <w:rStyle w:val="FootnoteReference"/>
        </w:rPr>
        <w:footnoteReference w:id="302"/>
      </w:r>
      <w:r>
        <w:t> :</w:t>
      </w:r>
      <w:bookmarkEnd w:id="193"/>
    </w:p>
    <w:p w14:paraId="46E26BE9" w14:textId="7964B635" w:rsidR="008A5154" w:rsidRPr="002E65D8" w:rsidRDefault="00F66419" w:rsidP="008A5154">
      <w:pPr>
        <w:pStyle w:val="PBBulletList"/>
      </w:pPr>
      <w:r>
        <w:t>consacrer suffisamment de temps à la question des coûts et des éventuelles pratiques illicites lors des séances de préparation des FPA, en insistant sur les bonnes pratiques, les éventuelles conséquences sur l</w:t>
      </w:r>
      <w:r w:rsidR="00715ACD">
        <w:t>’</w:t>
      </w:r>
      <w:r>
        <w:t xml:space="preserve">adoption internationale et, en particulier, les risques potentiels qui en découlent ; </w:t>
      </w:r>
    </w:p>
    <w:p w14:paraId="7752AB6C" w14:textId="55039570" w:rsidR="008A5154" w:rsidRPr="002E65D8" w:rsidRDefault="00F66419" w:rsidP="008A5154">
      <w:pPr>
        <w:pStyle w:val="PBBulletList"/>
      </w:pPr>
      <w:r>
        <w:t>encourager les FPA à tenir systématiquement leur OAA et / ou l</w:t>
      </w:r>
      <w:r w:rsidR="00715ACD">
        <w:t>’</w:t>
      </w:r>
      <w:r>
        <w:t xml:space="preserve">autorité </w:t>
      </w:r>
      <w:r w:rsidR="00A55CCB">
        <w:t>responsable</w:t>
      </w:r>
      <w:r>
        <w:t xml:space="preserve"> de leur dossier au fait de toutes les demandes financières qui leur parviennent ou de tout autre type d</w:t>
      </w:r>
      <w:r w:rsidR="00715ACD">
        <w:t>’</w:t>
      </w:r>
      <w:r>
        <w:t>abus potentiel dont ils sont victimes au cours de la procédure ;</w:t>
      </w:r>
    </w:p>
    <w:p w14:paraId="39875003" w14:textId="6EFAB316" w:rsidR="008A5154" w:rsidRPr="002E65D8" w:rsidRDefault="00F66419" w:rsidP="008A5154">
      <w:pPr>
        <w:pStyle w:val="PBBulletList"/>
      </w:pPr>
      <w:r>
        <w:t>proposer un « service d</w:t>
      </w:r>
      <w:r w:rsidR="00715ACD">
        <w:t>’</w:t>
      </w:r>
      <w:r>
        <w:t>assistance » aux FPA (par téléphone ou par courriel) leur permettant de signaler tout abus, au besoin de façon anonyme ;</w:t>
      </w:r>
    </w:p>
    <w:p w14:paraId="0C4437EC" w14:textId="2159013C" w:rsidR="00AB2A02" w:rsidRPr="002E65D8" w:rsidRDefault="00F66419" w:rsidP="008A5154">
      <w:pPr>
        <w:pStyle w:val="PBBulletList"/>
      </w:pPr>
      <w:r>
        <w:t>annexer une liste de contrôle simple au dossier de tous les FPA, présentant les différentes étapes de la procédure d</w:t>
      </w:r>
      <w:r w:rsidR="00715ACD">
        <w:t>’</w:t>
      </w:r>
      <w:r>
        <w:t>adoption dans l</w:t>
      </w:r>
      <w:r w:rsidR="00715ACD">
        <w:t>’</w:t>
      </w:r>
      <w:r>
        <w:t>État d</w:t>
      </w:r>
      <w:r w:rsidR="00715ACD">
        <w:t>’</w:t>
      </w:r>
      <w:r>
        <w:t>origine. Il serait également demandé aux FPA de noter les montants versés à chaque étape de la procédure, et en particulier toute dépense supplémentaire non stipulée dans le contrat avec l</w:t>
      </w:r>
      <w:r w:rsidR="00715ACD">
        <w:t>’</w:t>
      </w:r>
      <w:r>
        <w:t>OAA (et / ou l</w:t>
      </w:r>
      <w:r w:rsidR="00715ACD">
        <w:t>’</w:t>
      </w:r>
      <w:r>
        <w:t>autorité compétente), une copie de cette annexe étant adressée aux Autorités centrales de l</w:t>
      </w:r>
      <w:r w:rsidR="00715ACD">
        <w:t>’</w:t>
      </w:r>
      <w:r>
        <w:t>État d</w:t>
      </w:r>
      <w:r w:rsidR="00715ACD">
        <w:t>’</w:t>
      </w:r>
      <w:r>
        <w:t>accueil et de l</w:t>
      </w:r>
      <w:r w:rsidR="00715ACD">
        <w:t>’</w:t>
      </w:r>
      <w:r>
        <w:t>État d</w:t>
      </w:r>
      <w:r w:rsidR="00715ACD">
        <w:t>’</w:t>
      </w:r>
      <w:r>
        <w:t>origine.</w:t>
      </w:r>
    </w:p>
    <w:p w14:paraId="6264D392" w14:textId="247E2400" w:rsidR="00D529F4" w:rsidRPr="002E65D8" w:rsidRDefault="00D529F4" w:rsidP="00D529F4">
      <w:pPr>
        <w:pStyle w:val="PBParagraph"/>
      </w:pPr>
      <w:r>
        <w:t>L</w:t>
      </w:r>
      <w:r w:rsidR="00715ACD">
        <w:t>’</w:t>
      </w:r>
      <w:r>
        <w:t>OAA devrait clairement indiquer les frais dès le départ et gérer tous les versements. En conséquence, les FPA ne devraient subir aucune pression visant à ce qu</w:t>
      </w:r>
      <w:r w:rsidR="00715ACD">
        <w:t>’</w:t>
      </w:r>
      <w:r>
        <w:t>ils paient plus que ce qui était initialement prévu. S</w:t>
      </w:r>
      <w:r w:rsidR="00715ACD">
        <w:t>’</w:t>
      </w:r>
      <w:r>
        <w:t>il est demandé aux FPA d</w:t>
      </w:r>
      <w:r w:rsidR="00715ACD">
        <w:t>’</w:t>
      </w:r>
      <w:r>
        <w:t>effectuer des versements supplémentaires, ils devraient contacter immédiatement leur OAA ou l</w:t>
      </w:r>
      <w:r w:rsidR="00715ACD">
        <w:t>’</w:t>
      </w:r>
      <w:r>
        <w:t xml:space="preserve">Autorité centrale. </w:t>
      </w:r>
    </w:p>
    <w:p w14:paraId="51156DB7" w14:textId="669AE75A" w:rsidR="00D529F4" w:rsidRPr="002E65D8" w:rsidRDefault="00D529F4" w:rsidP="00D529F4">
      <w:pPr>
        <w:pStyle w:val="PBParagraph"/>
      </w:pPr>
      <w:r>
        <w:t>D</w:t>
      </w:r>
      <w:r w:rsidR="00715ACD">
        <w:t>’</w:t>
      </w:r>
      <w:r>
        <w:t xml:space="preserve">après la </w:t>
      </w:r>
      <w:r w:rsidR="00250381">
        <w:t xml:space="preserve">Boîte </w:t>
      </w:r>
      <w:r>
        <w:t>à outils, l</w:t>
      </w:r>
      <w:r w:rsidR="00715ACD">
        <w:t>’</w:t>
      </w:r>
      <w:r>
        <w:t>« [a]bsence ou [les] carences en matière de coopération entre États » peuvent être de nature à faciliter la survenance de pratiques illicites (</w:t>
      </w:r>
      <w:r>
        <w:rPr>
          <w:color w:val="FFC000"/>
        </w:rPr>
        <w:t xml:space="preserve">FS3, </w:t>
      </w:r>
      <w:r w:rsidR="00250381">
        <w:rPr>
          <w:color w:val="FFC000"/>
        </w:rPr>
        <w:t>boîte </w:t>
      </w:r>
      <w:r>
        <w:rPr>
          <w:color w:val="FFC000"/>
        </w:rPr>
        <w:t>34</w:t>
      </w:r>
      <w:r>
        <w:t>). Les Autorités centrales des États d</w:t>
      </w:r>
      <w:r w:rsidR="00715ACD">
        <w:t>’</w:t>
      </w:r>
      <w:r>
        <w:t xml:space="preserve">origine sont donc encouragées à </w:t>
      </w:r>
      <w:r>
        <w:rPr>
          <w:b/>
          <w:bCs/>
        </w:rPr>
        <w:t>comparer les informations relatives aux coûts publiées par les OAA</w:t>
      </w:r>
      <w:r>
        <w:t xml:space="preserve"> travaillant dans leur État afin d</w:t>
      </w:r>
      <w:r w:rsidR="00715ACD">
        <w:t>’</w:t>
      </w:r>
      <w:r>
        <w:t>évaluer ce qui peut être considéré comme raisonnable et de repérer d</w:t>
      </w:r>
      <w:r w:rsidR="00715ACD">
        <w:t>’</w:t>
      </w:r>
      <w:r>
        <w:t>éventuels abus. Cette comparaison d</w:t>
      </w:r>
      <w:r w:rsidR="00D610A5">
        <w:t>evra</w:t>
      </w:r>
      <w:r>
        <w:t>it intervenir avant que l</w:t>
      </w:r>
      <w:r w:rsidR="00715ACD">
        <w:t>’</w:t>
      </w:r>
      <w:r>
        <w:t>OAA en question ne soit autorisé à travailler dans un État d</w:t>
      </w:r>
      <w:r w:rsidR="00715ACD">
        <w:t>’</w:t>
      </w:r>
      <w:r>
        <w:t>origine donné. Les Autorités centrales des États d</w:t>
      </w:r>
      <w:r w:rsidR="00715ACD">
        <w:t>’</w:t>
      </w:r>
      <w:r>
        <w:t xml:space="preserve">accueil, tout comme </w:t>
      </w:r>
      <w:r w:rsidR="00974DA5">
        <w:t xml:space="preserve">celles </w:t>
      </w:r>
      <w:r>
        <w:t>des États d</w:t>
      </w:r>
      <w:r w:rsidR="00715ACD">
        <w:t>’</w:t>
      </w:r>
      <w:r>
        <w:t>origine devraient échanger des informations quant aux coûts pratiqués par leurs OAA, l</w:t>
      </w:r>
      <w:r w:rsidR="00715ACD">
        <w:t>’</w:t>
      </w:r>
      <w:r>
        <w:t>objectif étant d</w:t>
      </w:r>
      <w:r w:rsidR="00715ACD">
        <w:t>’</w:t>
      </w:r>
      <w:r>
        <w:t>essayer de comprendre les pratiques générales, ce qui permettrait aux États de déceler si les frais facturés par un OAA en particulier dépassent largement ceux que facturent d</w:t>
      </w:r>
      <w:r w:rsidR="00715ACD">
        <w:t>’</w:t>
      </w:r>
      <w:r>
        <w:t>autres organismes et ce qui justifie, le cas échéant, cet écart. Ce genre de partage d</w:t>
      </w:r>
      <w:r w:rsidR="00715ACD">
        <w:t>’</w:t>
      </w:r>
      <w:r>
        <w:t>informations peut alerter plus facilement les États en cas d</w:t>
      </w:r>
      <w:r w:rsidR="00715ACD">
        <w:t>’</w:t>
      </w:r>
      <w:r>
        <w:t xml:space="preserve">abus. Comme le prescrit la </w:t>
      </w:r>
      <w:r w:rsidR="00250381">
        <w:t xml:space="preserve">Boîte </w:t>
      </w:r>
      <w:r>
        <w:t xml:space="preserve">à outils, les États sont encouragés à « [p]romouvoir la coopération [...] : </w:t>
      </w:r>
    </w:p>
    <w:p w14:paraId="05007F58" w14:textId="571FA296" w:rsidR="002917A5" w:rsidRPr="002E65D8" w:rsidRDefault="002917A5" w:rsidP="002917A5">
      <w:pPr>
        <w:pStyle w:val="PBBulletList"/>
      </w:pPr>
      <w:r>
        <w:t xml:space="preserve">en recueillant, en échangeant et en comparant, entre États, des informations relatives aux aspects financiers (par ex. en prenant pour référence les </w:t>
      </w:r>
      <w:hyperlink r:id="rId19" w:history="1">
        <w:r>
          <w:rPr>
            <w:rStyle w:val="Hyperlink"/>
          </w:rPr>
          <w:t xml:space="preserve">Tableaux de la HCCH sur les </w:t>
        </w:r>
        <w:r>
          <w:rPr>
            <w:rStyle w:val="Hyperlink"/>
          </w:rPr>
          <w:lastRenderedPageBreak/>
          <w:t>aspects financiers de l</w:t>
        </w:r>
        <w:r w:rsidR="00715ACD">
          <w:rPr>
            <w:rStyle w:val="Hyperlink"/>
          </w:rPr>
          <w:t>’</w:t>
        </w:r>
        <w:r>
          <w:rPr>
            <w:rStyle w:val="Hyperlink"/>
          </w:rPr>
          <w:t>adoption internationale</w:t>
        </w:r>
      </w:hyperlink>
      <w:r>
        <w:t>), ainsi que des expériences et des outils en faveur de la transparence et de coûts raisonnables ;</w:t>
      </w:r>
    </w:p>
    <w:p w14:paraId="56A1CD8E" w14:textId="34FD9E7C" w:rsidR="002917A5" w:rsidRPr="002E65D8" w:rsidRDefault="002917A5" w:rsidP="004875B6">
      <w:pPr>
        <w:pStyle w:val="PBBulletList"/>
      </w:pPr>
      <w:r>
        <w:t>en reconsidérant l</w:t>
      </w:r>
      <w:r w:rsidR="00715ACD">
        <w:t>’</w:t>
      </w:r>
      <w:r>
        <w:t>étendue de la coopération avec un État (et, si nécessaire, en y mettant un terme) lorsque les pratiques en matière d</w:t>
      </w:r>
      <w:r w:rsidR="00715ACD">
        <w:t>’</w:t>
      </w:r>
      <w:r>
        <w:t>aspects financiers dans ce dernier sont inappropriées et ne sont pas traitées de manière satisfaisante » (</w:t>
      </w:r>
      <w:r>
        <w:rPr>
          <w:color w:val="00B050"/>
        </w:rPr>
        <w:t xml:space="preserve">FS3, </w:t>
      </w:r>
      <w:r w:rsidR="00250381">
        <w:rPr>
          <w:color w:val="00B050"/>
        </w:rPr>
        <w:t>boîte </w:t>
      </w:r>
      <w:r>
        <w:rPr>
          <w:color w:val="00B050"/>
        </w:rPr>
        <w:t xml:space="preserve">34.1, </w:t>
      </w:r>
      <w:r w:rsidR="00771599">
        <w:rPr>
          <w:color w:val="00B050"/>
          <w:shd w:val="clear" w:color="auto" w:fill="FFFFFF" w:themeFill="background1"/>
        </w:rPr>
        <w:t xml:space="preserve">boîte </w:t>
      </w:r>
      <w:r>
        <w:rPr>
          <w:color w:val="00B050"/>
        </w:rPr>
        <w:t xml:space="preserve">34.2 et </w:t>
      </w:r>
      <w:r w:rsidR="00771599">
        <w:rPr>
          <w:color w:val="00B050"/>
          <w:shd w:val="clear" w:color="auto" w:fill="FFFFFF" w:themeFill="background1"/>
        </w:rPr>
        <w:t xml:space="preserve">boîte </w:t>
      </w:r>
      <w:r>
        <w:rPr>
          <w:color w:val="00B050"/>
        </w:rPr>
        <w:t>34.3</w:t>
      </w:r>
      <w:r>
        <w:t>).</w:t>
      </w:r>
    </w:p>
    <w:p w14:paraId="51803D61" w14:textId="5848178A" w:rsidR="003767F5" w:rsidRPr="002E65D8" w:rsidRDefault="003767F5">
      <w:pPr>
        <w:pStyle w:val="PBParagraph"/>
      </w:pPr>
      <w:bookmarkStart w:id="194" w:name="_Ref211427732"/>
      <w:r>
        <w:t>Lorsqu</w:t>
      </w:r>
      <w:r w:rsidR="00715ACD">
        <w:t>’</w:t>
      </w:r>
      <w:r>
        <w:t>ils comparent les frais, les États devraient garder à l</w:t>
      </w:r>
      <w:r w:rsidR="00715ACD">
        <w:t>’</w:t>
      </w:r>
      <w:r>
        <w:t>esprit qu</w:t>
      </w:r>
      <w:r w:rsidR="00715ACD">
        <w:t>’</w:t>
      </w:r>
      <w:r>
        <w:t>il peut y avoir des différences entre les services fournis par des OAA dans un État donné et que les frais facturés par les OAA qui bénéficient d</w:t>
      </w:r>
      <w:r w:rsidR="00715ACD">
        <w:t>’</w:t>
      </w:r>
      <w:r>
        <w:t>un soutien financier de l</w:t>
      </w:r>
      <w:r w:rsidR="00715ACD">
        <w:t>’</w:t>
      </w:r>
      <w:r>
        <w:t>État (par ex. des subventions) peuvent être moins élevés que ceux facturés par des OAA qui ne bénéficient pas d</w:t>
      </w:r>
      <w:r w:rsidR="00715ACD">
        <w:t>’</w:t>
      </w:r>
      <w:r>
        <w:t>une telle aide. Ils devraient également veiller à ce que les coûts liés aux honoraires locaux dans l</w:t>
      </w:r>
      <w:r w:rsidR="00715ACD">
        <w:t>’</w:t>
      </w:r>
      <w:r>
        <w:t>État d</w:t>
      </w:r>
      <w:r w:rsidR="00715ACD">
        <w:t>’</w:t>
      </w:r>
      <w:r>
        <w:t>origine soient les mêmes d</w:t>
      </w:r>
      <w:r w:rsidR="00715ACD">
        <w:t>’</w:t>
      </w:r>
      <w:r>
        <w:t>un OAA à l</w:t>
      </w:r>
      <w:r w:rsidR="00715ACD">
        <w:t>’</w:t>
      </w:r>
      <w:r>
        <w:t>autre, quel que soit leur État d</w:t>
      </w:r>
      <w:r w:rsidR="00715ACD">
        <w:t>’</w:t>
      </w:r>
      <w:r>
        <w:t>agrément. Ils devraient également veiller à ce que les coûts liés aux honoraires locaux dans l</w:t>
      </w:r>
      <w:r w:rsidR="00715ACD">
        <w:t>’</w:t>
      </w:r>
      <w:r>
        <w:t>État d</w:t>
      </w:r>
      <w:r w:rsidR="00715ACD">
        <w:t>’</w:t>
      </w:r>
      <w:r>
        <w:t>accueil soient les mêmes d</w:t>
      </w:r>
      <w:r w:rsidR="00715ACD">
        <w:t>’</w:t>
      </w:r>
      <w:r>
        <w:t>un OAA à l</w:t>
      </w:r>
      <w:r w:rsidR="00715ACD">
        <w:t>’</w:t>
      </w:r>
      <w:r>
        <w:t>autre dans un même État d</w:t>
      </w:r>
      <w:r w:rsidR="00715ACD">
        <w:t>’</w:t>
      </w:r>
      <w:r>
        <w:t>accueil. Il importe également de veiller à ce que ces comparaisons n</w:t>
      </w:r>
      <w:r w:rsidR="00715ACD">
        <w:t>’</w:t>
      </w:r>
      <w:r>
        <w:t>influencent pas les honoraires et frais ou ne suscitent une inflation.</w:t>
      </w:r>
    </w:p>
    <w:p w14:paraId="22C3EFB1" w14:textId="253DB99D" w:rsidR="00BB1442" w:rsidRPr="002E65D8" w:rsidRDefault="002E7A3B" w:rsidP="00BB1442">
      <w:pPr>
        <w:pStyle w:val="Blueboxtitle"/>
        <w:spacing w:after="0" w:line="240" w:lineRule="auto"/>
        <w:outlineLvl w:val="2"/>
      </w:pPr>
      <w:bookmarkStart w:id="195" w:name="_Toc236061700"/>
      <w:bookmarkEnd w:id="194"/>
      <w:r>
        <w:t>Boîte</w:t>
      </w:r>
      <w:r w:rsidR="47B66F90">
        <w:t> 21 : Atténuer la pression financière ressentie par les FPA</w:t>
      </w:r>
      <w:bookmarkEnd w:id="195"/>
    </w:p>
    <w:p w14:paraId="51CF2461" w14:textId="77777777" w:rsidR="00BB1442" w:rsidRPr="002E65D8" w:rsidRDefault="00BB1442" w:rsidP="00BB1442">
      <w:pPr>
        <w:pStyle w:val="Blueboxtitle"/>
        <w:rPr>
          <w:b w:val="0"/>
          <w:bCs w:val="0"/>
        </w:rPr>
      </w:pPr>
      <w:r>
        <w:rPr>
          <w:b w:val="0"/>
        </w:rPr>
        <w:t xml:space="preserve">Quelques exemples de mesures mises en œuvre par les États </w:t>
      </w:r>
    </w:p>
    <w:p w14:paraId="2C5C9FCE" w14:textId="0928454D" w:rsidR="00495B6F" w:rsidRPr="002E65D8" w:rsidRDefault="00495B6F" w:rsidP="00017C48">
      <w:pPr>
        <w:pStyle w:val="Bluebox"/>
      </w:pPr>
      <w:r>
        <w:t>En Belgique (communauté flamande), l</w:t>
      </w:r>
      <w:r w:rsidR="00715ACD">
        <w:t>’</w:t>
      </w:r>
      <w:r>
        <w:t>Autorité centrale définit chaque année le nombre de FPA qui peuvent entamer la procédure d</w:t>
      </w:r>
      <w:r w:rsidR="00715ACD">
        <w:t>’</w:t>
      </w:r>
      <w:r>
        <w:t>évaluation de l</w:t>
      </w:r>
      <w:r w:rsidR="00715ACD">
        <w:t>’</w:t>
      </w:r>
      <w:r>
        <w:t>aptitude. Ce nombre s</w:t>
      </w:r>
      <w:r w:rsidR="00715ACD">
        <w:t>’</w:t>
      </w:r>
      <w:r>
        <w:t>appuie sur le nombre d</w:t>
      </w:r>
      <w:r w:rsidR="00715ACD">
        <w:t>’</w:t>
      </w:r>
      <w:r>
        <w:t xml:space="preserve">adoptions menées à terme </w:t>
      </w:r>
      <w:r w:rsidR="007F211F">
        <w:t xml:space="preserve">au cours des dernières années </w:t>
      </w:r>
      <w:r>
        <w:t>et le profil précis des enfants, selon leur État d</w:t>
      </w:r>
      <w:r w:rsidR="00715ACD">
        <w:t>’</w:t>
      </w:r>
      <w:r>
        <w:t>origine et le pourcentage de cas qui ont été cl</w:t>
      </w:r>
      <w:r w:rsidR="005A7E69">
        <w:t>os</w:t>
      </w:r>
      <w:r w:rsidR="00CA6DB5" w:rsidRPr="002E65D8">
        <w:rPr>
          <w:rStyle w:val="FootnoteReference"/>
        </w:rPr>
        <w:footnoteReference w:id="303"/>
      </w:r>
      <w:r>
        <w:t>.</w:t>
      </w:r>
    </w:p>
    <w:p w14:paraId="4B024701" w14:textId="77777777" w:rsidR="00ED32CD" w:rsidRPr="002E65D8" w:rsidRDefault="00ED32CD" w:rsidP="00ED32CD">
      <w:pPr>
        <w:pStyle w:val="Bluebox"/>
      </w:pPr>
      <w:r>
        <w:t>En Espagne, pour éviter les pressions économiques et la concurrence entre OAA, une consultation et un mécanisme de calcul ont été mis en place pour déterminer le nombre d’OAA agréés pour chaque État</w:t>
      </w:r>
      <w:r w:rsidRPr="002E65D8">
        <w:rPr>
          <w:rStyle w:val="FootnoteReference"/>
        </w:rPr>
        <w:footnoteReference w:id="304"/>
      </w:r>
      <w:r>
        <w:t xml:space="preserve"> et le nombre de dossiers transmis chaque année</w:t>
      </w:r>
      <w:r w:rsidRPr="002E65D8">
        <w:rPr>
          <w:rStyle w:val="FootnoteReference"/>
        </w:rPr>
        <w:footnoteReference w:id="305"/>
      </w:r>
      <w:r>
        <w:t xml:space="preserve">. Les frais qui peuvent être approuvés (et rendus publics) dépendent de ce calcul déterminant le nombre de dossiers et d’OAA. </w:t>
      </w:r>
    </w:p>
    <w:p w14:paraId="316AC655" w14:textId="77777777" w:rsidR="00ED32CD" w:rsidRPr="002E65D8" w:rsidRDefault="00ED32CD" w:rsidP="00ED32CD">
      <w:pPr>
        <w:pStyle w:val="Bluebox"/>
      </w:pPr>
      <w:r>
        <w:t>Aux États-Unis, les OAA sont tenus d’inclure le montant total des honoraires et des dépenses prévisionnels dans le contrat signé avec les FPA</w:t>
      </w:r>
      <w:r w:rsidRPr="002E65D8">
        <w:rPr>
          <w:rStyle w:val="FootnoteReference"/>
        </w:rPr>
        <w:footnoteReference w:id="306"/>
      </w:r>
      <w:r>
        <w:t>.</w:t>
      </w:r>
    </w:p>
    <w:p w14:paraId="59964B8F" w14:textId="70C337E1" w:rsidR="00FD36BF" w:rsidRPr="002E65D8" w:rsidRDefault="00FD36BF" w:rsidP="005A065F">
      <w:pPr>
        <w:pStyle w:val="Bluebox"/>
      </w:pPr>
      <w:r>
        <w:t>En France, les OAA disposent d</w:t>
      </w:r>
      <w:r w:rsidR="00715ACD">
        <w:t>’</w:t>
      </w:r>
      <w:r>
        <w:t>un agrément délivré pour une durée de cinq ans et les exigences ont été renforcées, ce qui réduit significativement leur nombre</w:t>
      </w:r>
      <w:r w:rsidRPr="002E65D8">
        <w:rPr>
          <w:rStyle w:val="FootnoteReference"/>
        </w:rPr>
        <w:footnoteReference w:id="307"/>
      </w:r>
      <w:r>
        <w:t>.</w:t>
      </w:r>
    </w:p>
    <w:p w14:paraId="3BB3412E" w14:textId="77777777" w:rsidR="0050591A" w:rsidRPr="002E65D8" w:rsidRDefault="0050591A" w:rsidP="0050591A">
      <w:pPr>
        <w:pStyle w:val="PBParagraph"/>
        <w:numPr>
          <w:ilvl w:val="0"/>
          <w:numId w:val="0"/>
        </w:numPr>
        <w:ind w:left="567"/>
      </w:pPr>
    </w:p>
    <w:p w14:paraId="462AE639" w14:textId="77777777" w:rsidR="00B86BCA" w:rsidRPr="002E65D8" w:rsidRDefault="00B86BCA">
      <w:pPr>
        <w:spacing w:after="160" w:line="276" w:lineRule="auto"/>
        <w:rPr>
          <w:rFonts w:ascii="Raleway" w:eastAsiaTheme="majorEastAsia" w:hAnsi="Raleway" w:cstheme="majorBidi"/>
          <w:b/>
          <w:bCs/>
          <w:color w:val="03295A" w:themeColor="accent4"/>
          <w:sz w:val="28"/>
          <w:szCs w:val="28"/>
        </w:rPr>
      </w:pPr>
      <w:bookmarkStart w:id="196" w:name="_Ref189483720"/>
      <w:r>
        <w:br w:type="page"/>
      </w:r>
    </w:p>
    <w:p w14:paraId="266A4564" w14:textId="70033591" w:rsidR="00D529F4" w:rsidRPr="002E65D8" w:rsidRDefault="00D529F4" w:rsidP="00D529F4">
      <w:pPr>
        <w:pStyle w:val="Heading1"/>
        <w:rPr>
          <w:rFonts w:ascii="Raleway" w:hAnsi="Raleway"/>
          <w:b/>
        </w:rPr>
      </w:pPr>
      <w:bookmarkStart w:id="197" w:name="_Ref228436428"/>
      <w:bookmarkStart w:id="198" w:name="_Toc236061701"/>
      <w:r>
        <w:rPr>
          <w:rFonts w:ascii="Raleway" w:hAnsi="Raleway"/>
          <w:b/>
        </w:rPr>
        <w:lastRenderedPageBreak/>
        <w:t>CONTRIBUTIONS, DONS ET PROJETS DE COOPÉRATION</w:t>
      </w:r>
      <w:bookmarkEnd w:id="196"/>
      <w:bookmarkEnd w:id="197"/>
      <w:bookmarkEnd w:id="198"/>
    </w:p>
    <w:p w14:paraId="1CBBD4BA" w14:textId="60BBFADF" w:rsidR="007424B0" w:rsidRPr="002E65D8" w:rsidRDefault="001E4E59" w:rsidP="009829CA">
      <w:pPr>
        <w:pStyle w:val="PBParagraph"/>
      </w:pPr>
      <w:r>
        <w:t>L</w:t>
      </w:r>
      <w:r w:rsidR="00715ACD">
        <w:t>’</w:t>
      </w:r>
      <w:r>
        <w:t>un des objectifs du Groupe de travail de la HCCH sur les aspects financiers était de « faire le point sur les pratiques actuelles, [d</w:t>
      </w:r>
      <w:r w:rsidR="00715ACD">
        <w:t>’</w:t>
      </w:r>
      <w:r>
        <w:t>]identifier d</w:t>
      </w:r>
      <w:r w:rsidR="00715ACD">
        <w:t>’</w:t>
      </w:r>
      <w:r>
        <w:t>éventuelles approches coordonnées, ciblées et pratiques et [de] les classer par ordre de priorité, étant entendu que l</w:t>
      </w:r>
      <w:r w:rsidR="00715ACD">
        <w:t>’</w:t>
      </w:r>
      <w:r>
        <w:t>object</w:t>
      </w:r>
      <w:r w:rsidR="003A38E2">
        <w:t xml:space="preserve">if </w:t>
      </w:r>
      <w:r w:rsidR="00053C35">
        <w:t>[était]</w:t>
      </w:r>
      <w:r w:rsidR="00D3239F">
        <w:t xml:space="preserve"> </w:t>
      </w:r>
      <w:r w:rsidR="003A38E2">
        <w:t>d</w:t>
      </w:r>
      <w:r w:rsidR="00715ACD">
        <w:t>’</w:t>
      </w:r>
      <w:r w:rsidR="003A38E2">
        <w:t>élever les normes »</w:t>
      </w:r>
      <w:r w:rsidR="000526DA" w:rsidRPr="002E65D8">
        <w:rPr>
          <w:rStyle w:val="FootnoteReference"/>
        </w:rPr>
        <w:footnoteReference w:id="308"/>
      </w:r>
      <w:r w:rsidR="003A38E2">
        <w:t>.</w:t>
      </w:r>
      <w:r>
        <w:t xml:space="preserve"> La coopération et les discussions entre États sont signes d</w:t>
      </w:r>
      <w:r w:rsidR="00715ACD">
        <w:t>’</w:t>
      </w:r>
      <w:r>
        <w:t>une évolution dans la compréhension et la manière d</w:t>
      </w:r>
      <w:r w:rsidR="00715ACD">
        <w:t>’</w:t>
      </w:r>
      <w:r>
        <w:t>appréhender les contributions, dons et projets de coopération. Ce chapitre s</w:t>
      </w:r>
      <w:r w:rsidR="00715ACD">
        <w:t>’</w:t>
      </w:r>
      <w:r>
        <w:t>interroge quant à savoir si les contributions, dons et projets de coopération peuvent intervenir dans le contexte de l</w:t>
      </w:r>
      <w:r w:rsidR="00715ACD">
        <w:t>’</w:t>
      </w:r>
      <w:r>
        <w:t>adoption internationale et, dans l</w:t>
      </w:r>
      <w:r w:rsidR="00715ACD">
        <w:t>’</w:t>
      </w:r>
      <w:r>
        <w:t xml:space="preserve">affirmative, dans quelles conditions. </w:t>
      </w:r>
    </w:p>
    <w:p w14:paraId="1D739FDD" w14:textId="269432E0" w:rsidR="00C3200B" w:rsidRPr="002E65D8" w:rsidRDefault="00C3200B" w:rsidP="00C3200B">
      <w:pPr>
        <w:pStyle w:val="PBParagraph"/>
      </w:pPr>
      <w:r>
        <w:t>Il devrait d</w:t>
      </w:r>
      <w:r w:rsidR="00715ACD">
        <w:t>’</w:t>
      </w:r>
      <w:r>
        <w:t>emblée être précisé :</w:t>
      </w:r>
    </w:p>
    <w:p w14:paraId="37700470" w14:textId="01D12645" w:rsidR="003976BC" w:rsidRPr="002E65D8" w:rsidRDefault="00A95D50" w:rsidP="003976BC">
      <w:pPr>
        <w:pStyle w:val="PBBulletList"/>
      </w:pPr>
      <w:r>
        <w:t xml:space="preserve">que le présent chapitre ne se concentre pas sur </w:t>
      </w:r>
      <w:r>
        <w:rPr>
          <w:b/>
        </w:rPr>
        <w:t>l</w:t>
      </w:r>
      <w:r w:rsidR="00715ACD">
        <w:rPr>
          <w:b/>
        </w:rPr>
        <w:t>’</w:t>
      </w:r>
      <w:r>
        <w:rPr>
          <w:b/>
        </w:rPr>
        <w:t>apport d</w:t>
      </w:r>
      <w:r w:rsidR="00715ACD">
        <w:rPr>
          <w:b/>
        </w:rPr>
        <w:t>’</w:t>
      </w:r>
      <w:r>
        <w:rPr>
          <w:b/>
        </w:rPr>
        <w:t>un soutien général à l</w:t>
      </w:r>
      <w:r w:rsidR="00715ACD">
        <w:rPr>
          <w:b/>
        </w:rPr>
        <w:t>’</w:t>
      </w:r>
      <w:r>
        <w:rPr>
          <w:b/>
        </w:rPr>
        <w:t>État d</w:t>
      </w:r>
      <w:r w:rsidR="00715ACD">
        <w:rPr>
          <w:b/>
        </w:rPr>
        <w:t>’</w:t>
      </w:r>
      <w:r>
        <w:rPr>
          <w:b/>
        </w:rPr>
        <w:t>origine</w:t>
      </w:r>
      <w:r>
        <w:t xml:space="preserve"> – sans lien avec l</w:t>
      </w:r>
      <w:r w:rsidR="00715ACD">
        <w:t>’</w:t>
      </w:r>
      <w:r>
        <w:t>adoption. Un tel soutien peut toutefois être apporté à l</w:t>
      </w:r>
      <w:r w:rsidR="00715ACD">
        <w:t>’</w:t>
      </w:r>
      <w:r>
        <w:t>État d</w:t>
      </w:r>
      <w:r w:rsidR="00715ACD">
        <w:t>’</w:t>
      </w:r>
      <w:r>
        <w:t>origine, par exemple, par l</w:t>
      </w:r>
      <w:r w:rsidR="00715ACD">
        <w:t>’</w:t>
      </w:r>
      <w:r>
        <w:t>entremise d</w:t>
      </w:r>
      <w:r w:rsidR="00715ACD">
        <w:t>’</w:t>
      </w:r>
      <w:r>
        <w:t>un fonds général</w:t>
      </w:r>
      <w:r w:rsidR="00701FE5" w:rsidRPr="002E65D8">
        <w:rPr>
          <w:rStyle w:val="FootnoteReference"/>
        </w:rPr>
        <w:footnoteReference w:id="309"/>
      </w:r>
      <w:r>
        <w:t xml:space="preserve"> dans cet État ou par l</w:t>
      </w:r>
      <w:r w:rsidR="00715ACD">
        <w:t>’</w:t>
      </w:r>
      <w:r>
        <w:t>intermédiaire d</w:t>
      </w:r>
      <w:r w:rsidR="00715ACD">
        <w:t>’</w:t>
      </w:r>
      <w:r>
        <w:t>agences d</w:t>
      </w:r>
      <w:r w:rsidR="00715ACD">
        <w:t>’</w:t>
      </w:r>
      <w:r>
        <w:t>aide au développement</w:t>
      </w:r>
      <w:r w:rsidR="001852AA" w:rsidRPr="002E65D8">
        <w:rPr>
          <w:rStyle w:val="FootnoteReference"/>
        </w:rPr>
        <w:footnoteReference w:id="310"/>
      </w:r>
      <w:r>
        <w:t>, d</w:t>
      </w:r>
      <w:r w:rsidR="00715ACD">
        <w:t>’</w:t>
      </w:r>
      <w:r>
        <w:t xml:space="preserve">organisations internationales et </w:t>
      </w:r>
      <w:r w:rsidR="00D3239F">
        <w:t>d</w:t>
      </w:r>
      <w:r w:rsidR="00715ACD">
        <w:t>’</w:t>
      </w:r>
      <w:r>
        <w:t xml:space="preserve">ONG. </w:t>
      </w:r>
    </w:p>
    <w:p w14:paraId="30974E38" w14:textId="54625652" w:rsidR="00C3200B" w:rsidRPr="002E65D8" w:rsidRDefault="00C3200B" w:rsidP="14533974">
      <w:pPr>
        <w:pStyle w:val="PBBulletList"/>
      </w:pPr>
      <w:r>
        <w:t>qu</w:t>
      </w:r>
      <w:r w:rsidR="00715ACD">
        <w:t>’</w:t>
      </w:r>
      <w:r>
        <w:t xml:space="preserve">il est manifeste que les </w:t>
      </w:r>
      <w:r>
        <w:rPr>
          <w:b/>
          <w:bCs/>
        </w:rPr>
        <w:t>enfants devraient être élevés dans un contexte familial</w:t>
      </w:r>
      <w:r>
        <w:t>. Il convient donc de s</w:t>
      </w:r>
      <w:r w:rsidR="00715ACD">
        <w:t>’</w:t>
      </w:r>
      <w:r>
        <w:t>efforcer de prévenir leur entrée dans le système de prise en charge (prévention de l</w:t>
      </w:r>
      <w:r w:rsidR="00715ACD">
        <w:t>’</w:t>
      </w:r>
      <w:r>
        <w:t xml:space="preserve">admission à la prise en charge de remplacement) et de promouvoir la </w:t>
      </w:r>
      <w:r w:rsidRPr="00C45C68">
        <w:t>désinstitutionalisation</w:t>
      </w:r>
      <w:r>
        <w:t>. En d</w:t>
      </w:r>
      <w:r w:rsidR="00715ACD">
        <w:t>’</w:t>
      </w:r>
      <w:r>
        <w:t>autres termes, on constate une évolution du placement des enfants dans des institutions vers une protection de type familial et communautaire</w:t>
      </w:r>
      <w:r w:rsidRPr="002E65D8">
        <w:rPr>
          <w:rStyle w:val="FootnoteReference"/>
        </w:rPr>
        <w:footnoteReference w:id="311"/>
      </w:r>
      <w:r>
        <w:t>. C</w:t>
      </w:r>
      <w:r w:rsidR="00715ACD">
        <w:t>’</w:t>
      </w:r>
      <w:r>
        <w:t>est pour cette raison que, récemment, de nombreux gouvernements et organisations internationales se sont positionnés clairement en faveur de la redirection des ressources des institutions vers la protection de type familial et communautaire</w:t>
      </w:r>
      <w:bookmarkStart w:id="199" w:name="_Ref210984611"/>
      <w:r w:rsidRPr="002E65D8">
        <w:rPr>
          <w:rStyle w:val="FootnoteReference"/>
        </w:rPr>
        <w:footnoteReference w:id="312"/>
      </w:r>
      <w:bookmarkEnd w:id="199"/>
      <w:r w:rsidR="003A38E2">
        <w:t>.</w:t>
      </w:r>
      <w:r>
        <w:t xml:space="preserve"> Aussi, « [l]es États devraient s</w:t>
      </w:r>
      <w:r w:rsidR="00715ACD">
        <w:t>’</w:t>
      </w:r>
      <w:r>
        <w:t>assurer que les mécanismes de financement nationaux et internationaux, l</w:t>
      </w:r>
      <w:r w:rsidR="00715ACD">
        <w:t>’</w:t>
      </w:r>
      <w:r>
        <w:t xml:space="preserve">aide à la coopération et les fonds privés ne </w:t>
      </w:r>
      <w:r w:rsidR="00020E7D">
        <w:t>[so</w:t>
      </w:r>
      <w:r>
        <w:t>nt</w:t>
      </w:r>
      <w:r w:rsidR="00020E7D">
        <w:t>]</w:t>
      </w:r>
      <w:r>
        <w:t xml:space="preserve"> pas utilisés pour soutenir le placement en institution [...] d</w:t>
      </w:r>
      <w:r w:rsidR="00715ACD">
        <w:t>’</w:t>
      </w:r>
      <w:r>
        <w:t>enfants »</w:t>
      </w:r>
      <w:r w:rsidRPr="002E65D8">
        <w:rPr>
          <w:rStyle w:val="FootnoteReference"/>
        </w:rPr>
        <w:footnoteReference w:id="313"/>
      </w:r>
      <w:r>
        <w:t>.</w:t>
      </w:r>
    </w:p>
    <w:p w14:paraId="5C81D3CA" w14:textId="1E708A80" w:rsidR="00DB7AF2" w:rsidRPr="002E65D8" w:rsidRDefault="00DB7AF2" w:rsidP="00DB7AF2">
      <w:pPr>
        <w:pStyle w:val="PBParagraph"/>
      </w:pPr>
      <w:r>
        <w:t xml:space="preserve">Au fil des années, les réunions de la </w:t>
      </w:r>
      <w:r w:rsidR="00283B34">
        <w:t>CS</w:t>
      </w:r>
      <w:r>
        <w:t xml:space="preserve"> et, par la suite, les documents publiés par la HCCH, ont indiqué très clairement que dans tous les cas, « une </w:t>
      </w:r>
      <w:r>
        <w:rPr>
          <w:b/>
          <w:bCs/>
        </w:rPr>
        <w:t>distinction claire</w:t>
      </w:r>
      <w:r>
        <w:t xml:space="preserve"> devrait être opérée entre, d</w:t>
      </w:r>
      <w:r w:rsidR="00715ACD">
        <w:t>’</w:t>
      </w:r>
      <w:r>
        <w:t>une part, les coûts et les frais éventuels de la procédure d</w:t>
      </w:r>
      <w:r w:rsidR="00715ACD">
        <w:t>’</w:t>
      </w:r>
      <w:r>
        <w:t>adoption et, d</w:t>
      </w:r>
      <w:r w:rsidR="00715ACD">
        <w:t>’</w:t>
      </w:r>
      <w:r>
        <w:t>autre part, les contributions, les dons et les projets de coopération »</w:t>
      </w:r>
      <w:r w:rsidR="000357B8" w:rsidRPr="002E65D8">
        <w:rPr>
          <w:rStyle w:val="FootnoteReference"/>
        </w:rPr>
        <w:footnoteReference w:id="314"/>
      </w:r>
      <w:r>
        <w:t>.</w:t>
      </w:r>
    </w:p>
    <w:p w14:paraId="39435757" w14:textId="3A079B55" w:rsidR="009E2D96" w:rsidRPr="002E65D8" w:rsidRDefault="00DB7AF2" w:rsidP="0007371B">
      <w:pPr>
        <w:pStyle w:val="PBParagraph"/>
      </w:pPr>
      <w:r>
        <w:t xml:space="preserve">Lors de la réunion de la </w:t>
      </w:r>
      <w:r w:rsidR="00283B34">
        <w:t>CS</w:t>
      </w:r>
      <w:r>
        <w:t xml:space="preserve"> de 2022 :</w:t>
      </w:r>
    </w:p>
    <w:p w14:paraId="7BA6DB80" w14:textId="1A9FFBD0" w:rsidR="00DB7AF2" w:rsidRPr="002E65D8" w:rsidRDefault="00DB7AF2" w:rsidP="009E2D96">
      <w:pPr>
        <w:pStyle w:val="PBBulletList"/>
      </w:pPr>
      <w:r>
        <w:lastRenderedPageBreak/>
        <w:t>la plupart des États ont fermement soutenu l</w:t>
      </w:r>
      <w:r w:rsidR="00715ACD">
        <w:t>’</w:t>
      </w:r>
      <w:r>
        <w:t>idée de s</w:t>
      </w:r>
      <w:r w:rsidR="00715ACD">
        <w:t>’</w:t>
      </w:r>
      <w:r>
        <w:t>assurer que</w:t>
      </w:r>
      <w:r w:rsidR="005B57E7">
        <w:t xml:space="preserve"> seuls les frais et dépenses so</w:t>
      </w:r>
      <w:r>
        <w:t>nt demandés ou payés, conformément à l</w:t>
      </w:r>
      <w:r w:rsidR="00715ACD">
        <w:t>’</w:t>
      </w:r>
      <w:r>
        <w:t>article 32(2) de la Convention Adoption de 1993 ; et</w:t>
      </w:r>
      <w:r w:rsidR="00E6549D">
        <w:t xml:space="preserve"> </w:t>
      </w:r>
    </w:p>
    <w:p w14:paraId="4B3FA5A6" w14:textId="007C760B" w:rsidR="00DB7AF2" w:rsidRPr="002E65D8" w:rsidRDefault="009E2D96" w:rsidP="009E2D96">
      <w:pPr>
        <w:pStyle w:val="PBBulletList"/>
      </w:pPr>
      <w:r>
        <w:t>quelques États ont estimé que le fait de mettre en œuvre des garanties solides et complètes concernant les contributions, les dons et les projets de coopération est une autre manière de veiller à empêcher toute influence indue dans la procédure d</w:t>
      </w:r>
      <w:r w:rsidR="00715ACD">
        <w:t>’</w:t>
      </w:r>
      <w:r>
        <w:t xml:space="preserve">adoption. </w:t>
      </w:r>
    </w:p>
    <w:p w14:paraId="63C2BDB9" w14:textId="5E7E2325" w:rsidR="00DB7AF2" w:rsidRPr="002E65D8" w:rsidRDefault="00DB7AF2" w:rsidP="00DB7AF2">
      <w:pPr>
        <w:pStyle w:val="PBParagraph"/>
      </w:pPr>
      <w:r>
        <w:t xml:space="preserve">Ce chapitre vise à présenter différentes perspectives et pratiques en la matière, y compris la Feuille de route mise au point pour aider les États qui souhaitent opérer </w:t>
      </w:r>
      <w:r w:rsidR="00ED65AB">
        <w:t xml:space="preserve">une transition </w:t>
      </w:r>
      <w:r>
        <w:t>vers l</w:t>
      </w:r>
      <w:r w:rsidR="00715ACD">
        <w:t>’</w:t>
      </w:r>
      <w:r>
        <w:t>arrêt des contributions, dons et projets de coopération dans le contexte de l</w:t>
      </w:r>
      <w:r w:rsidR="00715ACD">
        <w:t>’</w:t>
      </w:r>
      <w:r>
        <w:t>adoption internationale.</w:t>
      </w:r>
    </w:p>
    <w:p w14:paraId="3A6B508B" w14:textId="5051759A" w:rsidR="00B9780C" w:rsidRPr="002E65D8" w:rsidRDefault="004F59D6" w:rsidP="00A1097E">
      <w:pPr>
        <w:pStyle w:val="Heading2"/>
        <w:numPr>
          <w:ilvl w:val="1"/>
          <w:numId w:val="18"/>
        </w:numPr>
      </w:pPr>
      <w:bookmarkStart w:id="200" w:name="_Toc184237781"/>
      <w:bookmarkStart w:id="201" w:name="_Ref179384849"/>
      <w:bookmarkStart w:id="202" w:name="_Ref179386834"/>
      <w:bookmarkStart w:id="203" w:name="_Toc236061702"/>
      <w:bookmarkEnd w:id="200"/>
      <w:r>
        <w:t>Problèmes liés aux contributions, dons et projets de coopération : les risques découlant de leurs liens avec la procédure d</w:t>
      </w:r>
      <w:r w:rsidR="00715ACD">
        <w:t>’</w:t>
      </w:r>
      <w:r>
        <w:t>adoption</w:t>
      </w:r>
      <w:bookmarkEnd w:id="201"/>
      <w:bookmarkEnd w:id="202"/>
      <w:bookmarkEnd w:id="203"/>
      <w:r>
        <w:t xml:space="preserve"> </w:t>
      </w:r>
    </w:p>
    <w:p w14:paraId="7590F39A" w14:textId="42ECCDE2" w:rsidR="001C3228" w:rsidRPr="002E65D8" w:rsidRDefault="00B25E43">
      <w:pPr>
        <w:pStyle w:val="PBParagraph"/>
      </w:pPr>
      <w:r>
        <w:t>Le lien entre la procédure d</w:t>
      </w:r>
      <w:r w:rsidR="00715ACD">
        <w:t>’</w:t>
      </w:r>
      <w:r>
        <w:t>adoption et les contributions, dons et projets de coopération pose de nombreux problèmes en raison de l</w:t>
      </w:r>
      <w:r w:rsidR="00715ACD">
        <w:t>’</w:t>
      </w:r>
      <w:r>
        <w:t>impact qu</w:t>
      </w:r>
      <w:r w:rsidR="00715ACD">
        <w:t>’</w:t>
      </w:r>
      <w:r>
        <w:t>il peut avoir sur la procédure et des éventuelles pratiques contraires à l</w:t>
      </w:r>
      <w:r w:rsidR="00715ACD">
        <w:t>’</w:t>
      </w:r>
      <w:r>
        <w:t xml:space="preserve">éthique. La réunion de la </w:t>
      </w:r>
      <w:r w:rsidR="00283B34">
        <w:t>CS</w:t>
      </w:r>
      <w:r>
        <w:t xml:space="preserve"> de 2022 a rappelé que les contributions, dons et projets de coopération « présentent un risque élevé d</w:t>
      </w:r>
      <w:r w:rsidR="00715ACD">
        <w:t>’</w:t>
      </w:r>
      <w:r>
        <w:t>influencer la procédure d</w:t>
      </w:r>
      <w:r w:rsidR="00715ACD">
        <w:t>’</w:t>
      </w:r>
      <w:r>
        <w:t>adoption en créant une dépendance et en encourageant la concurrence entre les États, les organisations et les futurs parents adoptifs »</w:t>
      </w:r>
      <w:r w:rsidR="0071776C" w:rsidRPr="002E65D8">
        <w:rPr>
          <w:rStyle w:val="FootnoteReference"/>
        </w:rPr>
        <w:footnoteReference w:id="315"/>
      </w:r>
      <w:r>
        <w:t xml:space="preserve">, en conséquence </w:t>
      </w:r>
      <w:r w:rsidR="00404750">
        <w:t>de quoi</w:t>
      </w:r>
      <w:r>
        <w:t xml:space="preserve"> il est difficile de garantir que les décisions d</w:t>
      </w:r>
      <w:r w:rsidR="00715ACD">
        <w:t>’</w:t>
      </w:r>
      <w:r>
        <w:t>adoption internationale sont toujours prises dans l</w:t>
      </w:r>
      <w:r w:rsidR="00715ACD">
        <w:t>’</w:t>
      </w:r>
      <w:r>
        <w:t>intérêt supérieur de l</w:t>
      </w:r>
      <w:r w:rsidR="00715ACD">
        <w:t>’</w:t>
      </w:r>
      <w:r>
        <w:t xml:space="preserve">enfant. </w:t>
      </w:r>
    </w:p>
    <w:p w14:paraId="3F7E13AD" w14:textId="77777777" w:rsidR="00B9780C" w:rsidRPr="002E65D8" w:rsidRDefault="00B9780C" w:rsidP="004047D5">
      <w:pPr>
        <w:pStyle w:val="Heading4"/>
      </w:pPr>
      <w:r>
        <w:t>Influence sur la procédure</w:t>
      </w:r>
    </w:p>
    <w:p w14:paraId="51A51BB8" w14:textId="79B9D6FE" w:rsidR="0071046A" w:rsidRPr="002E65D8" w:rsidRDefault="00B25E43" w:rsidP="0007371B">
      <w:pPr>
        <w:pStyle w:val="PBParagraph"/>
      </w:pPr>
      <w:r>
        <w:t>Les contributions, en particulier en l</w:t>
      </w:r>
      <w:r w:rsidR="00715ACD">
        <w:t>’</w:t>
      </w:r>
      <w:r>
        <w:t xml:space="preserve">absence de transparence et de réglementation rigoureuse, et les dons peuvent </w:t>
      </w:r>
      <w:r>
        <w:rPr>
          <w:b/>
          <w:bCs/>
        </w:rPr>
        <w:t>nuire à l</w:t>
      </w:r>
      <w:r w:rsidR="00715ACD">
        <w:rPr>
          <w:b/>
          <w:bCs/>
        </w:rPr>
        <w:t>’</w:t>
      </w:r>
      <w:r>
        <w:rPr>
          <w:b/>
          <w:bCs/>
        </w:rPr>
        <w:t>intégrité et au bon déroulement d</w:t>
      </w:r>
      <w:r w:rsidR="00715ACD">
        <w:rPr>
          <w:b/>
          <w:bCs/>
        </w:rPr>
        <w:t>’</w:t>
      </w:r>
      <w:r>
        <w:rPr>
          <w:b/>
          <w:bCs/>
        </w:rPr>
        <w:t>une procédure d</w:t>
      </w:r>
      <w:r w:rsidR="00715ACD">
        <w:rPr>
          <w:b/>
          <w:bCs/>
        </w:rPr>
        <w:t>’</w:t>
      </w:r>
      <w:r>
        <w:rPr>
          <w:b/>
          <w:bCs/>
        </w:rPr>
        <w:t>adoption</w:t>
      </w:r>
      <w:r>
        <w:t>. Ils peuvent entre autres conduire à privilégier l</w:t>
      </w:r>
      <w:r w:rsidR="00715ACD">
        <w:t>’</w:t>
      </w:r>
      <w:r>
        <w:t xml:space="preserve">adoption internationale par rapport aux solutions de réunification familiale ou de placement national. </w:t>
      </w:r>
    </w:p>
    <w:p w14:paraId="62C5BD32" w14:textId="718D33F7" w:rsidR="00B9780C" w:rsidRPr="002E65D8" w:rsidRDefault="0022102A" w:rsidP="00D143F8">
      <w:pPr>
        <w:pStyle w:val="PBParagraph"/>
      </w:pPr>
      <w:r>
        <w:t xml:space="preserve">Qui plus est, le </w:t>
      </w:r>
      <w:r>
        <w:rPr>
          <w:b/>
          <w:bCs/>
        </w:rPr>
        <w:t>soutien</w:t>
      </w:r>
      <w:r>
        <w:t xml:space="preserve"> apporté aux </w:t>
      </w:r>
      <w:r w:rsidRPr="00AA4E9B">
        <w:rPr>
          <w:b/>
        </w:rPr>
        <w:t>familles d</w:t>
      </w:r>
      <w:r w:rsidR="00715ACD">
        <w:rPr>
          <w:b/>
        </w:rPr>
        <w:t>’</w:t>
      </w:r>
      <w:r w:rsidRPr="00AA4E9B">
        <w:rPr>
          <w:b/>
        </w:rPr>
        <w:t>origine</w:t>
      </w:r>
      <w:r>
        <w:t xml:space="preserve"> peut être </w:t>
      </w:r>
      <w:r>
        <w:rPr>
          <w:b/>
          <w:bCs/>
        </w:rPr>
        <w:t>insuffisant</w:t>
      </w:r>
      <w:r>
        <w:t xml:space="preserve"> et il peut arriver qu</w:t>
      </w:r>
      <w:r w:rsidR="00715ACD">
        <w:t>’</w:t>
      </w:r>
      <w:r>
        <w:t>il n</w:t>
      </w:r>
      <w:r w:rsidR="00715ACD">
        <w:t>’</w:t>
      </w:r>
      <w:r>
        <w:t>y ait pas d</w:t>
      </w:r>
      <w:r w:rsidR="00715ACD">
        <w:t>’</w:t>
      </w:r>
      <w:r>
        <w:t>enquête sur l</w:t>
      </w:r>
      <w:r w:rsidR="00715ACD">
        <w:t>’</w:t>
      </w:r>
      <w:r>
        <w:t>adoptabilité de l</w:t>
      </w:r>
      <w:r w:rsidR="00715ACD">
        <w:t>’</w:t>
      </w:r>
      <w:r>
        <w:t>enfant et / ou sur les solutions de prise en charge de remplacement à l</w:t>
      </w:r>
      <w:r w:rsidR="00715ACD">
        <w:t>’</w:t>
      </w:r>
      <w:r>
        <w:t>échelle nationale, ou que l</w:t>
      </w:r>
      <w:r w:rsidR="00715ACD">
        <w:t>’</w:t>
      </w:r>
      <w:r>
        <w:t>enquête menée soit lacunaire (c.-à-d. possible non-respect du principe de subsidiarité)</w:t>
      </w:r>
      <w:r w:rsidR="007C698C" w:rsidRPr="002E65D8">
        <w:rPr>
          <w:rStyle w:val="FootnoteReference"/>
        </w:rPr>
        <w:footnoteReference w:id="316"/>
      </w:r>
      <w:r>
        <w:t>.</w:t>
      </w:r>
    </w:p>
    <w:p w14:paraId="1BB0E445" w14:textId="1BA750AE" w:rsidR="00036C68" w:rsidRPr="002E65D8" w:rsidRDefault="00FD41AA" w:rsidP="0007371B">
      <w:pPr>
        <w:pStyle w:val="PBParagraph"/>
      </w:pPr>
      <w:r>
        <w:t xml:space="preserve">Les « [c]ontributions, dons ou projets de coopération visant à </w:t>
      </w:r>
      <w:r>
        <w:rPr>
          <w:b/>
          <w:bCs/>
        </w:rPr>
        <w:t>financer</w:t>
      </w:r>
      <w:r>
        <w:t xml:space="preserve"> ou à </w:t>
      </w:r>
      <w:r>
        <w:rPr>
          <w:b/>
          <w:bCs/>
        </w:rPr>
        <w:t>influencer</w:t>
      </w:r>
      <w:r>
        <w:t xml:space="preserve"> directement l</w:t>
      </w:r>
      <w:r w:rsidR="00715ACD">
        <w:t>’</w:t>
      </w:r>
      <w:r>
        <w:rPr>
          <w:b/>
          <w:bCs/>
        </w:rPr>
        <w:t>adoption internationale</w:t>
      </w:r>
      <w:r>
        <w:t>, que ce soit de manière générale ou concernant une adoption en particulier » (non souligné dans l</w:t>
      </w:r>
      <w:r w:rsidR="00715ACD">
        <w:t>’</w:t>
      </w:r>
      <w:r>
        <w:t>original) (</w:t>
      </w:r>
      <w:r w:rsidR="005172E6">
        <w:rPr>
          <w:color w:val="EE0000"/>
        </w:rPr>
        <w:t xml:space="preserve">FS3, </w:t>
      </w:r>
      <w:r w:rsidR="00250381">
        <w:rPr>
          <w:color w:val="EE0000"/>
        </w:rPr>
        <w:t>boîte </w:t>
      </w:r>
      <w:r w:rsidR="00771599">
        <w:rPr>
          <w:color w:val="EE0000"/>
        </w:rPr>
        <w:t>0</w:t>
      </w:r>
      <w:r>
        <w:rPr>
          <w:color w:val="EE0000"/>
        </w:rPr>
        <w:t>8</w:t>
      </w:r>
      <w:r>
        <w:t>) relèvent, d</w:t>
      </w:r>
      <w:r w:rsidR="00715ACD">
        <w:t>’</w:t>
      </w:r>
      <w:r>
        <w:t xml:space="preserve">après la </w:t>
      </w:r>
      <w:r w:rsidR="00250381">
        <w:t xml:space="preserve">Boîte </w:t>
      </w:r>
      <w:r>
        <w:t>à outils, de pratiques illicites. Cela peut notamment inclure :</w:t>
      </w:r>
    </w:p>
    <w:p w14:paraId="3874D429" w14:textId="1FEA30B7" w:rsidR="00036C68" w:rsidRPr="002E65D8" w:rsidRDefault="00830F8C" w:rsidP="001327A0">
      <w:pPr>
        <w:pStyle w:val="PBBulletList"/>
      </w:pPr>
      <w:r>
        <w:t>des cas dans lesquels la « coopération avec des États en particulier (par ex. apparentement d</w:t>
      </w:r>
      <w:r w:rsidR="00715ACD">
        <w:t>’</w:t>
      </w:r>
      <w:r>
        <w:t>enfants avec des FPA de ces États) [est] influencée par le montant des contributions, des dons et du soutien aux projets de coopération » (</w:t>
      </w:r>
      <w:r>
        <w:rPr>
          <w:color w:val="EE0000"/>
        </w:rPr>
        <w:t xml:space="preserve">FS3, </w:t>
      </w:r>
      <w:r w:rsidR="00250381">
        <w:rPr>
          <w:color w:val="EE0000"/>
        </w:rPr>
        <w:t>boîte </w:t>
      </w:r>
      <w:r w:rsidR="00771599">
        <w:rPr>
          <w:color w:val="EE0000"/>
        </w:rPr>
        <w:t>0</w:t>
      </w:r>
      <w:r>
        <w:rPr>
          <w:color w:val="EE0000"/>
        </w:rPr>
        <w:t>9</w:t>
      </w:r>
      <w:r>
        <w:t xml:space="preserve">) ; et </w:t>
      </w:r>
    </w:p>
    <w:p w14:paraId="4BFC5E8E" w14:textId="50DF828D" w:rsidR="003458D8" w:rsidRPr="002E65D8" w:rsidRDefault="006A4AE9" w:rsidP="00FC546D">
      <w:pPr>
        <w:pStyle w:val="PBBulletList"/>
      </w:pPr>
      <w:r>
        <w:t>des « contributions, dons ou projets de coopération visant à soutenir les institutions pour enfants prenant en charge des enfants adoptables qui sont susceptibles de faire l</w:t>
      </w:r>
      <w:r w:rsidR="00715ACD">
        <w:t>’</w:t>
      </w:r>
      <w:r>
        <w:t>objet d</w:t>
      </w:r>
      <w:r w:rsidR="00715ACD">
        <w:t>’</w:t>
      </w:r>
      <w:r>
        <w:t>une adoption internationale » (</w:t>
      </w:r>
      <w:r>
        <w:rPr>
          <w:color w:val="EE0000"/>
        </w:rPr>
        <w:t xml:space="preserve">FS3, </w:t>
      </w:r>
      <w:r w:rsidR="00250381">
        <w:rPr>
          <w:color w:val="EE0000"/>
        </w:rPr>
        <w:t>boîte </w:t>
      </w:r>
      <w:r>
        <w:rPr>
          <w:color w:val="EE0000"/>
        </w:rPr>
        <w:t>10</w:t>
      </w:r>
      <w:r w:rsidR="00C844E5">
        <w:t>).</w:t>
      </w:r>
    </w:p>
    <w:p w14:paraId="56F80FD6" w14:textId="3097098F" w:rsidR="00B9780C" w:rsidRPr="002E65D8" w:rsidRDefault="00B25E43" w:rsidP="00D143F8">
      <w:pPr>
        <w:pStyle w:val="PBParagraph"/>
      </w:pPr>
      <w:r>
        <w:t>Même s</w:t>
      </w:r>
      <w:r w:rsidR="00715ACD">
        <w:t>’</w:t>
      </w:r>
      <w:r>
        <w:t xml:space="preserve">ils sont effectués </w:t>
      </w:r>
      <w:r>
        <w:rPr>
          <w:b/>
          <w:bCs/>
        </w:rPr>
        <w:t>après l</w:t>
      </w:r>
      <w:r w:rsidR="00715ACD">
        <w:rPr>
          <w:b/>
          <w:bCs/>
        </w:rPr>
        <w:t>’</w:t>
      </w:r>
      <w:r>
        <w:rPr>
          <w:b/>
          <w:bCs/>
        </w:rPr>
        <w:t>adoption</w:t>
      </w:r>
      <w:r>
        <w:t xml:space="preserve"> et / ou avec l</w:t>
      </w:r>
      <w:r w:rsidR="00715ACD">
        <w:t>’</w:t>
      </w:r>
      <w:r>
        <w:t>accord de l</w:t>
      </w:r>
      <w:r w:rsidR="00715ACD">
        <w:t>’</w:t>
      </w:r>
      <w:r>
        <w:t>Autorité centrale de l</w:t>
      </w:r>
      <w:r w:rsidR="00715ACD">
        <w:t>’</w:t>
      </w:r>
      <w:r>
        <w:t>État d</w:t>
      </w:r>
      <w:r w:rsidR="00715ACD">
        <w:t>’</w:t>
      </w:r>
      <w:r>
        <w:t>origine</w:t>
      </w:r>
      <w:r w:rsidR="00AF0821" w:rsidRPr="002E65D8">
        <w:rPr>
          <w:rStyle w:val="FootnoteReference"/>
        </w:rPr>
        <w:footnoteReference w:id="317"/>
      </w:r>
      <w:r>
        <w:t xml:space="preserve">, et même si leur montant est limité, les </w:t>
      </w:r>
      <w:r>
        <w:rPr>
          <w:b/>
          <w:bCs/>
        </w:rPr>
        <w:t>dons</w:t>
      </w:r>
      <w:r>
        <w:t xml:space="preserve"> peuvent tout de même influencer la procédure d</w:t>
      </w:r>
      <w:r w:rsidR="00715ACD">
        <w:t>’</w:t>
      </w:r>
      <w:r>
        <w:t xml:space="preserve">adoption. </w:t>
      </w:r>
    </w:p>
    <w:p w14:paraId="05847B6F" w14:textId="1F371011" w:rsidR="00B9780C" w:rsidRPr="002E65D8" w:rsidRDefault="00B9780C" w:rsidP="004047D5">
      <w:pPr>
        <w:pStyle w:val="Heading4"/>
      </w:pPr>
      <w:r>
        <w:t>Facteur de dépendance et d</w:t>
      </w:r>
      <w:r w:rsidR="00715ACD">
        <w:t>’</w:t>
      </w:r>
      <w:r>
        <w:t>anticipation</w:t>
      </w:r>
    </w:p>
    <w:p w14:paraId="467FFA03" w14:textId="5A545565" w:rsidR="00B9780C" w:rsidRPr="002E65D8" w:rsidRDefault="00B25E43" w:rsidP="00D143F8">
      <w:pPr>
        <w:pStyle w:val="PBParagraph"/>
      </w:pPr>
      <w:r>
        <w:t>Les contributions, dons et projets de coopération sont susceptibles d</w:t>
      </w:r>
      <w:r w:rsidR="00715ACD">
        <w:t>’</w:t>
      </w:r>
      <w:r>
        <w:t>engendrer le « </w:t>
      </w:r>
      <w:r>
        <w:rPr>
          <w:b/>
          <w:bCs/>
        </w:rPr>
        <w:t>[r]recours</w:t>
      </w:r>
      <w:r>
        <w:t xml:space="preserve"> à l</w:t>
      </w:r>
      <w:r w:rsidR="00715ACD">
        <w:t>’</w:t>
      </w:r>
      <w:r>
        <w:t xml:space="preserve">adoption internationale et [la] </w:t>
      </w:r>
      <w:r>
        <w:rPr>
          <w:b/>
          <w:bCs/>
        </w:rPr>
        <w:t>dépendance</w:t>
      </w:r>
      <w:r>
        <w:t xml:space="preserve"> à celle-ci pour obtenir des sources (supplémentaires) </w:t>
      </w:r>
      <w:r>
        <w:lastRenderedPageBreak/>
        <w:t>de financement grâce [à ces transactions] » (non souligné dans l</w:t>
      </w:r>
      <w:r w:rsidR="00715ACD">
        <w:t>’</w:t>
      </w:r>
      <w:r>
        <w:t>original) (</w:t>
      </w:r>
      <w:r>
        <w:rPr>
          <w:color w:val="FFC000"/>
        </w:rPr>
        <w:t xml:space="preserve">FS3, </w:t>
      </w:r>
      <w:r w:rsidR="00250381">
        <w:rPr>
          <w:color w:val="FFC000"/>
        </w:rPr>
        <w:t>boîte </w:t>
      </w:r>
      <w:r>
        <w:rPr>
          <w:color w:val="FFC000"/>
        </w:rPr>
        <w:t>35</w:t>
      </w:r>
      <w:r>
        <w:t>) et de susciter des attentes</w:t>
      </w:r>
      <w:r w:rsidR="00BC3591">
        <w:t>,</w:t>
      </w:r>
      <w:r>
        <w:t xml:space="preserve"> </w:t>
      </w:r>
      <w:r w:rsidR="00BC3591">
        <w:t>pour les États d</w:t>
      </w:r>
      <w:r w:rsidR="00715ACD">
        <w:t>’</w:t>
      </w:r>
      <w:r w:rsidR="00BC3591">
        <w:t xml:space="preserve">origine, </w:t>
      </w:r>
      <w:r>
        <w:t>quant à leur maintien. Les États qui veulent garantir un flux régulier de fonds extérieurs pour soutenir les efforts de protection des enfants peuvent se sentir obligés de maintenir un « stock » d</w:t>
      </w:r>
      <w:r w:rsidR="00715ACD">
        <w:t>’</w:t>
      </w:r>
      <w:r>
        <w:t>enfants pour l</w:t>
      </w:r>
      <w:r w:rsidR="00715ACD">
        <w:t>’</w:t>
      </w:r>
      <w:r>
        <w:t>adoption internationale</w:t>
      </w:r>
      <w:r w:rsidR="007C698C" w:rsidRPr="002E65D8">
        <w:rPr>
          <w:rStyle w:val="FootnoteReference"/>
        </w:rPr>
        <w:footnoteReference w:id="318"/>
      </w:r>
      <w:r>
        <w:t>. En outre, les dons et les contributions peuvent devenir un moyen pour les OAA de recevoir des propositions d</w:t>
      </w:r>
      <w:r w:rsidR="00715ACD">
        <w:t>’</w:t>
      </w:r>
      <w:r>
        <w:t>apparentement, ce qui peut créer une dépendance et des attentes supplémentaires.</w:t>
      </w:r>
    </w:p>
    <w:p w14:paraId="36A710C5" w14:textId="06637865" w:rsidR="00B9780C" w:rsidRPr="002E65D8" w:rsidRDefault="00B25E43" w:rsidP="00D143F8">
      <w:pPr>
        <w:pStyle w:val="PBParagraph"/>
      </w:pPr>
      <w:r>
        <w:t>Par exemple, dans certains États d</w:t>
      </w:r>
      <w:r w:rsidR="00715ACD">
        <w:t>’</w:t>
      </w:r>
      <w:r>
        <w:t>origine, les « contributions, dons et projets de coopération [liés à l</w:t>
      </w:r>
      <w:r w:rsidR="00715ACD">
        <w:t>’</w:t>
      </w:r>
      <w:r>
        <w:t xml:space="preserve">adoption internationale] au profit des </w:t>
      </w:r>
      <w:r>
        <w:rPr>
          <w:b/>
          <w:bCs/>
        </w:rPr>
        <w:t>institutions pour enfants</w:t>
      </w:r>
      <w:r>
        <w:t> » (non souligné dans l</w:t>
      </w:r>
      <w:r w:rsidR="00715ACD">
        <w:t>’</w:t>
      </w:r>
      <w:r>
        <w:t>original) (</w:t>
      </w:r>
      <w:r>
        <w:rPr>
          <w:color w:val="FFC000"/>
        </w:rPr>
        <w:t xml:space="preserve">FS3, </w:t>
      </w:r>
      <w:r w:rsidR="00250381">
        <w:rPr>
          <w:color w:val="FFC000"/>
        </w:rPr>
        <w:t>boîte </w:t>
      </w:r>
      <w:r>
        <w:rPr>
          <w:color w:val="FFC000"/>
        </w:rPr>
        <w:t>37</w:t>
      </w:r>
      <w:r>
        <w:t xml:space="preserve">) rendent ces dernières </w:t>
      </w:r>
      <w:r>
        <w:rPr>
          <w:b/>
          <w:bCs/>
        </w:rPr>
        <w:t>dépendantes</w:t>
      </w:r>
      <w:r>
        <w:t xml:space="preserve"> de ces sources de financement pour assurer leur fonctionnement. Très souvent, ces établissements ne favorisent pas la réunification des enfants et de leur famille d</w:t>
      </w:r>
      <w:r w:rsidR="00715ACD">
        <w:t>’</w:t>
      </w:r>
      <w:r>
        <w:t xml:space="preserve">origine ni la recherche de solutions de prise en charge de </w:t>
      </w:r>
      <w:r w:rsidR="00C553F6">
        <w:t>remplacement</w:t>
      </w:r>
      <w:r>
        <w:t xml:space="preserve"> au niveau national pour les enfants dont ils s</w:t>
      </w:r>
      <w:r w:rsidR="00715ACD">
        <w:t>’</w:t>
      </w:r>
      <w:r>
        <w:t>occupent. Ils préfèrent les adoptions internationales, car ils savent qu</w:t>
      </w:r>
      <w:r w:rsidR="00715ACD">
        <w:t>’</w:t>
      </w:r>
      <w:r>
        <w:t>elles leur procureront plus d</w:t>
      </w:r>
      <w:r w:rsidR="00715ACD">
        <w:t>’</w:t>
      </w:r>
      <w:r>
        <w:t xml:space="preserve">argent. </w:t>
      </w:r>
    </w:p>
    <w:p w14:paraId="423B1A93" w14:textId="25FF9677" w:rsidR="00B9780C" w:rsidRPr="002E65D8" w:rsidRDefault="00B9780C" w:rsidP="004047D5">
      <w:pPr>
        <w:pStyle w:val="Heading4"/>
      </w:pPr>
      <w:r>
        <w:t>Facteurs de concurrence</w:t>
      </w:r>
      <w:r w:rsidR="007C698C" w:rsidRPr="002E65D8">
        <w:rPr>
          <w:rStyle w:val="FootnoteReference"/>
          <w:b w:val="0"/>
        </w:rPr>
        <w:footnoteReference w:id="319"/>
      </w:r>
      <w:r>
        <w:t xml:space="preserve"> entre les FPA, les OAA et les États d</w:t>
      </w:r>
      <w:r w:rsidR="00715ACD">
        <w:t>’</w:t>
      </w:r>
      <w:r>
        <w:t>accueil</w:t>
      </w:r>
    </w:p>
    <w:p w14:paraId="70775E67" w14:textId="52BE7D92" w:rsidR="00B9780C" w:rsidRPr="002E65D8" w:rsidRDefault="00B25E43" w:rsidP="00D143F8">
      <w:pPr>
        <w:pStyle w:val="PBParagraph"/>
      </w:pPr>
      <w:r>
        <w:t>Les contributions, dons et projets de coopération dans l</w:t>
      </w:r>
      <w:r w:rsidR="003C29FC">
        <w:t xml:space="preserve">es </w:t>
      </w:r>
      <w:r>
        <w:t>État</w:t>
      </w:r>
      <w:r w:rsidR="003C29FC">
        <w:t>s</w:t>
      </w:r>
      <w:r>
        <w:t xml:space="preserve"> d</w:t>
      </w:r>
      <w:r w:rsidR="00715ACD">
        <w:t>’</w:t>
      </w:r>
      <w:r>
        <w:t xml:space="preserve">origine peuvent conduire à </w:t>
      </w:r>
      <w:r>
        <w:rPr>
          <w:b/>
          <w:bCs/>
        </w:rPr>
        <w:t>une concurrence ouverte entre</w:t>
      </w:r>
      <w:r>
        <w:t xml:space="preserve"> : </w:t>
      </w:r>
    </w:p>
    <w:p w14:paraId="2E6D8FED" w14:textId="09528E12" w:rsidR="00B9780C" w:rsidRPr="002E65D8" w:rsidRDefault="006F7CF3" w:rsidP="00D143F8">
      <w:pPr>
        <w:pStyle w:val="PBBulletList"/>
      </w:pPr>
      <w:r>
        <w:t>les FPA : ils peuvent être sélectionnés en fonction des sommes qu</w:t>
      </w:r>
      <w:r w:rsidR="00715ACD">
        <w:t>’</w:t>
      </w:r>
      <w:r>
        <w:t>ils sont prêts à payer ou de ce que leur OAA propose ou fournit aux États d</w:t>
      </w:r>
      <w:r w:rsidR="00715ACD">
        <w:t>’</w:t>
      </w:r>
      <w:r>
        <w:t>origine. À l</w:t>
      </w:r>
      <w:r w:rsidR="00715ACD">
        <w:t>’</w:t>
      </w:r>
      <w:r>
        <w:t>extrême, cela signifie que les candidats à l</w:t>
      </w:r>
      <w:r w:rsidR="00715ACD">
        <w:t>’</w:t>
      </w:r>
      <w:r>
        <w:t>adoption qui paient « davantage » recevront les enfants les plus jeunes et en meilleure santé. En outre, la procédure d</w:t>
      </w:r>
      <w:r w:rsidR="00715ACD">
        <w:t>’</w:t>
      </w:r>
      <w:r>
        <w:t>adoption peut être « plus rapide » pour ceux qui sont prêts à payer plus ;</w:t>
      </w:r>
    </w:p>
    <w:p w14:paraId="3C375056" w14:textId="6E1AE683" w:rsidR="00B9780C" w:rsidRPr="002E65D8" w:rsidRDefault="002F2976" w:rsidP="00D143F8">
      <w:pPr>
        <w:pStyle w:val="PBBulletList"/>
      </w:pPr>
      <w:r>
        <w:t>les OAA étrangers : les organismes qui soutiennent des projets plus ambitieux peuvent être favorisés. Certains OAA, surtout ceux dont les moyens sont limités, déplorent cette surenchère où finalement, l</w:t>
      </w:r>
      <w:r w:rsidR="00715ACD">
        <w:t>’</w:t>
      </w:r>
      <w:r>
        <w:t>attribution des enfants adoptables est favorable aux plus gros donateurs</w:t>
      </w:r>
      <w:r w:rsidR="007C698C" w:rsidRPr="002E65D8">
        <w:rPr>
          <w:rStyle w:val="FootnoteReference"/>
        </w:rPr>
        <w:footnoteReference w:id="320"/>
      </w:r>
      <w:r>
        <w:t xml:space="preserve"> ; et </w:t>
      </w:r>
    </w:p>
    <w:p w14:paraId="3111D9E5" w14:textId="3587FFB3" w:rsidR="00B9780C" w:rsidRPr="002E65D8" w:rsidRDefault="002F2976" w:rsidP="00D143F8">
      <w:pPr>
        <w:pStyle w:val="PBBulletList"/>
      </w:pPr>
      <w:r>
        <w:t>les États d</w:t>
      </w:r>
      <w:r w:rsidR="00715ACD">
        <w:t>’</w:t>
      </w:r>
      <w:r>
        <w:t xml:space="preserve">accueil : les États qui proposent des projets de coopération plus ambitieux peuvent être favorisés. </w:t>
      </w:r>
    </w:p>
    <w:p w14:paraId="14E0FA30" w14:textId="3598569E" w:rsidR="00B9780C" w:rsidRPr="002E65D8" w:rsidRDefault="00B25E43" w:rsidP="00D143F8">
      <w:pPr>
        <w:pStyle w:val="PBParagraph"/>
      </w:pPr>
      <w:r>
        <w:t>Le fait que le montant des contributions demandées par les OAA et des dons n</w:t>
      </w:r>
      <w:r w:rsidR="00715ACD">
        <w:t>’</w:t>
      </w:r>
      <w:r>
        <w:t xml:space="preserve">est généralement pas prédéfini ni limité peut accentuer ce problème de concurrence. </w:t>
      </w:r>
    </w:p>
    <w:p w14:paraId="4D96412B" w14:textId="1A6601CF" w:rsidR="009F7472" w:rsidRPr="002E65D8" w:rsidRDefault="0038444D" w:rsidP="004047D5">
      <w:pPr>
        <w:pStyle w:val="Heading2"/>
      </w:pPr>
      <w:bookmarkStart w:id="204" w:name="_Toc236061703"/>
      <w:bookmarkStart w:id="205" w:name="_Ref176966706"/>
      <w:r>
        <w:t>A</w:t>
      </w:r>
      <w:r w:rsidR="00676DBD">
        <w:t xml:space="preserve">bsence </w:t>
      </w:r>
      <w:r w:rsidR="00EC15D7">
        <w:t xml:space="preserve">de </w:t>
      </w:r>
      <w:r>
        <w:t>contribution</w:t>
      </w:r>
      <w:r w:rsidR="00EC15D7">
        <w:t xml:space="preserve">s, </w:t>
      </w:r>
      <w:r w:rsidR="00A45A99">
        <w:t xml:space="preserve">de </w:t>
      </w:r>
      <w:r w:rsidR="00EC15D7">
        <w:t>dons</w:t>
      </w:r>
      <w:r>
        <w:t xml:space="preserve"> </w:t>
      </w:r>
      <w:r w:rsidDel="00D05C0E">
        <w:t>et / ou</w:t>
      </w:r>
      <w:r w:rsidR="00EC15D7">
        <w:t xml:space="preserve"> </w:t>
      </w:r>
      <w:r w:rsidR="00A45A99">
        <w:t xml:space="preserve">de </w:t>
      </w:r>
      <w:r>
        <w:t>projet</w:t>
      </w:r>
      <w:r w:rsidR="00EC15D7">
        <w:t>s</w:t>
      </w:r>
      <w:r>
        <w:t xml:space="preserve"> de coopération dans le contexte de l</w:t>
      </w:r>
      <w:r w:rsidR="00715ACD">
        <w:t>’</w:t>
      </w:r>
      <w:r>
        <w:t>adoption</w:t>
      </w:r>
      <w:bookmarkEnd w:id="204"/>
    </w:p>
    <w:p w14:paraId="2A91BF49" w14:textId="3B99208F" w:rsidR="00A92F89" w:rsidRPr="002E65D8" w:rsidRDefault="00C22CB1" w:rsidP="004047D5">
      <w:pPr>
        <w:pStyle w:val="Heading3"/>
      </w:pPr>
      <w:bookmarkStart w:id="206" w:name="_Toc236061704"/>
      <w:r>
        <w:t>Contexte</w:t>
      </w:r>
      <w:bookmarkEnd w:id="206"/>
    </w:p>
    <w:p w14:paraId="76576B79" w14:textId="7CCEF3D5" w:rsidR="00B925C3" w:rsidRPr="002E65D8" w:rsidRDefault="007942D5" w:rsidP="00B925C3">
      <w:pPr>
        <w:pStyle w:val="PBParagraph"/>
      </w:pPr>
      <w:r>
        <w:t>D</w:t>
      </w:r>
      <w:r w:rsidR="00715ACD">
        <w:t>’</w:t>
      </w:r>
      <w:r>
        <w:t xml:space="preserve">après la </w:t>
      </w:r>
      <w:r w:rsidR="00250381">
        <w:t xml:space="preserve">Boîte </w:t>
      </w:r>
      <w:r>
        <w:t>à outils, la « [f]acturation ou [le] paiement de sommes d</w:t>
      </w:r>
      <w:r w:rsidR="00715ACD">
        <w:t>’</w:t>
      </w:r>
      <w:r>
        <w:t>argent dans le cadre de l</w:t>
      </w:r>
      <w:r w:rsidR="00715ACD">
        <w:t>’</w:t>
      </w:r>
      <w:r>
        <w:t>adoption qui ne sont ni des frais ou dépenses ni des honoraires professionnels raisonnables (CLH, art. 32) » (</w:t>
      </w:r>
      <w:r>
        <w:rPr>
          <w:color w:val="FF0000"/>
        </w:rPr>
        <w:t xml:space="preserve">FS3, </w:t>
      </w:r>
      <w:r w:rsidR="00250381">
        <w:rPr>
          <w:color w:val="FF0000"/>
        </w:rPr>
        <w:t>boîte </w:t>
      </w:r>
      <w:r w:rsidR="00771599">
        <w:rPr>
          <w:color w:val="FF0000"/>
        </w:rPr>
        <w:t>0</w:t>
      </w:r>
      <w:r>
        <w:rPr>
          <w:color w:val="FF0000"/>
        </w:rPr>
        <w:t>6</w:t>
      </w:r>
      <w:r>
        <w:t xml:space="preserve">) est une pratique illicite. Comme il est ressorti de la réunion de la </w:t>
      </w:r>
      <w:r w:rsidR="00283B34">
        <w:t>CS</w:t>
      </w:r>
      <w:r>
        <w:t xml:space="preserve"> de 2022, la plupart des États estiment qu</w:t>
      </w:r>
      <w:r w:rsidR="00715ACD">
        <w:t>’</w:t>
      </w:r>
      <w:r>
        <w:t>il ne devrait y avoir aucun don, contribution et / ou projet de coopération dans le contexte de l</w:t>
      </w:r>
      <w:r w:rsidR="00715ACD">
        <w:t>’</w:t>
      </w:r>
      <w:r>
        <w:t>adoption internationale. La Convention Adoption de 1993 énonce que « [s]euls peuvent être demandés et payés les frais et dépenses ([...], art. 32(2)) » (</w:t>
      </w:r>
      <w:r>
        <w:rPr>
          <w:color w:val="00B050"/>
        </w:rPr>
        <w:t xml:space="preserve">FS3, </w:t>
      </w:r>
      <w:r w:rsidR="00250381">
        <w:rPr>
          <w:color w:val="00B050"/>
        </w:rPr>
        <w:t>boîte </w:t>
      </w:r>
      <w:r w:rsidR="00771599">
        <w:rPr>
          <w:color w:val="00B050"/>
        </w:rPr>
        <w:t>0</w:t>
      </w:r>
      <w:r>
        <w:rPr>
          <w:color w:val="00B050"/>
        </w:rPr>
        <w:t>6.1</w:t>
      </w:r>
      <w:r>
        <w:t>). Par conséquent, en raison des risques suscités par les liens entre les contributions et projets de coopération et la procédure d</w:t>
      </w:r>
      <w:r w:rsidR="00715ACD">
        <w:t>’</w:t>
      </w:r>
      <w:r>
        <w:t>adoption tels qu</w:t>
      </w:r>
      <w:r w:rsidR="00715ACD">
        <w:t>’</w:t>
      </w:r>
      <w:r>
        <w:t>ils sont expliqués au chapitre </w:t>
      </w:r>
      <w:r w:rsidR="00ED6B7D" w:rsidRPr="002E65D8">
        <w:fldChar w:fldCharType="begin"/>
      </w:r>
      <w:r w:rsidR="00ED6B7D" w:rsidRPr="002E65D8">
        <w:instrText xml:space="preserve"> REF _Ref179384849 \r \h </w:instrText>
      </w:r>
      <w:r w:rsidR="002E65D8">
        <w:instrText xml:space="preserve"> \* MERGEFORMAT </w:instrText>
      </w:r>
      <w:r w:rsidR="00ED6B7D" w:rsidRPr="002E65D8">
        <w:fldChar w:fldCharType="separate"/>
      </w:r>
      <w:r w:rsidR="00E6549D">
        <w:t>7.1</w:t>
      </w:r>
      <w:r w:rsidR="00ED6B7D" w:rsidRPr="002E65D8">
        <w:fldChar w:fldCharType="end"/>
      </w:r>
      <w:r>
        <w:t xml:space="preserve"> ci-dessus, ces États considèrent que ces contributions et projet de coopération, qu</w:t>
      </w:r>
      <w:r w:rsidR="00715ACD">
        <w:t>’</w:t>
      </w:r>
      <w:r>
        <w:t>ils soient réalisés par l</w:t>
      </w:r>
      <w:r w:rsidR="00715ACD">
        <w:t>’</w:t>
      </w:r>
      <w:r>
        <w:t>intermédiaire ou à l</w:t>
      </w:r>
      <w:r w:rsidR="00715ACD">
        <w:t>’</w:t>
      </w:r>
      <w:r>
        <w:t>initiative d</w:t>
      </w:r>
      <w:r w:rsidR="00715ACD">
        <w:t>’</w:t>
      </w:r>
      <w:r>
        <w:t>OAA ou de FPA, ne sont pas des moyens légitimes de soutenir le système de protection des enfants</w:t>
      </w:r>
      <w:r w:rsidR="000531CC" w:rsidRPr="002E65D8">
        <w:rPr>
          <w:rStyle w:val="FootnoteReference"/>
        </w:rPr>
        <w:footnoteReference w:id="321"/>
      </w:r>
      <w:r>
        <w:t>.</w:t>
      </w:r>
      <w:r>
        <w:rPr>
          <w:color w:val="00B050"/>
        </w:rPr>
        <w:t xml:space="preserve"> </w:t>
      </w:r>
      <w:r>
        <w:t xml:space="preserve">Ils estiment que « les contributions, </w:t>
      </w:r>
      <w:r w:rsidR="004E2E46">
        <w:t>dons et</w:t>
      </w:r>
      <w:r>
        <w:t xml:space="preserve"> projets de </w:t>
      </w:r>
      <w:r>
        <w:lastRenderedPageBreak/>
        <w:t>coopération [devraient être interdits] dans le contexte de l</w:t>
      </w:r>
      <w:r w:rsidR="00715ACD">
        <w:t>’</w:t>
      </w:r>
      <w:r>
        <w:t>adoption internationale » (</w:t>
      </w:r>
      <w:r>
        <w:rPr>
          <w:color w:val="00B050"/>
        </w:rPr>
        <w:t xml:space="preserve">FS3, </w:t>
      </w:r>
      <w:r w:rsidR="00250381">
        <w:rPr>
          <w:color w:val="00B050"/>
        </w:rPr>
        <w:t>boîte </w:t>
      </w:r>
      <w:r w:rsidR="00771599">
        <w:rPr>
          <w:color w:val="00B050"/>
        </w:rPr>
        <w:t>0</w:t>
      </w:r>
      <w:r>
        <w:rPr>
          <w:color w:val="00B050"/>
        </w:rPr>
        <w:t>6.2</w:t>
      </w:r>
      <w:r>
        <w:t>), l</w:t>
      </w:r>
      <w:r w:rsidR="00715ACD">
        <w:t>’</w:t>
      </w:r>
      <w:r>
        <w:t>objectif étant de les séparer pleinement des frais et honoraires. « [Ils] insistent sur le fait que les États devraient s</w:t>
      </w:r>
      <w:r w:rsidR="00715ACD">
        <w:t>’</w:t>
      </w:r>
      <w:r>
        <w:t>efforcer de se rapprocher de cette logique afin d</w:t>
      </w:r>
      <w:r w:rsidR="00715ACD">
        <w:t>’</w:t>
      </w:r>
      <w:r>
        <w:t>éviter les risques inhérents à l</w:t>
      </w:r>
      <w:r w:rsidR="00715ACD">
        <w:t>’</w:t>
      </w:r>
      <w:r>
        <w:t>influence indue liés aux contributions, don[]s et projets de coopération, mais sont conscient[]s que les États auront certainement besoin de temps pour y parvenir »</w:t>
      </w:r>
      <w:r w:rsidR="000531CC" w:rsidRPr="002E65D8">
        <w:rPr>
          <w:rStyle w:val="FootnoteReference"/>
        </w:rPr>
        <w:footnoteReference w:id="322"/>
      </w:r>
      <w:r>
        <w:t xml:space="preserve">. </w:t>
      </w:r>
    </w:p>
    <w:p w14:paraId="513C6A97" w14:textId="17FF0D39" w:rsidR="00EB3809" w:rsidRPr="002E65D8" w:rsidRDefault="00677613" w:rsidP="00B925C3">
      <w:pPr>
        <w:pStyle w:val="PBParagraph"/>
      </w:pPr>
      <w:r>
        <w:t>Un autre aspect lié à l</w:t>
      </w:r>
      <w:r w:rsidR="00715ACD">
        <w:t>’</w:t>
      </w:r>
      <w:r>
        <w:t>absence de</w:t>
      </w:r>
      <w:r w:rsidR="004019A9">
        <w:t xml:space="preserve"> </w:t>
      </w:r>
      <w:r>
        <w:t>contribution</w:t>
      </w:r>
      <w:r w:rsidR="00C4718F">
        <w:t>s</w:t>
      </w:r>
      <w:r>
        <w:t xml:space="preserve">, </w:t>
      </w:r>
      <w:r w:rsidR="0032233E">
        <w:t xml:space="preserve">de </w:t>
      </w:r>
      <w:r>
        <w:t>don</w:t>
      </w:r>
      <w:r w:rsidR="00C4718F">
        <w:t>s</w:t>
      </w:r>
      <w:r w:rsidDel="000E33F6">
        <w:t xml:space="preserve"> et</w:t>
      </w:r>
      <w:r>
        <w:t xml:space="preserve"> </w:t>
      </w:r>
      <w:r w:rsidR="0032233E">
        <w:t xml:space="preserve">de </w:t>
      </w:r>
      <w:r>
        <w:t>projet</w:t>
      </w:r>
      <w:r w:rsidR="00C4718F">
        <w:t>s</w:t>
      </w:r>
      <w:r>
        <w:t xml:space="preserve"> de coopération dans le contexte de l</w:t>
      </w:r>
      <w:r w:rsidR="00715ACD">
        <w:t>’</w:t>
      </w:r>
      <w:r>
        <w:t>adoption est que le domaine d</w:t>
      </w:r>
      <w:r w:rsidR="00715ACD">
        <w:t>’</w:t>
      </w:r>
      <w:r>
        <w:t>expertise habituel des OAA est l</w:t>
      </w:r>
      <w:r w:rsidR="00715ACD">
        <w:t>’</w:t>
      </w:r>
      <w:r>
        <w:t>adoption et non les projets de coopération. Les OAA ne disposent donc pas nécessairement des capacités, de l</w:t>
      </w:r>
      <w:r w:rsidR="00715ACD">
        <w:t>’</w:t>
      </w:r>
      <w:r>
        <w:t>expérience et des professionnels requis pour une bonne mise en œuvre des projets de coopération.</w:t>
      </w:r>
    </w:p>
    <w:p w14:paraId="3B92AB73" w14:textId="00C1BF1C" w:rsidR="00B925C3" w:rsidRPr="002E65D8" w:rsidRDefault="00B925C3" w:rsidP="015D103D">
      <w:pPr>
        <w:pStyle w:val="PBParagraph"/>
      </w:pPr>
      <w:r>
        <w:t>Par ailleurs, certains projets sont gérés sans coordination avec les autorités chargées de la protection des enfants dans l</w:t>
      </w:r>
      <w:r w:rsidR="00715ACD">
        <w:t>’</w:t>
      </w:r>
      <w:r>
        <w:t>État d</w:t>
      </w:r>
      <w:r w:rsidR="00715ACD">
        <w:t>’</w:t>
      </w:r>
      <w:r>
        <w:t>origine. Ces autorités se plaignent donc de n</w:t>
      </w:r>
      <w:r w:rsidR="00715ACD">
        <w:t>’</w:t>
      </w:r>
      <w:r>
        <w:t>être informées ni des projets engagés ni de leurs initiateurs. Dans cette situation, les États d</w:t>
      </w:r>
      <w:r w:rsidR="00715ACD">
        <w:t>’</w:t>
      </w:r>
      <w:r>
        <w:t>origine ne peuvent pas appliquer la séparation recommandée entre les projets de développement et de coopération et l</w:t>
      </w:r>
      <w:r w:rsidR="00715ACD">
        <w:t>’</w:t>
      </w:r>
      <w:r>
        <w:t>adoption internationale. Enfin, l</w:t>
      </w:r>
      <w:r w:rsidR="00715ACD">
        <w:t>’</w:t>
      </w:r>
      <w:r>
        <w:t>État d</w:t>
      </w:r>
      <w:r w:rsidR="00715ACD">
        <w:t>’</w:t>
      </w:r>
      <w:r>
        <w:t>origine n</w:t>
      </w:r>
      <w:r w:rsidR="00715ACD">
        <w:t>’</w:t>
      </w:r>
      <w:r>
        <w:t>a pas nécessairement les ressources adéquates pour coordonner, superviser ou surveiller ces activités ou ces projets, qui peuvent en outre ne pas s</w:t>
      </w:r>
      <w:r w:rsidR="00715ACD">
        <w:t>’</w:t>
      </w:r>
      <w:r>
        <w:t xml:space="preserve">inscrire dans le cadre de sa politique en matière de protection des enfants. </w:t>
      </w:r>
    </w:p>
    <w:p w14:paraId="33CD6D27" w14:textId="78B294ED" w:rsidR="003B243F" w:rsidRPr="002E65D8" w:rsidRDefault="007D43A9" w:rsidP="015D103D">
      <w:pPr>
        <w:pStyle w:val="Heading3"/>
      </w:pPr>
      <w:bookmarkStart w:id="207" w:name="_Toc184237785"/>
      <w:bookmarkStart w:id="208" w:name="_Toc184237786"/>
      <w:bookmarkStart w:id="209" w:name="_Toc184237787"/>
      <w:bookmarkStart w:id="210" w:name="_Toc236061705"/>
      <w:bookmarkEnd w:id="207"/>
      <w:bookmarkEnd w:id="208"/>
      <w:bookmarkEnd w:id="209"/>
      <w:r>
        <w:t>Prise en charge de l</w:t>
      </w:r>
      <w:r w:rsidR="00715ACD">
        <w:t>’</w:t>
      </w:r>
      <w:r>
        <w:t>enfant</w:t>
      </w:r>
      <w:bookmarkEnd w:id="210"/>
    </w:p>
    <w:p w14:paraId="076F0CCC" w14:textId="2A6D1D4E" w:rsidR="00066F41" w:rsidRDefault="00B73935" w:rsidP="015D103D">
      <w:pPr>
        <w:pStyle w:val="PBParagraph"/>
      </w:pPr>
      <w:r>
        <w:t>La Convention Adoption de 1993 énonce que « [s]euls peuvent être demandés et payés les frais et dépenses » (art. 32(2)). Dans certains États d</w:t>
      </w:r>
      <w:r w:rsidR="00715ACD">
        <w:t>’</w:t>
      </w:r>
      <w:r>
        <w:t>origine, il est demandé aux FPA de s</w:t>
      </w:r>
      <w:r w:rsidR="00715ACD">
        <w:t>’</w:t>
      </w:r>
      <w:r>
        <w:t>acquitter</w:t>
      </w:r>
      <w:r w:rsidR="00035A48">
        <w:t>, dans le cadre de la procédure d</w:t>
      </w:r>
      <w:r w:rsidR="00715ACD">
        <w:t>’</w:t>
      </w:r>
      <w:r w:rsidR="00035A48">
        <w:t>adoption,</w:t>
      </w:r>
      <w:r>
        <w:t xml:space="preserve"> des frais de prise en charge de l</w:t>
      </w:r>
      <w:r w:rsidR="00715ACD">
        <w:t>’</w:t>
      </w:r>
      <w:r>
        <w:t>enfant qui visent à couvrir ses frais de subsistance quotidiens, comme la nourriture, les vêtements, le logement, la scolarisation, la santé, etc. Ces frais de prise en charge ne peuvent être « considérés comme une dépense de la procédure d</w:t>
      </w:r>
      <w:r w:rsidR="00715ACD">
        <w:t>’</w:t>
      </w:r>
      <w:r>
        <w:t>adoption qu</w:t>
      </w:r>
      <w:r w:rsidR="00715ACD">
        <w:t>’</w:t>
      </w:r>
      <w:r>
        <w:t xml:space="preserve">à la condition que les exigences suivantes soient respectées : </w:t>
      </w:r>
    </w:p>
    <w:p w14:paraId="52675A61" w14:textId="1EC9A936" w:rsidR="00066F41" w:rsidRDefault="00B73935" w:rsidP="00066F41">
      <w:pPr>
        <w:pStyle w:val="PBParagraph"/>
        <w:numPr>
          <w:ilvl w:val="3"/>
          <w:numId w:val="8"/>
        </w:numPr>
        <w:spacing w:after="0"/>
        <w:ind w:left="1134" w:hanging="567"/>
      </w:pPr>
      <w:r>
        <w:t>ils sont demandés par l</w:t>
      </w:r>
      <w:r w:rsidR="00715ACD">
        <w:t>’</w:t>
      </w:r>
      <w:r>
        <w:t>État d</w:t>
      </w:r>
      <w:r w:rsidR="00715ACD">
        <w:t>’</w:t>
      </w:r>
      <w:r>
        <w:t xml:space="preserve">origine (et </w:t>
      </w:r>
      <w:r w:rsidR="0026348D">
        <w:t>non par l</w:t>
      </w:r>
      <w:r w:rsidR="00715ACD">
        <w:t>’</w:t>
      </w:r>
      <w:r w:rsidR="0026348D">
        <w:t>OAA ou l</w:t>
      </w:r>
      <w:r w:rsidR="00715ACD">
        <w:t>’</w:t>
      </w:r>
      <w:r w:rsidR="0026348D">
        <w:t>institution) ;</w:t>
      </w:r>
      <w:r>
        <w:t xml:space="preserve"> </w:t>
      </w:r>
    </w:p>
    <w:p w14:paraId="31DD79D8" w14:textId="02BD63F6" w:rsidR="00066F41" w:rsidRDefault="00B73935" w:rsidP="00066F41">
      <w:pPr>
        <w:pStyle w:val="PBParagraph"/>
        <w:numPr>
          <w:ilvl w:val="3"/>
          <w:numId w:val="8"/>
        </w:numPr>
        <w:spacing w:after="0"/>
        <w:ind w:left="1134" w:hanging="567"/>
      </w:pPr>
      <w:r>
        <w:t>ils sont obligatoires, fixes, transparents, raisonnables (par rapport au coût de la vie dans l</w:t>
      </w:r>
      <w:r w:rsidR="00715ACD">
        <w:t>’</w:t>
      </w:r>
      <w:r>
        <w:t>État d</w:t>
      </w:r>
      <w:r w:rsidR="00715ACD">
        <w:t>’</w:t>
      </w:r>
      <w:r>
        <w:t xml:space="preserve">origine) et déterminés au préalable ; et </w:t>
      </w:r>
    </w:p>
    <w:p w14:paraId="754F1F39" w14:textId="176DECF1" w:rsidR="00035A48" w:rsidRDefault="00B73935" w:rsidP="00066F41">
      <w:pPr>
        <w:pStyle w:val="PBParagraph"/>
        <w:numPr>
          <w:ilvl w:val="3"/>
          <w:numId w:val="8"/>
        </w:numPr>
        <w:spacing w:after="0"/>
        <w:ind w:left="1134" w:hanging="567"/>
      </w:pPr>
      <w:r>
        <w:t>ils ne sont destinés qu</w:t>
      </w:r>
      <w:r w:rsidR="00715ACD">
        <w:t>’</w:t>
      </w:r>
      <w:r>
        <w:t>à couvrir les frais de subsistance de l</w:t>
      </w:r>
      <w:r w:rsidR="00715ACD">
        <w:t>’</w:t>
      </w:r>
      <w:r>
        <w:t>enfant en instance d</w:t>
      </w:r>
      <w:r w:rsidR="00715ACD">
        <w:t>’</w:t>
      </w:r>
      <w:r>
        <w:t>adoption entre l</w:t>
      </w:r>
      <w:r w:rsidR="00715ACD">
        <w:t>’</w:t>
      </w:r>
      <w:r>
        <w:t xml:space="preserve">apparentement et le moment où il est confié aux FPA » </w:t>
      </w:r>
      <w:r>
        <w:rPr>
          <w:color w:val="00B050"/>
        </w:rPr>
        <w:t xml:space="preserve">(FS3, </w:t>
      </w:r>
      <w:r w:rsidR="00250381">
        <w:rPr>
          <w:color w:val="00B050"/>
        </w:rPr>
        <w:t>boîte </w:t>
      </w:r>
      <w:r>
        <w:rPr>
          <w:color w:val="00B050"/>
        </w:rPr>
        <w:t xml:space="preserve">21.2, </w:t>
      </w:r>
      <w:r w:rsidR="00771599">
        <w:rPr>
          <w:color w:val="00B050"/>
          <w:shd w:val="clear" w:color="auto" w:fill="FFFFFF" w:themeFill="background1"/>
        </w:rPr>
        <w:t xml:space="preserve">boîte </w:t>
      </w:r>
      <w:r>
        <w:rPr>
          <w:color w:val="00B050"/>
        </w:rPr>
        <w:t xml:space="preserve">21.3, </w:t>
      </w:r>
      <w:r w:rsidR="00771599">
        <w:rPr>
          <w:color w:val="00B050"/>
          <w:shd w:val="clear" w:color="auto" w:fill="FFFFFF" w:themeFill="background1"/>
        </w:rPr>
        <w:t xml:space="preserve">boîte </w:t>
      </w:r>
      <w:r>
        <w:rPr>
          <w:color w:val="00B050"/>
        </w:rPr>
        <w:t xml:space="preserve">21.4 et </w:t>
      </w:r>
      <w:r w:rsidR="00771599">
        <w:rPr>
          <w:color w:val="00B050"/>
          <w:shd w:val="clear" w:color="auto" w:fill="FFFFFF" w:themeFill="background1"/>
        </w:rPr>
        <w:t xml:space="preserve">boîte </w:t>
      </w:r>
      <w:r>
        <w:rPr>
          <w:color w:val="00B050"/>
        </w:rPr>
        <w:t>21.5</w:t>
      </w:r>
      <w:r>
        <w:t xml:space="preserve">). </w:t>
      </w:r>
    </w:p>
    <w:p w14:paraId="75ED6214" w14:textId="3C11B29C" w:rsidR="00B73935" w:rsidRPr="002E65D8" w:rsidRDefault="00B73935" w:rsidP="00066F41">
      <w:pPr>
        <w:pStyle w:val="PBParagraph"/>
        <w:spacing w:before="240"/>
      </w:pPr>
      <w:r>
        <w:t>De plus, « les autorités pertinentes de l</w:t>
      </w:r>
      <w:r w:rsidR="00715ACD">
        <w:t>’</w:t>
      </w:r>
      <w:r>
        <w:t>État d</w:t>
      </w:r>
      <w:r w:rsidR="00715ACD">
        <w:t>’</w:t>
      </w:r>
      <w:r>
        <w:t>origine [devraient être] responsables de la prise en charge de l</w:t>
      </w:r>
      <w:r w:rsidR="00715ACD">
        <w:t>’</w:t>
      </w:r>
      <w:r>
        <w:t>enfant jusqu</w:t>
      </w:r>
      <w:r w:rsidR="00715ACD">
        <w:t>’</w:t>
      </w:r>
      <w:r>
        <w:t>à ce que ce dernier soit confié aux FPA » (</w:t>
      </w:r>
      <w:r>
        <w:rPr>
          <w:color w:val="00B050"/>
        </w:rPr>
        <w:t xml:space="preserve">FS3, </w:t>
      </w:r>
      <w:r w:rsidR="00250381">
        <w:rPr>
          <w:color w:val="00B050"/>
        </w:rPr>
        <w:t>boîte </w:t>
      </w:r>
      <w:r>
        <w:rPr>
          <w:color w:val="00B050"/>
        </w:rPr>
        <w:t>21.1</w:t>
      </w:r>
      <w:r>
        <w:t xml:space="preserve">) et « [a]ucun autre paiement ne devrait être exigé ou effectué » </w:t>
      </w:r>
      <w:r>
        <w:rPr>
          <w:color w:val="00B050"/>
        </w:rPr>
        <w:t xml:space="preserve">(FS3, </w:t>
      </w:r>
      <w:r w:rsidR="00250381">
        <w:rPr>
          <w:color w:val="00B050"/>
        </w:rPr>
        <w:t>boîte </w:t>
      </w:r>
      <w:r>
        <w:rPr>
          <w:color w:val="00B050"/>
        </w:rPr>
        <w:t>21.3</w:t>
      </w:r>
      <w:r>
        <w:t>).</w:t>
      </w:r>
    </w:p>
    <w:p w14:paraId="1AF25E59" w14:textId="3709F49B" w:rsidR="00B73935" w:rsidRPr="002E65D8" w:rsidRDefault="00B73935" w:rsidP="015D103D">
      <w:pPr>
        <w:pStyle w:val="PBParagraph"/>
      </w:pPr>
      <w:r>
        <w:t>Néanmoins, en pratique, la prise en charge de l</w:t>
      </w:r>
      <w:r w:rsidR="00715ACD">
        <w:t>’</w:t>
      </w:r>
      <w:r>
        <w:t>enfant ne remplit souvent pas ces conditions</w:t>
      </w:r>
      <w:r w:rsidR="00035A48">
        <w:rPr>
          <w:rStyle w:val="FootnoteReference"/>
        </w:rPr>
        <w:footnoteReference w:id="323"/>
      </w:r>
      <w:r>
        <w:t>. Le montant demandé au titre des frais de prise en charge de l</w:t>
      </w:r>
      <w:r w:rsidR="00715ACD">
        <w:t>’</w:t>
      </w:r>
      <w:r>
        <w:t>enfant dépasse par exemple le coût de la vie réel pour un seul enfant ou couvre également d</w:t>
      </w:r>
      <w:r w:rsidR="00715ACD">
        <w:t>’</w:t>
      </w:r>
      <w:r>
        <w:t>autres dépenses. Dans ces cas-là, ils devraient être considérés comme des contributions (s</w:t>
      </w:r>
      <w:r w:rsidR="00715ACD">
        <w:t>’</w:t>
      </w:r>
      <w:r>
        <w:t>ils sont obligatoires) ou des dons.</w:t>
      </w:r>
    </w:p>
    <w:p w14:paraId="0FAE8538" w14:textId="13F9ABCA" w:rsidR="00175B3A" w:rsidRPr="002E65D8" w:rsidRDefault="00B73935" w:rsidP="00175B3A">
      <w:pPr>
        <w:pStyle w:val="PBParagraph"/>
      </w:pPr>
      <w:r>
        <w:t>Il convient de préciser que certains États estiment que les frais de prise en charge de l</w:t>
      </w:r>
      <w:r w:rsidR="00715ACD">
        <w:t>’</w:t>
      </w:r>
      <w:r>
        <w:t>enfant ne devraient jamais être considérés comme des frais de la procédure d</w:t>
      </w:r>
      <w:r w:rsidR="00715ACD">
        <w:t>’</w:t>
      </w:r>
      <w:r>
        <w:t>adoption couverts par l</w:t>
      </w:r>
      <w:r w:rsidR="00715ACD">
        <w:t>’</w:t>
      </w:r>
      <w:r>
        <w:t>article 32 de la Convention Adoption de 1993, mais plutôt comme une contribution ou un don. Pour ces États, la prise en charge de tous les enfants qui sont placés en institutions incombe à l</w:t>
      </w:r>
      <w:r w:rsidR="00715ACD">
        <w:t>’</w:t>
      </w:r>
      <w:r>
        <w:t>État d</w:t>
      </w:r>
      <w:r w:rsidR="00715ACD">
        <w:t>’</w:t>
      </w:r>
      <w:r>
        <w:t>origine. « Certaines institutions pour enfants perçoivent ces sommes d</w:t>
      </w:r>
      <w:r w:rsidR="00715ACD">
        <w:t>’</w:t>
      </w:r>
      <w:r>
        <w:t>argent comme un revenu supplémentaire stable et peuvent donc accélérer le processus d</w:t>
      </w:r>
      <w:r w:rsidR="00715ACD">
        <w:t>’</w:t>
      </w:r>
      <w:r>
        <w:t>apparentement pour identifier rapidement les FPA et / ou retarder le moment où l</w:t>
      </w:r>
      <w:r w:rsidR="00715ACD">
        <w:t>’</w:t>
      </w:r>
      <w:r>
        <w:t>enfant leur est confié » (</w:t>
      </w:r>
      <w:r>
        <w:rPr>
          <w:color w:val="FFC000"/>
          <w:shd w:val="clear" w:color="auto" w:fill="FFFFFF" w:themeFill="background1"/>
        </w:rPr>
        <w:t xml:space="preserve">FS3, note </w:t>
      </w:r>
      <w:r>
        <w:rPr>
          <w:color w:val="FFC000"/>
          <w:shd w:val="clear" w:color="auto" w:fill="FFFFFF" w:themeFill="background1"/>
        </w:rPr>
        <w:lastRenderedPageBreak/>
        <w:t>No 4</w:t>
      </w:r>
      <w:r w:rsidR="00C668B1">
        <w:rPr>
          <w:color w:val="FFC000"/>
          <w:shd w:val="clear" w:color="auto" w:fill="FFFFFF" w:themeFill="background1"/>
        </w:rPr>
        <w:t>0</w:t>
      </w:r>
      <w:r>
        <w:t>). Le paiement des frais de prise en charge de l</w:t>
      </w:r>
      <w:r w:rsidR="00715ACD">
        <w:t>’</w:t>
      </w:r>
      <w:r>
        <w:t>enfant risque également de porter atteinte au principe de subsidiarité, en particulier lorsqu</w:t>
      </w:r>
      <w:r w:rsidR="00715ACD">
        <w:t>’</w:t>
      </w:r>
      <w:r>
        <w:t>un tel paiement n</w:t>
      </w:r>
      <w:r w:rsidR="00715ACD">
        <w:t>’</w:t>
      </w:r>
      <w:r>
        <w:t>est demandé que dans le cadre de l</w:t>
      </w:r>
      <w:r w:rsidR="00715ACD">
        <w:t>’</w:t>
      </w:r>
      <w:r>
        <w:t xml:space="preserve">adoption internationale ou lorsque les sommes demandées dépassent </w:t>
      </w:r>
      <w:r w:rsidR="004441B2">
        <w:t>celles</w:t>
      </w:r>
      <w:r>
        <w:t xml:space="preserve"> qui sont payé</w:t>
      </w:r>
      <w:r w:rsidR="004441B2">
        <w:t>e</w:t>
      </w:r>
      <w:r>
        <w:t>s dans le cas d</w:t>
      </w:r>
      <w:r w:rsidR="00715ACD">
        <w:t>’</w:t>
      </w:r>
      <w:r>
        <w:t>adoptions nationales.</w:t>
      </w:r>
    </w:p>
    <w:p w14:paraId="6F01F68E" w14:textId="5237DA58" w:rsidR="00BD465A" w:rsidRPr="00CE0D0C" w:rsidRDefault="0055252F" w:rsidP="004047D5">
      <w:pPr>
        <w:pStyle w:val="Heading3"/>
      </w:pPr>
      <w:bookmarkStart w:id="211" w:name="_Toc236061706"/>
      <w:r w:rsidRPr="00CE0D0C">
        <w:t xml:space="preserve">Feuille de route en matière de coopération entre États concernant la transition vers </w:t>
      </w:r>
      <w:r w:rsidR="00D17FE2" w:rsidRPr="00CE0D0C">
        <w:t>l</w:t>
      </w:r>
      <w:r w:rsidR="00D17FE2">
        <w:t>’absence</w:t>
      </w:r>
      <w:r w:rsidR="00D17FE2" w:rsidRPr="00CE0D0C">
        <w:t xml:space="preserve"> </w:t>
      </w:r>
      <w:r w:rsidRPr="00CE0D0C">
        <w:t>de contribution</w:t>
      </w:r>
      <w:r w:rsidRPr="00CE0D0C" w:rsidDel="000C28B4">
        <w:t>s</w:t>
      </w:r>
      <w:r w:rsidRPr="00CE0D0C">
        <w:t xml:space="preserve">, </w:t>
      </w:r>
      <w:r w:rsidR="00D17FE2">
        <w:t xml:space="preserve">de </w:t>
      </w:r>
      <w:r w:rsidRPr="00CE0D0C">
        <w:t>don</w:t>
      </w:r>
      <w:r w:rsidRPr="00CE0D0C" w:rsidDel="000C28B4">
        <w:t>s</w:t>
      </w:r>
      <w:r w:rsidRPr="00CE0D0C">
        <w:t xml:space="preserve"> </w:t>
      </w:r>
      <w:r w:rsidR="00C4718F">
        <w:t xml:space="preserve">et </w:t>
      </w:r>
      <w:r w:rsidR="00D17FE2">
        <w:t>de</w:t>
      </w:r>
      <w:r w:rsidR="001A59F6">
        <w:t xml:space="preserve"> </w:t>
      </w:r>
      <w:r w:rsidRPr="00CE0D0C">
        <w:t>projet</w:t>
      </w:r>
      <w:r w:rsidRPr="00CE0D0C" w:rsidDel="000C28B4">
        <w:t>s</w:t>
      </w:r>
      <w:r w:rsidRPr="00CE0D0C">
        <w:t xml:space="preserve"> de coopération dans le contexte de l</w:t>
      </w:r>
      <w:r w:rsidR="00715ACD">
        <w:t>’</w:t>
      </w:r>
      <w:r w:rsidRPr="00CE0D0C">
        <w:t>adoption</w:t>
      </w:r>
      <w:bookmarkEnd w:id="211"/>
      <w:r w:rsidRPr="00CE0D0C">
        <w:t xml:space="preserve"> </w:t>
      </w:r>
    </w:p>
    <w:p w14:paraId="0D429BFD" w14:textId="6C4010D0" w:rsidR="00CB7507" w:rsidRPr="002E65D8" w:rsidRDefault="007E0B76" w:rsidP="00CB7507">
      <w:pPr>
        <w:pStyle w:val="PBParagraph"/>
      </w:pPr>
      <w:r>
        <w:t>Certains États enclins à avancer vers le délaissement des contributions, dons et projets de coopération dans le contexte de l</w:t>
      </w:r>
      <w:r w:rsidR="00715ACD">
        <w:t>’</w:t>
      </w:r>
      <w:r>
        <w:t>adoption internationale ont fait face à diverses difficultés qui les ont empêchés d</w:t>
      </w:r>
      <w:r w:rsidR="006E0DBF">
        <w:t xml:space="preserve">’opérer </w:t>
      </w:r>
      <w:r>
        <w:t>cette transition, laquelle doit être perçue comme un processus continu et progressif dont l</w:t>
      </w:r>
      <w:r w:rsidR="00715ACD">
        <w:t>’</w:t>
      </w:r>
      <w:r>
        <w:t xml:space="preserve">objectif est de réduire les risques de pratiques illicites à chaque étape de la procédure. La </w:t>
      </w:r>
      <w:r>
        <w:rPr>
          <w:i/>
          <w:iCs/>
        </w:rPr>
        <w:t>Feuille de route en matière de coopération entre États concernant la transition vers l</w:t>
      </w:r>
      <w:r w:rsidR="00715ACD">
        <w:rPr>
          <w:i/>
          <w:iCs/>
        </w:rPr>
        <w:t>’</w:t>
      </w:r>
      <w:r>
        <w:rPr>
          <w:i/>
          <w:iCs/>
        </w:rPr>
        <w:t>a</w:t>
      </w:r>
      <w:r w:rsidR="00D17FE2">
        <w:rPr>
          <w:i/>
          <w:iCs/>
        </w:rPr>
        <w:t>bsence</w:t>
      </w:r>
      <w:r>
        <w:rPr>
          <w:i/>
          <w:iCs/>
        </w:rPr>
        <w:t xml:space="preserve"> de contribution</w:t>
      </w:r>
      <w:r w:rsidDel="00641299">
        <w:rPr>
          <w:i/>
          <w:iCs/>
        </w:rPr>
        <w:t>s</w:t>
      </w:r>
      <w:r>
        <w:rPr>
          <w:i/>
          <w:iCs/>
        </w:rPr>
        <w:t xml:space="preserve">, </w:t>
      </w:r>
      <w:r w:rsidR="00D17FE2">
        <w:rPr>
          <w:i/>
          <w:iCs/>
        </w:rPr>
        <w:t xml:space="preserve">de </w:t>
      </w:r>
      <w:r>
        <w:rPr>
          <w:i/>
          <w:iCs/>
        </w:rPr>
        <w:t>don</w:t>
      </w:r>
      <w:r w:rsidDel="00641299">
        <w:rPr>
          <w:i/>
          <w:iCs/>
        </w:rPr>
        <w:t>s</w:t>
      </w:r>
      <w:r>
        <w:rPr>
          <w:i/>
          <w:iCs/>
        </w:rPr>
        <w:t xml:space="preserve"> </w:t>
      </w:r>
      <w:r w:rsidDel="00641299">
        <w:rPr>
          <w:i/>
          <w:iCs/>
        </w:rPr>
        <w:t xml:space="preserve">et </w:t>
      </w:r>
      <w:r w:rsidR="00D17FE2">
        <w:rPr>
          <w:i/>
          <w:iCs/>
        </w:rPr>
        <w:t>de</w:t>
      </w:r>
      <w:r w:rsidR="00641299">
        <w:rPr>
          <w:i/>
          <w:iCs/>
        </w:rPr>
        <w:t xml:space="preserve"> </w:t>
      </w:r>
      <w:r>
        <w:rPr>
          <w:i/>
          <w:iCs/>
        </w:rPr>
        <w:t>projet</w:t>
      </w:r>
      <w:r w:rsidDel="00641299">
        <w:rPr>
          <w:i/>
          <w:iCs/>
        </w:rPr>
        <w:t>s</w:t>
      </w:r>
      <w:r>
        <w:rPr>
          <w:i/>
          <w:iCs/>
        </w:rPr>
        <w:t xml:space="preserve"> de coopération dans le contexte de l</w:t>
      </w:r>
      <w:r w:rsidR="00715ACD">
        <w:rPr>
          <w:i/>
          <w:iCs/>
        </w:rPr>
        <w:t>’</w:t>
      </w:r>
      <w:r>
        <w:rPr>
          <w:i/>
          <w:iCs/>
        </w:rPr>
        <w:t>adoption</w:t>
      </w:r>
      <w:r>
        <w:t xml:space="preserve"> est un outil pratique qui a vocation à aider les États à avancer vers cet objectif. </w:t>
      </w:r>
    </w:p>
    <w:p w14:paraId="55CF7E57" w14:textId="70D1F0BF" w:rsidR="00CB7507" w:rsidRPr="002E65D8" w:rsidRDefault="007E0B76" w:rsidP="00CB7507">
      <w:pPr>
        <w:pStyle w:val="PBParagraph"/>
      </w:pPr>
      <w:r>
        <w:t>Les mots clés et les principes essentiels de cette Feuille de route sont coopération et transparence. Les aspects financiers de l</w:t>
      </w:r>
      <w:r w:rsidR="00715ACD">
        <w:t>’</w:t>
      </w:r>
      <w:r>
        <w:t>adoption internationale ne sont pas de la responsabilité exclusive d</w:t>
      </w:r>
      <w:r w:rsidR="00715ACD">
        <w:t>’</w:t>
      </w:r>
      <w:r>
        <w:t>un État d</w:t>
      </w:r>
      <w:r w:rsidR="00715ACD">
        <w:t>’</w:t>
      </w:r>
      <w:r>
        <w:t>accueil ou d</w:t>
      </w:r>
      <w:r w:rsidR="00715ACD">
        <w:t>’</w:t>
      </w:r>
      <w:r>
        <w:t>un État d</w:t>
      </w:r>
      <w:r w:rsidR="00715ACD">
        <w:t>’</w:t>
      </w:r>
      <w:r>
        <w:t>origine. Il s</w:t>
      </w:r>
      <w:r w:rsidR="00715ACD">
        <w:t>’</w:t>
      </w:r>
      <w:r>
        <w:t>agit bel et bien d</w:t>
      </w:r>
      <w:r w:rsidR="00715ACD">
        <w:t>’</w:t>
      </w:r>
      <w:r>
        <w:t>une responsabilité conjointe. La Feuille de route tient compte du fait que l</w:t>
      </w:r>
      <w:r w:rsidR="00715ACD">
        <w:t>’</w:t>
      </w:r>
      <w:r>
        <w:t>Autorité centrale de l</w:t>
      </w:r>
      <w:r w:rsidR="00715ACD">
        <w:t>’</w:t>
      </w:r>
      <w:r>
        <w:t>État d</w:t>
      </w:r>
      <w:r w:rsidR="00715ACD">
        <w:t>’</w:t>
      </w:r>
      <w:r>
        <w:t xml:space="preserve">origine et </w:t>
      </w:r>
      <w:r w:rsidR="006E0DBF">
        <w:t xml:space="preserve">celle </w:t>
      </w:r>
      <w:r>
        <w:t>de l</w:t>
      </w:r>
      <w:r w:rsidR="00715ACD">
        <w:t>’</w:t>
      </w:r>
      <w:r>
        <w:t>État d</w:t>
      </w:r>
      <w:r w:rsidR="00715ACD">
        <w:t>’</w:t>
      </w:r>
      <w:r>
        <w:t>accueil ont chacune leurs propres réalités et difficultés, que ce soit sur le plan culturel, organisationnel ou politique. Les parties prenantes peuvent également varier d</w:t>
      </w:r>
      <w:r w:rsidR="00715ACD">
        <w:t>’</w:t>
      </w:r>
      <w:r>
        <w:t>un État à l</w:t>
      </w:r>
      <w:r w:rsidR="00715ACD">
        <w:t>’</w:t>
      </w:r>
      <w:r>
        <w:t>autre. Les deux États ont des activités à mener à chaque étape de la Feuille de route. La coopération et le partage d</w:t>
      </w:r>
      <w:r w:rsidR="00715ACD">
        <w:t>’</w:t>
      </w:r>
      <w:r>
        <w:t>informations et d</w:t>
      </w:r>
      <w:r w:rsidR="00715ACD">
        <w:t>’</w:t>
      </w:r>
      <w:r>
        <w:t>expériences sont indispensables au processus étape par étape présenté dans la Feuille de route. L</w:t>
      </w:r>
      <w:r w:rsidR="00715ACD">
        <w:t>’</w:t>
      </w:r>
      <w:r>
        <w:t>identité de la partie responsable de chaque activité est laissée vide pour permettre aux États de la définir, ce qui leur permet d</w:t>
      </w:r>
      <w:r w:rsidR="00715ACD">
        <w:t>’</w:t>
      </w:r>
      <w:r>
        <w:t>adapter l</w:t>
      </w:r>
      <w:r w:rsidR="00715ACD">
        <w:t>’</w:t>
      </w:r>
      <w:r>
        <w:t>outil à leurs besoins individuels.</w:t>
      </w:r>
    </w:p>
    <w:p w14:paraId="0B43466D" w14:textId="427C4EF8" w:rsidR="00AD0A8B" w:rsidRPr="002E65D8" w:rsidRDefault="00AD0A8B" w:rsidP="00065489">
      <w:pPr>
        <w:pStyle w:val="Heading2"/>
      </w:pPr>
      <w:bookmarkStart w:id="212" w:name="_Toc184237789"/>
      <w:bookmarkStart w:id="213" w:name="_Toc227929517"/>
      <w:bookmarkStart w:id="214" w:name="_Toc227930142"/>
      <w:bookmarkStart w:id="215" w:name="_Toc227929519"/>
      <w:bookmarkStart w:id="216" w:name="_Toc227930144"/>
      <w:bookmarkStart w:id="217" w:name="_Toc226535518"/>
      <w:bookmarkStart w:id="218" w:name="_Toc236061707"/>
      <w:bookmarkEnd w:id="205"/>
      <w:bookmarkEnd w:id="212"/>
      <w:bookmarkEnd w:id="213"/>
      <w:bookmarkEnd w:id="214"/>
      <w:bookmarkEnd w:id="215"/>
      <w:bookmarkEnd w:id="216"/>
      <w:r>
        <w:t xml:space="preserve">Autorisation possible des contributions, dons et / ou projets de coopération par un État, à condition que des garanties solides et complètes </w:t>
      </w:r>
      <w:bookmarkEnd w:id="217"/>
      <w:r>
        <w:t>soient mises en œuvre</w:t>
      </w:r>
      <w:bookmarkEnd w:id="218"/>
    </w:p>
    <w:p w14:paraId="7DDE8CF0" w14:textId="6328D6EB" w:rsidR="008A08D8" w:rsidRPr="002E65D8" w:rsidRDefault="008A08D8" w:rsidP="00651B96">
      <w:pPr>
        <w:pStyle w:val="Heading3"/>
      </w:pPr>
      <w:bookmarkStart w:id="219" w:name="_Toc227929526"/>
      <w:bookmarkStart w:id="220" w:name="_Toc227930151"/>
      <w:bookmarkStart w:id="221" w:name="_Toc236061708"/>
      <w:bookmarkEnd w:id="219"/>
      <w:bookmarkEnd w:id="220"/>
      <w:r>
        <w:t>Contexte</w:t>
      </w:r>
      <w:bookmarkEnd w:id="221"/>
      <w:r>
        <w:t xml:space="preserve"> </w:t>
      </w:r>
    </w:p>
    <w:p w14:paraId="033E4797" w14:textId="410DD2E3" w:rsidR="009B65E5" w:rsidRPr="002E65D8" w:rsidRDefault="00AE2B06" w:rsidP="009B65E5">
      <w:pPr>
        <w:pStyle w:val="PBParagraph"/>
      </w:pPr>
      <w:r>
        <w:t xml:space="preserve">Si la plupart des États sont convenus, à la réunion de la </w:t>
      </w:r>
      <w:r w:rsidR="00A46EEF">
        <w:t>CS</w:t>
      </w:r>
      <w:r>
        <w:t xml:space="preserve"> de 2022, que les contributions, dons et projets de coopération ne devraient pas survenir dans le cadre de l</w:t>
      </w:r>
      <w:r w:rsidR="00715ACD">
        <w:t>’</w:t>
      </w:r>
      <w:r>
        <w:t>adoption internationale, certains États estiment qu</w:t>
      </w:r>
      <w:r w:rsidR="00715ACD">
        <w:t>’</w:t>
      </w:r>
      <w:r>
        <w:t>ils peuvent être autorisés à condition que des garanties solides et complètes, notamment en matière de réglementation, de suivi et de supervision, soient mises en œuvre pour éviter toute influence indue sur la procédure d</w:t>
      </w:r>
      <w:r w:rsidR="00715ACD">
        <w:t>’</w:t>
      </w:r>
      <w:r>
        <w:t xml:space="preserve">adoption. La </w:t>
      </w:r>
      <w:r w:rsidR="00797E0D">
        <w:t xml:space="preserve">CS </w:t>
      </w:r>
      <w:r>
        <w:t>a toutefois relevé que 1) la « distinction inexistante entre les contributions, dons ou projets de coopération et les coûts et honoraires réels d</w:t>
      </w:r>
      <w:r w:rsidR="00715ACD">
        <w:t>’</w:t>
      </w:r>
      <w:r>
        <w:t xml:space="preserve">une adoption, ainsi que </w:t>
      </w:r>
      <w:r w:rsidR="00912187">
        <w:t xml:space="preserve">de </w:t>
      </w:r>
      <w:r>
        <w:t>la procédure d</w:t>
      </w:r>
      <w:r w:rsidR="00715ACD">
        <w:t>’</w:t>
      </w:r>
      <w:r>
        <w:t>adoption internationale dans son ensemble » (</w:t>
      </w:r>
      <w:r>
        <w:rPr>
          <w:color w:val="EE0000"/>
        </w:rPr>
        <w:t xml:space="preserve">FS3, </w:t>
      </w:r>
      <w:r w:rsidR="00250381">
        <w:rPr>
          <w:color w:val="EE0000"/>
        </w:rPr>
        <w:t>boîte </w:t>
      </w:r>
      <w:r w:rsidR="00771599">
        <w:rPr>
          <w:color w:val="EE0000"/>
        </w:rPr>
        <w:t>0</w:t>
      </w:r>
      <w:r>
        <w:rPr>
          <w:color w:val="EE0000"/>
        </w:rPr>
        <w:t>7</w:t>
      </w:r>
      <w:r>
        <w:t>), et 2) « la coopération avec des États en particulier influencée par le montant des contributions, des dons ou du soutien aux projets de</w:t>
      </w:r>
      <w:r w:rsidR="008B6958">
        <w:t xml:space="preserve"> coopération </w:t>
      </w:r>
      <w:r>
        <w:t>» constituent néanmoins des pratiques illicites</w:t>
      </w:r>
      <w:r w:rsidR="009B65E5" w:rsidRPr="002E65D8">
        <w:rPr>
          <w:rStyle w:val="FootnoteReference"/>
        </w:rPr>
        <w:footnoteReference w:id="324"/>
      </w:r>
      <w:r>
        <w:t>.</w:t>
      </w:r>
    </w:p>
    <w:p w14:paraId="0AA57FCD" w14:textId="4A601FE9" w:rsidR="0030236C" w:rsidRPr="002E65D8" w:rsidRDefault="00EC4472" w:rsidP="002B3E72">
      <w:pPr>
        <w:pStyle w:val="PBParagraph"/>
      </w:pPr>
      <w:bookmarkStart w:id="222" w:name="_Ref212145044"/>
      <w:r>
        <w:t xml:space="preserve">« [D]ans tous les cas, une </w:t>
      </w:r>
      <w:r>
        <w:rPr>
          <w:b/>
          <w:bCs/>
        </w:rPr>
        <w:t>distinction claire</w:t>
      </w:r>
      <w:r>
        <w:t xml:space="preserve"> entre l</w:t>
      </w:r>
      <w:r w:rsidR="00715ACD">
        <w:t>’</w:t>
      </w:r>
      <w:r>
        <w:t>adoption internationale (les coûts réels d</w:t>
      </w:r>
      <w:r w:rsidR="00715ACD">
        <w:t>’</w:t>
      </w:r>
      <w:r>
        <w:t>une adoption) et les contributions, dons et projets de coopération (aide au développement) » devrait être établie (</w:t>
      </w:r>
      <w:r>
        <w:rPr>
          <w:color w:val="00B050"/>
        </w:rPr>
        <w:t xml:space="preserve">FS3, </w:t>
      </w:r>
      <w:r w:rsidR="00250381">
        <w:rPr>
          <w:color w:val="00B050"/>
        </w:rPr>
        <w:t>boîte </w:t>
      </w:r>
      <w:r w:rsidR="00771599">
        <w:rPr>
          <w:color w:val="00B050"/>
        </w:rPr>
        <w:t>0</w:t>
      </w:r>
      <w:r>
        <w:rPr>
          <w:color w:val="00B050"/>
        </w:rPr>
        <w:t>7.1</w:t>
      </w:r>
      <w:r>
        <w:t>).</w:t>
      </w:r>
      <w:bookmarkEnd w:id="222"/>
    </w:p>
    <w:p w14:paraId="0DD6DCE1" w14:textId="64B5187E" w:rsidR="00B34C93" w:rsidRPr="002E65D8" w:rsidRDefault="00060E97" w:rsidP="00B34C93">
      <w:pPr>
        <w:pStyle w:val="PBParagraph"/>
      </w:pPr>
      <w:r>
        <w:t>De nombreux États ont constaté que les (futurs) parents adoptifs développent un vif intérêt pour le bien-être des enfants dans les États d</w:t>
      </w:r>
      <w:r w:rsidR="00715ACD">
        <w:t>’</w:t>
      </w:r>
      <w:r>
        <w:t>origine pendant la procédure d</w:t>
      </w:r>
      <w:r w:rsidR="00715ACD">
        <w:t>’</w:t>
      </w:r>
      <w:r>
        <w:t xml:space="preserve">adoption internationale et nouent des liens étroits avec ce domaine. Les FPA peuvent vouloir aider les enfants qui ne sont pas adoptés. Les dons, notamment, interviennent souvent sous forme de petits cadeaux non </w:t>
      </w:r>
      <w:r>
        <w:lastRenderedPageBreak/>
        <w:t>pécuniaires au profit d</w:t>
      </w:r>
      <w:r w:rsidR="00715ACD">
        <w:t>’</w:t>
      </w:r>
      <w:r>
        <w:t>autres enfants ou pour remercier les personnes qui ont pris soin de leur</w:t>
      </w:r>
      <w:r w:rsidR="000815C8">
        <w:t>(s)</w:t>
      </w:r>
      <w:r>
        <w:t xml:space="preserve"> enfant</w:t>
      </w:r>
      <w:r w:rsidR="000815C8">
        <w:t>(s)</w:t>
      </w:r>
      <w:r>
        <w:t>. Ils n</w:t>
      </w:r>
      <w:r w:rsidR="00715ACD">
        <w:t>’</w:t>
      </w:r>
      <w:r>
        <w:t>ont souvent pas une valeur financière importante et ne devraient pas, en soi, avoir une influence sur l</w:t>
      </w:r>
      <w:r w:rsidR="00715ACD">
        <w:t>’</w:t>
      </w:r>
      <w:r>
        <w:t xml:space="preserve">apparentement. </w:t>
      </w:r>
    </w:p>
    <w:p w14:paraId="7A3B0155" w14:textId="1279745D" w:rsidR="00655482" w:rsidRPr="002E65D8" w:rsidRDefault="009B65E5" w:rsidP="009B65E5">
      <w:pPr>
        <w:pStyle w:val="PBParagraph"/>
      </w:pPr>
      <w:r>
        <w:t>Certains États voient un intérêt à encourager le soutien en faveur d</w:t>
      </w:r>
      <w:r w:rsidR="00715ACD">
        <w:t>’</w:t>
      </w:r>
      <w:r>
        <w:t>autres programmes d</w:t>
      </w:r>
      <w:r w:rsidR="00715ACD">
        <w:t>’</w:t>
      </w:r>
      <w:r>
        <w:t>aide au profit des enfants d</w:t>
      </w:r>
      <w:r w:rsidR="00715ACD">
        <w:t>’</w:t>
      </w:r>
      <w:r>
        <w:t>un État d</w:t>
      </w:r>
      <w:r w:rsidR="00715ACD">
        <w:t>’</w:t>
      </w:r>
      <w:r>
        <w:t>origine qui n</w:t>
      </w:r>
      <w:r w:rsidR="00715ACD">
        <w:t>’</w:t>
      </w:r>
      <w:r>
        <w:t xml:space="preserve">ont aucun lien avec des adoptions internationales spécifiques. Certains dons, contributions et projets de coopération </w:t>
      </w:r>
      <w:r w:rsidR="00797E0D">
        <w:t>o</w:t>
      </w:r>
      <w:r>
        <w:t>nt explicitement vocation à renforcer les systèmes de protection des enfants dans les États d</w:t>
      </w:r>
      <w:r w:rsidR="00715ACD">
        <w:t>’</w:t>
      </w:r>
      <w:r>
        <w:t>origine, y compris pour soutenir des solutions de remplacement à l</w:t>
      </w:r>
      <w:r w:rsidR="00715ACD">
        <w:t>’</w:t>
      </w:r>
      <w:r>
        <w:t>adoption internationale qui recouvrent le renforcement de la protection familiale.</w:t>
      </w:r>
    </w:p>
    <w:p w14:paraId="593A472B" w14:textId="5871DE6A" w:rsidR="00011C9C" w:rsidRPr="002E65D8" w:rsidRDefault="3FCE7B70">
      <w:pPr>
        <w:pStyle w:val="PBParagraph"/>
      </w:pPr>
      <w:r>
        <w:t>Enfin, certains États considèrent que la réglementation, le suivi et la supervision peuvent promouvoir la transparence, tout en réduisant le risque que de telles activités surviennent hors d</w:t>
      </w:r>
      <w:r w:rsidR="00715ACD">
        <w:t>’</w:t>
      </w:r>
      <w:r>
        <w:t xml:space="preserve">un contrôle approprié. </w:t>
      </w:r>
    </w:p>
    <w:p w14:paraId="673747CC" w14:textId="77777777" w:rsidR="005C791A" w:rsidRPr="002E65D8" w:rsidRDefault="005C791A" w:rsidP="004047D5">
      <w:pPr>
        <w:pStyle w:val="Heading3"/>
      </w:pPr>
      <w:bookmarkStart w:id="223" w:name="_Toc165640965"/>
      <w:bookmarkStart w:id="224" w:name="_Toc236061709"/>
      <w:bookmarkEnd w:id="223"/>
      <w:r>
        <w:t>Garanties</w:t>
      </w:r>
      <w:bookmarkEnd w:id="224"/>
    </w:p>
    <w:p w14:paraId="6C9F1099" w14:textId="236E5F0D" w:rsidR="00655482" w:rsidRPr="002E65D8" w:rsidRDefault="00F662C5" w:rsidP="00651B96">
      <w:pPr>
        <w:pStyle w:val="PBParagraph"/>
      </w:pPr>
      <w:bookmarkStart w:id="225" w:name="_Ref210749646"/>
      <w:r>
        <w:t xml:space="preserve">La </w:t>
      </w:r>
      <w:r w:rsidR="00617C80">
        <w:t>CS</w:t>
      </w:r>
      <w:r>
        <w:t xml:space="preserve"> a « rappel[é] qu</w:t>
      </w:r>
      <w:r w:rsidR="00715ACD">
        <w:t>’</w:t>
      </w:r>
      <w:r>
        <w:t>une distinction claire devrait être opérée entre, d</w:t>
      </w:r>
      <w:r w:rsidR="00715ACD">
        <w:t>’</w:t>
      </w:r>
      <w:r>
        <w:t>une part, les coûts et les frais éventuels de la procédure d</w:t>
      </w:r>
      <w:r w:rsidR="00715ACD">
        <w:t>’</w:t>
      </w:r>
      <w:r>
        <w:t>adoption et, d</w:t>
      </w:r>
      <w:r w:rsidR="00715ACD">
        <w:t>’</w:t>
      </w:r>
      <w:r>
        <w:t>autre part, les contributions, les dons et les projets de coopération ».</w:t>
      </w:r>
      <w:r>
        <w:rPr>
          <w:rStyle w:val="FootnoteReference"/>
        </w:rPr>
        <w:t xml:space="preserve"> </w:t>
      </w:r>
      <w:r>
        <w:t>Les États devraient mettre en œuvre des garanties solides et complètes pour veiller à ce qu</w:t>
      </w:r>
      <w:r w:rsidR="00715ACD">
        <w:t>’</w:t>
      </w:r>
      <w:r>
        <w:t>une telle séparation permette d</w:t>
      </w:r>
      <w:r w:rsidR="00715ACD">
        <w:t>’</w:t>
      </w:r>
      <w:r>
        <w:t>éviter les risques d</w:t>
      </w:r>
      <w:r w:rsidR="00715ACD">
        <w:t>’</w:t>
      </w:r>
      <w:r>
        <w:t>influence indue.</w:t>
      </w:r>
      <w:bookmarkEnd w:id="225"/>
    </w:p>
    <w:p w14:paraId="6AA2BCCA" w14:textId="5C4147B1" w:rsidR="00D8657E" w:rsidRPr="002E65D8" w:rsidRDefault="00250C23" w:rsidP="00491B5C">
      <w:pPr>
        <w:pStyle w:val="PBParagraph"/>
      </w:pPr>
      <w:bookmarkStart w:id="226" w:name="_Ref211003087"/>
      <w:r>
        <w:t>Outre une distinction claire entre les contributions, dons et projets de coopération et la procédure d</w:t>
      </w:r>
      <w:r w:rsidR="00715ACD">
        <w:t>’</w:t>
      </w:r>
      <w:r>
        <w:t>adoption, il est indispensable de respecter en toutes circonstances des garanties générales en matière de transparence et de caractère raisonnable, comme le prescrit le chapitre </w:t>
      </w:r>
      <w:r w:rsidRPr="002E65D8">
        <w:fldChar w:fldCharType="begin"/>
      </w:r>
      <w:r w:rsidRPr="002E65D8">
        <w:instrText xml:space="preserve"> REF _Ref211003302 \r \h </w:instrText>
      </w:r>
      <w:r w:rsidR="002E65D8">
        <w:instrText xml:space="preserve"> \* MERGEFORMAT </w:instrText>
      </w:r>
      <w:r w:rsidRPr="002E65D8">
        <w:fldChar w:fldCharType="separate"/>
      </w:r>
      <w:r w:rsidR="00E6549D">
        <w:t>6</w:t>
      </w:r>
      <w:r w:rsidRPr="002E65D8">
        <w:fldChar w:fldCharType="end"/>
      </w:r>
      <w:r>
        <w:t>. Il s</w:t>
      </w:r>
      <w:r w:rsidR="00715ACD">
        <w:t>’</w:t>
      </w:r>
      <w:r>
        <w:t>agit notamment,</w:t>
      </w:r>
      <w:r w:rsidR="00E6549D">
        <w:t xml:space="preserve"> </w:t>
      </w:r>
    </w:p>
    <w:p w14:paraId="07502871" w14:textId="71E76BCD" w:rsidR="006625D5" w:rsidRPr="002E65D8" w:rsidRDefault="006625D5" w:rsidP="00D8657E">
      <w:pPr>
        <w:pStyle w:val="PBBulletList"/>
      </w:pPr>
      <w:r>
        <w:t>pour ce qui est de la transparence (chapitre </w:t>
      </w:r>
      <w:r w:rsidR="00E113FE" w:rsidRPr="002E65D8">
        <w:fldChar w:fldCharType="begin"/>
      </w:r>
      <w:r w:rsidR="00E113FE" w:rsidRPr="002E65D8">
        <w:instrText xml:space="preserve"> REF _Ref212145702 \r \h </w:instrText>
      </w:r>
      <w:r w:rsidR="002E65D8">
        <w:instrText xml:space="preserve"> \* MERGEFORMAT </w:instrText>
      </w:r>
      <w:r w:rsidR="00E113FE" w:rsidRPr="002E65D8">
        <w:fldChar w:fldCharType="separate"/>
      </w:r>
      <w:r w:rsidR="00E6549D">
        <w:t>6.1</w:t>
      </w:r>
      <w:r w:rsidR="00E113FE" w:rsidRPr="002E65D8">
        <w:fldChar w:fldCharType="end"/>
      </w:r>
      <w:r>
        <w:t xml:space="preserve">) : </w:t>
      </w:r>
    </w:p>
    <w:p w14:paraId="5BC954AB" w14:textId="3B7A32D8" w:rsidR="00A87427" w:rsidRPr="002E65D8" w:rsidRDefault="001141AF" w:rsidP="00B62150">
      <w:pPr>
        <w:pStyle w:val="PBBulletList"/>
        <w:numPr>
          <w:ilvl w:val="1"/>
          <w:numId w:val="9"/>
        </w:numPr>
      </w:pPr>
      <w:r w:rsidRPr="002E65D8">
        <w:fldChar w:fldCharType="begin"/>
      </w:r>
      <w:r w:rsidRPr="002E65D8">
        <w:instrText xml:space="preserve"> REF _Ref211256024 \h </w:instrText>
      </w:r>
      <w:r w:rsidR="002E65D8">
        <w:instrText xml:space="preserve"> \* MERGEFORMAT </w:instrText>
      </w:r>
      <w:r w:rsidRPr="002E65D8">
        <w:fldChar w:fldCharType="separate"/>
      </w:r>
      <w:r w:rsidR="00E6549D">
        <w:t>Recueillir des données exhaustives</w:t>
      </w:r>
      <w:r w:rsidRPr="002E65D8">
        <w:fldChar w:fldCharType="end"/>
      </w:r>
      <w:r>
        <w:t xml:space="preserve"> (voir para. </w:t>
      </w:r>
      <w:r w:rsidR="0032443E" w:rsidRPr="002E65D8">
        <w:fldChar w:fldCharType="begin"/>
      </w:r>
      <w:r w:rsidR="0032443E" w:rsidRPr="002E65D8">
        <w:instrText xml:space="preserve"> REF _Ref209372013 \r \h </w:instrText>
      </w:r>
      <w:r w:rsidR="002E65D8">
        <w:instrText xml:space="preserve"> \* MERGEFORMAT </w:instrText>
      </w:r>
      <w:r w:rsidR="0032443E" w:rsidRPr="002E65D8">
        <w:fldChar w:fldCharType="separate"/>
      </w:r>
      <w:r w:rsidR="00E6549D">
        <w:t>117</w:t>
      </w:r>
      <w:r w:rsidR="0032443E" w:rsidRPr="002E65D8">
        <w:fldChar w:fldCharType="end"/>
      </w:r>
      <w:r>
        <w:t xml:space="preserve"> à </w:t>
      </w:r>
      <w:r w:rsidR="00D32EC3" w:rsidRPr="002E65D8">
        <w:fldChar w:fldCharType="begin"/>
      </w:r>
      <w:r w:rsidR="00D32EC3" w:rsidRPr="002E65D8">
        <w:instrText xml:space="preserve"> REF _Ref209372014 \r \h </w:instrText>
      </w:r>
      <w:r w:rsidR="002E65D8">
        <w:instrText xml:space="preserve"> \* MERGEFORMAT </w:instrText>
      </w:r>
      <w:r w:rsidR="00D32EC3" w:rsidRPr="002E65D8">
        <w:fldChar w:fldCharType="separate"/>
      </w:r>
      <w:r w:rsidR="00E6549D">
        <w:t>119</w:t>
      </w:r>
      <w:r w:rsidR="00D32EC3" w:rsidRPr="002E65D8">
        <w:fldChar w:fldCharType="end"/>
      </w:r>
      <w:r>
        <w:t xml:space="preserve"> ci-dessus) ; </w:t>
      </w:r>
    </w:p>
    <w:p w14:paraId="6126748E" w14:textId="6E179B32" w:rsidR="00D8657E" w:rsidRPr="002E65D8" w:rsidRDefault="001141AF" w:rsidP="00F70C36">
      <w:pPr>
        <w:pStyle w:val="PBBulletList"/>
        <w:numPr>
          <w:ilvl w:val="1"/>
          <w:numId w:val="9"/>
        </w:numPr>
      </w:pPr>
      <w:r w:rsidRPr="002E65D8">
        <w:fldChar w:fldCharType="begin"/>
      </w:r>
      <w:r w:rsidRPr="002E65D8">
        <w:instrText xml:space="preserve"> REF _Ref211256033 \h </w:instrText>
      </w:r>
      <w:r w:rsidR="002E65D8">
        <w:instrText xml:space="preserve"> \* MERGEFORMAT </w:instrText>
      </w:r>
      <w:r w:rsidRPr="002E65D8">
        <w:fldChar w:fldCharType="separate"/>
      </w:r>
      <w:r w:rsidR="00E6549D">
        <w:t>Fournir des informations exactes et à jour</w:t>
      </w:r>
      <w:r w:rsidRPr="002E65D8">
        <w:fldChar w:fldCharType="end"/>
      </w:r>
      <w:r>
        <w:t xml:space="preserve"> (voir para. </w:t>
      </w:r>
      <w:r w:rsidR="00975DAB" w:rsidRPr="002E65D8">
        <w:fldChar w:fldCharType="begin"/>
      </w:r>
      <w:r w:rsidR="00975DAB" w:rsidRPr="002E65D8">
        <w:instrText xml:space="preserve"> REF _Ref210988132 \r \h </w:instrText>
      </w:r>
      <w:r w:rsidR="002E65D8">
        <w:instrText xml:space="preserve"> \* MERGEFORMAT </w:instrText>
      </w:r>
      <w:r w:rsidR="00975DAB" w:rsidRPr="002E65D8">
        <w:fldChar w:fldCharType="separate"/>
      </w:r>
      <w:r w:rsidR="00E6549D">
        <w:t>120</w:t>
      </w:r>
      <w:r w:rsidR="00975DAB" w:rsidRPr="002E65D8">
        <w:fldChar w:fldCharType="end"/>
      </w:r>
      <w:r>
        <w:t xml:space="preserve"> à </w:t>
      </w:r>
      <w:r w:rsidR="00D704CC" w:rsidRPr="002E65D8">
        <w:fldChar w:fldCharType="begin"/>
      </w:r>
      <w:r w:rsidR="00D704CC" w:rsidRPr="002E65D8">
        <w:instrText xml:space="preserve"> REF _Ref211255565 \r \h </w:instrText>
      </w:r>
      <w:r w:rsidR="002E65D8">
        <w:instrText xml:space="preserve"> \* MERGEFORMAT </w:instrText>
      </w:r>
      <w:r w:rsidR="00D704CC" w:rsidRPr="002E65D8">
        <w:fldChar w:fldCharType="separate"/>
      </w:r>
      <w:r w:rsidR="00E6549D">
        <w:t>123</w:t>
      </w:r>
      <w:r w:rsidR="00D704CC" w:rsidRPr="002E65D8">
        <w:fldChar w:fldCharType="end"/>
      </w:r>
      <w:r>
        <w:t xml:space="preserve"> ci-dessus) ; </w:t>
      </w:r>
    </w:p>
    <w:p w14:paraId="666A1E87" w14:textId="375F5BEC" w:rsidR="00B53DDE" w:rsidRPr="002E65D8" w:rsidRDefault="001141AF" w:rsidP="00B62150">
      <w:pPr>
        <w:pStyle w:val="PBBulletList"/>
        <w:numPr>
          <w:ilvl w:val="1"/>
          <w:numId w:val="9"/>
        </w:numPr>
      </w:pPr>
      <w:r w:rsidRPr="002E65D8">
        <w:fldChar w:fldCharType="begin"/>
      </w:r>
      <w:r w:rsidRPr="002E65D8">
        <w:instrText xml:space="preserve"> REF _Ref211256042 \h </w:instrText>
      </w:r>
      <w:r w:rsidR="002E65D8">
        <w:instrText xml:space="preserve"> \* MERGEFORMAT </w:instrText>
      </w:r>
      <w:r w:rsidRPr="002E65D8">
        <w:fldChar w:fldCharType="separate"/>
      </w:r>
      <w:r w:rsidR="00E6549D">
        <w:t>Distinguer les frais, les honoraires et les contributions</w:t>
      </w:r>
      <w:r w:rsidRPr="002E65D8">
        <w:fldChar w:fldCharType="end"/>
      </w:r>
      <w:r>
        <w:t xml:space="preserve"> (voir para. </w:t>
      </w:r>
      <w:r w:rsidR="00FC1A78" w:rsidRPr="002E65D8">
        <w:fldChar w:fldCharType="begin"/>
      </w:r>
      <w:r w:rsidR="00FC1A78" w:rsidRPr="002E65D8">
        <w:instrText xml:space="preserve"> REF _Ref211255663 \r \h </w:instrText>
      </w:r>
      <w:r w:rsidR="002E65D8">
        <w:instrText xml:space="preserve"> \* MERGEFORMAT </w:instrText>
      </w:r>
      <w:r w:rsidR="00FC1A78" w:rsidRPr="002E65D8">
        <w:fldChar w:fldCharType="separate"/>
      </w:r>
      <w:r w:rsidR="00E6549D">
        <w:t>124</w:t>
      </w:r>
      <w:r w:rsidR="00FC1A78" w:rsidRPr="002E65D8">
        <w:fldChar w:fldCharType="end"/>
      </w:r>
      <w:r>
        <w:t xml:space="preserve"> et </w:t>
      </w:r>
      <w:r w:rsidR="00FC1A78" w:rsidRPr="002E65D8">
        <w:fldChar w:fldCharType="begin"/>
      </w:r>
      <w:r w:rsidR="00FC1A78" w:rsidRPr="002E65D8">
        <w:instrText xml:space="preserve"> REF _Ref211255673 \r \h </w:instrText>
      </w:r>
      <w:r w:rsidR="002E65D8">
        <w:instrText xml:space="preserve"> \* MERGEFORMAT </w:instrText>
      </w:r>
      <w:r w:rsidR="00FC1A78" w:rsidRPr="002E65D8">
        <w:fldChar w:fldCharType="separate"/>
      </w:r>
      <w:r w:rsidR="00E6549D">
        <w:t>125</w:t>
      </w:r>
      <w:r w:rsidR="00FC1A78" w:rsidRPr="002E65D8">
        <w:fldChar w:fldCharType="end"/>
      </w:r>
      <w:r>
        <w:t xml:space="preserve"> ci-dessus) ; </w:t>
      </w:r>
    </w:p>
    <w:p w14:paraId="27C264BD" w14:textId="1D3CAB0B" w:rsidR="00D8657E" w:rsidRPr="002E65D8" w:rsidRDefault="001141AF" w:rsidP="00B62150">
      <w:pPr>
        <w:pStyle w:val="PBBulletList"/>
        <w:numPr>
          <w:ilvl w:val="1"/>
          <w:numId w:val="9"/>
        </w:numPr>
      </w:pPr>
      <w:r w:rsidRPr="002E65D8">
        <w:fldChar w:fldCharType="begin"/>
      </w:r>
      <w:r w:rsidRPr="002E65D8">
        <w:instrText xml:space="preserve"> REF _Ref211256048 \h </w:instrText>
      </w:r>
      <w:r w:rsidR="002E65D8">
        <w:instrText xml:space="preserve"> \* MERGEFORMAT </w:instrText>
      </w:r>
      <w:r w:rsidRPr="002E65D8">
        <w:fldChar w:fldCharType="separate"/>
      </w:r>
      <w:r w:rsidR="00E6549D">
        <w:t>Assurer une large publicité</w:t>
      </w:r>
      <w:r w:rsidRPr="002E65D8">
        <w:fldChar w:fldCharType="end"/>
      </w:r>
      <w:r>
        <w:t xml:space="preserve"> (para. </w:t>
      </w:r>
      <w:r w:rsidR="00CC0A2B" w:rsidRPr="002E65D8">
        <w:fldChar w:fldCharType="begin"/>
      </w:r>
      <w:r w:rsidR="00CC0A2B" w:rsidRPr="002E65D8">
        <w:instrText xml:space="preserve"> REF _Ref210732622 \r \h </w:instrText>
      </w:r>
      <w:r w:rsidR="002E65D8">
        <w:instrText xml:space="preserve"> \* MERGEFORMAT </w:instrText>
      </w:r>
      <w:r w:rsidR="00CC0A2B" w:rsidRPr="002E65D8">
        <w:fldChar w:fldCharType="separate"/>
      </w:r>
      <w:r w:rsidR="00E6549D">
        <w:t>126</w:t>
      </w:r>
      <w:r w:rsidR="00CC0A2B" w:rsidRPr="002E65D8">
        <w:fldChar w:fldCharType="end"/>
      </w:r>
      <w:r>
        <w:t xml:space="preserve">) ; </w:t>
      </w:r>
    </w:p>
    <w:p w14:paraId="44DC9741" w14:textId="4D6B30CD" w:rsidR="00D8657E" w:rsidRPr="002E65D8" w:rsidRDefault="00D57179" w:rsidP="00B62150">
      <w:pPr>
        <w:pStyle w:val="PBBulletList"/>
        <w:numPr>
          <w:ilvl w:val="1"/>
          <w:numId w:val="9"/>
        </w:numPr>
      </w:pPr>
      <w:r w:rsidRPr="002E65D8">
        <w:fldChar w:fldCharType="begin"/>
      </w:r>
      <w:r w:rsidRPr="002E65D8">
        <w:instrText xml:space="preserve"> REF _Ref211256060 \h </w:instrText>
      </w:r>
      <w:r w:rsidR="002E65D8">
        <w:instrText xml:space="preserve"> \* MERGEFORMAT </w:instrText>
      </w:r>
      <w:r w:rsidRPr="002E65D8">
        <w:fldChar w:fldCharType="separate"/>
      </w:r>
      <w:r w:rsidR="00E6549D">
        <w:t>Informer préalablement les FPA de tous les frais qu’ils auront à supporter et leur proposer un échéancier</w:t>
      </w:r>
      <w:r w:rsidRPr="002E65D8">
        <w:fldChar w:fldCharType="end"/>
      </w:r>
      <w:r>
        <w:t xml:space="preserve"> (para. </w:t>
      </w:r>
      <w:r w:rsidR="005E3A49" w:rsidRPr="002E65D8">
        <w:fldChar w:fldCharType="begin"/>
      </w:r>
      <w:r w:rsidR="005E3A49" w:rsidRPr="002E65D8">
        <w:instrText xml:space="preserve"> REF _Ref210732167 \r \h </w:instrText>
      </w:r>
      <w:r w:rsidR="002E65D8">
        <w:instrText xml:space="preserve"> \* MERGEFORMAT </w:instrText>
      </w:r>
      <w:r w:rsidR="005E3A49" w:rsidRPr="002E65D8">
        <w:fldChar w:fldCharType="separate"/>
      </w:r>
      <w:r w:rsidR="00E6549D">
        <w:t>127</w:t>
      </w:r>
      <w:r w:rsidR="005E3A49" w:rsidRPr="002E65D8">
        <w:fldChar w:fldCharType="end"/>
      </w:r>
      <w:r>
        <w:t xml:space="preserve"> à </w:t>
      </w:r>
      <w:r w:rsidR="005E3A49" w:rsidRPr="002E65D8">
        <w:fldChar w:fldCharType="begin"/>
      </w:r>
      <w:r w:rsidR="005E3A49" w:rsidRPr="002E65D8">
        <w:instrText xml:space="preserve"> REF _Ref210732175 \r \h </w:instrText>
      </w:r>
      <w:r w:rsidR="002E65D8">
        <w:instrText xml:space="preserve"> \* MERGEFORMAT </w:instrText>
      </w:r>
      <w:r w:rsidR="005E3A49" w:rsidRPr="002E65D8">
        <w:fldChar w:fldCharType="separate"/>
      </w:r>
      <w:r w:rsidR="00E6549D">
        <w:t>129</w:t>
      </w:r>
      <w:r w:rsidR="005E3A49" w:rsidRPr="002E65D8">
        <w:fldChar w:fldCharType="end"/>
      </w:r>
      <w:r>
        <w:t xml:space="preserve"> ci-dessus), </w:t>
      </w:r>
    </w:p>
    <w:p w14:paraId="72255C92" w14:textId="49EED9C6" w:rsidR="00EF116E" w:rsidRPr="002E65D8" w:rsidRDefault="00D57179" w:rsidP="00B62150">
      <w:pPr>
        <w:pStyle w:val="PBBulletList"/>
        <w:numPr>
          <w:ilvl w:val="1"/>
          <w:numId w:val="9"/>
        </w:numPr>
      </w:pPr>
      <w:r w:rsidRPr="002E65D8">
        <w:fldChar w:fldCharType="begin"/>
      </w:r>
      <w:r w:rsidRPr="002E65D8">
        <w:instrText xml:space="preserve"> REF _Ref211256071 \h </w:instrText>
      </w:r>
      <w:r w:rsidR="002E65D8">
        <w:instrText xml:space="preserve"> \* MERGEFORMAT </w:instrText>
      </w:r>
      <w:r w:rsidRPr="002E65D8">
        <w:fldChar w:fldCharType="separate"/>
      </w:r>
      <w:r w:rsidR="00E6549D">
        <w:t>Garantir les paiements au moyen de transactions financières enregistrées et, le cas échéant, effectuées par l’intermédiaire des OAA</w:t>
      </w:r>
      <w:r w:rsidRPr="002E65D8">
        <w:fldChar w:fldCharType="end"/>
      </w:r>
      <w:r>
        <w:t xml:space="preserve"> (para. </w:t>
      </w:r>
      <w:r w:rsidR="00EC35B3" w:rsidRPr="002E65D8">
        <w:fldChar w:fldCharType="begin"/>
      </w:r>
      <w:r w:rsidR="00EC35B3" w:rsidRPr="002E65D8">
        <w:instrText xml:space="preserve"> REF _Ref210732691 \r \h </w:instrText>
      </w:r>
      <w:r w:rsidR="002E65D8">
        <w:instrText xml:space="preserve"> \* MERGEFORMAT </w:instrText>
      </w:r>
      <w:r w:rsidR="00EC35B3" w:rsidRPr="002E65D8">
        <w:fldChar w:fldCharType="separate"/>
      </w:r>
      <w:r w:rsidR="00E6549D">
        <w:t>130</w:t>
      </w:r>
      <w:r w:rsidR="00EC35B3" w:rsidRPr="002E65D8">
        <w:fldChar w:fldCharType="end"/>
      </w:r>
      <w:r>
        <w:t xml:space="preserve"> à </w:t>
      </w:r>
      <w:r w:rsidR="00B54093" w:rsidRPr="002E65D8">
        <w:fldChar w:fldCharType="begin"/>
      </w:r>
      <w:r w:rsidR="00B54093" w:rsidRPr="002E65D8">
        <w:instrText xml:space="preserve"> REF _Ref210732693 \r \h </w:instrText>
      </w:r>
      <w:r w:rsidR="002E65D8">
        <w:instrText xml:space="preserve"> \* MERGEFORMAT </w:instrText>
      </w:r>
      <w:r w:rsidR="00B54093" w:rsidRPr="002E65D8">
        <w:fldChar w:fldCharType="separate"/>
      </w:r>
      <w:r w:rsidR="00E6549D">
        <w:t>132</w:t>
      </w:r>
      <w:r w:rsidR="00B54093" w:rsidRPr="002E65D8">
        <w:fldChar w:fldCharType="end"/>
      </w:r>
      <w:r>
        <w:t xml:space="preserve">) ; </w:t>
      </w:r>
    </w:p>
    <w:p w14:paraId="17F02C48" w14:textId="57C96967" w:rsidR="00D57179" w:rsidRPr="002E65D8" w:rsidRDefault="00D57179" w:rsidP="00B62150">
      <w:pPr>
        <w:pStyle w:val="PBBulletList"/>
        <w:numPr>
          <w:ilvl w:val="1"/>
          <w:numId w:val="9"/>
        </w:numPr>
      </w:pPr>
      <w:r w:rsidRPr="002E65D8">
        <w:fldChar w:fldCharType="begin"/>
      </w:r>
      <w:r w:rsidRPr="002E65D8">
        <w:instrText xml:space="preserve"> REF _Ref211256092 \h </w:instrText>
      </w:r>
      <w:r w:rsidR="002E65D8">
        <w:instrText xml:space="preserve"> \* MERGEFORMAT </w:instrText>
      </w:r>
      <w:r w:rsidRPr="002E65D8">
        <w:fldChar w:fldCharType="separate"/>
      </w:r>
      <w:r w:rsidR="00E6549D">
        <w:t>Promouvoir la pratique consistant à délivrer des reçus officiels et des factures détaillées</w:t>
      </w:r>
      <w:r w:rsidRPr="002E65D8">
        <w:fldChar w:fldCharType="end"/>
      </w:r>
      <w:r>
        <w:t xml:space="preserve"> (para. </w:t>
      </w:r>
      <w:r w:rsidR="00EC35B3" w:rsidRPr="002E65D8">
        <w:fldChar w:fldCharType="begin"/>
      </w:r>
      <w:r w:rsidR="00EC35B3" w:rsidRPr="002E65D8">
        <w:instrText xml:space="preserve"> REF _Ref210733196 \r \h </w:instrText>
      </w:r>
      <w:r w:rsidR="002E65D8">
        <w:instrText xml:space="preserve"> \* MERGEFORMAT </w:instrText>
      </w:r>
      <w:r w:rsidR="00EC35B3" w:rsidRPr="002E65D8">
        <w:fldChar w:fldCharType="separate"/>
      </w:r>
      <w:r w:rsidR="00E6549D">
        <w:t>133</w:t>
      </w:r>
      <w:r w:rsidR="00EC35B3" w:rsidRPr="002E65D8">
        <w:fldChar w:fldCharType="end"/>
      </w:r>
      <w:r>
        <w:t xml:space="preserve"> et </w:t>
      </w:r>
      <w:r w:rsidR="00EC35B3" w:rsidRPr="002E65D8">
        <w:fldChar w:fldCharType="begin"/>
      </w:r>
      <w:r w:rsidR="00EC35B3" w:rsidRPr="002E65D8">
        <w:instrText xml:space="preserve"> REF _Ref210732834 \r \h </w:instrText>
      </w:r>
      <w:r w:rsidR="002E65D8">
        <w:instrText xml:space="preserve"> \* MERGEFORMAT </w:instrText>
      </w:r>
      <w:r w:rsidR="00EC35B3" w:rsidRPr="002E65D8">
        <w:fldChar w:fldCharType="separate"/>
      </w:r>
      <w:r w:rsidR="00E6549D">
        <w:t>134</w:t>
      </w:r>
      <w:r w:rsidR="00EC35B3" w:rsidRPr="002E65D8">
        <w:fldChar w:fldCharType="end"/>
      </w:r>
      <w:r>
        <w:t xml:space="preserve">) ; </w:t>
      </w:r>
    </w:p>
    <w:p w14:paraId="1A82C9E9" w14:textId="7BE1E333" w:rsidR="00EF116E" w:rsidRPr="002E65D8" w:rsidRDefault="00A11BA3" w:rsidP="00B62150">
      <w:pPr>
        <w:pStyle w:val="PBBulletList"/>
        <w:numPr>
          <w:ilvl w:val="1"/>
          <w:numId w:val="9"/>
        </w:numPr>
      </w:pPr>
      <w:r w:rsidRPr="002E65D8">
        <w:fldChar w:fldCharType="begin"/>
      </w:r>
      <w:r w:rsidRPr="002E65D8">
        <w:instrText xml:space="preserve"> REF _Ref211256275 \h </w:instrText>
      </w:r>
      <w:r w:rsidR="002E65D8">
        <w:instrText xml:space="preserve"> \* MERGEFORMAT </w:instrText>
      </w:r>
      <w:r w:rsidRPr="002E65D8">
        <w:fldChar w:fldCharType="separate"/>
      </w:r>
      <w:r w:rsidR="00E6549D">
        <w:t>Veiller à la transparence de l’affectation finale des sommes perçues</w:t>
      </w:r>
      <w:r w:rsidRPr="002E65D8">
        <w:fldChar w:fldCharType="end"/>
      </w:r>
      <w:r>
        <w:t xml:space="preserve"> (para. </w:t>
      </w:r>
      <w:r w:rsidR="00EC35B3" w:rsidRPr="002E65D8">
        <w:fldChar w:fldCharType="begin"/>
      </w:r>
      <w:r w:rsidR="00EC35B3" w:rsidRPr="002E65D8">
        <w:instrText xml:space="preserve"> REF _Ref210733350 \r \h </w:instrText>
      </w:r>
      <w:r w:rsidR="002E65D8">
        <w:instrText xml:space="preserve"> \* MERGEFORMAT </w:instrText>
      </w:r>
      <w:r w:rsidR="00EC35B3" w:rsidRPr="002E65D8">
        <w:fldChar w:fldCharType="separate"/>
      </w:r>
      <w:r w:rsidR="00E6549D">
        <w:t>135</w:t>
      </w:r>
      <w:r w:rsidR="00EC35B3" w:rsidRPr="002E65D8">
        <w:fldChar w:fldCharType="end"/>
      </w:r>
      <w:r>
        <w:t xml:space="preserve"> à </w:t>
      </w:r>
      <w:r w:rsidR="00EC35B3" w:rsidRPr="002E65D8">
        <w:fldChar w:fldCharType="begin"/>
      </w:r>
      <w:r w:rsidR="00EC35B3" w:rsidRPr="002E65D8">
        <w:instrText xml:space="preserve"> REF _Ref210733353 \r \h </w:instrText>
      </w:r>
      <w:r w:rsidR="002E65D8">
        <w:instrText xml:space="preserve"> \* MERGEFORMAT </w:instrText>
      </w:r>
      <w:r w:rsidR="00EC35B3" w:rsidRPr="002E65D8">
        <w:fldChar w:fldCharType="separate"/>
      </w:r>
      <w:r w:rsidR="00E6549D">
        <w:t>137</w:t>
      </w:r>
      <w:r w:rsidR="00EC35B3" w:rsidRPr="002E65D8">
        <w:fldChar w:fldCharType="end"/>
      </w:r>
      <w:r>
        <w:t xml:space="preserve">) ; </w:t>
      </w:r>
    </w:p>
    <w:p w14:paraId="77D1E6FF" w14:textId="560A4D41" w:rsidR="00A11BA3" w:rsidRPr="002E65D8" w:rsidRDefault="00A11BA3" w:rsidP="00B62150">
      <w:pPr>
        <w:pStyle w:val="PBBulletList"/>
        <w:numPr>
          <w:ilvl w:val="1"/>
          <w:numId w:val="9"/>
        </w:numPr>
      </w:pPr>
      <w:r w:rsidRPr="002E65D8">
        <w:fldChar w:fldCharType="begin"/>
      </w:r>
      <w:r w:rsidRPr="002E65D8">
        <w:instrText xml:space="preserve"> REF _Ref211256284 \h </w:instrText>
      </w:r>
      <w:r w:rsidR="002E65D8">
        <w:instrText xml:space="preserve"> \* MERGEFORMAT </w:instrText>
      </w:r>
      <w:r w:rsidRPr="002E65D8">
        <w:fldChar w:fldCharType="separate"/>
      </w:r>
      <w:r w:rsidR="00E6549D">
        <w:t>Signaler les transactions financières et surveiller l’utilisation de l’argent</w:t>
      </w:r>
      <w:r w:rsidRPr="002E65D8">
        <w:fldChar w:fldCharType="end"/>
      </w:r>
      <w:r>
        <w:t xml:space="preserve"> (para. </w:t>
      </w:r>
      <w:r w:rsidR="007D58E9" w:rsidRPr="002E65D8">
        <w:fldChar w:fldCharType="begin"/>
      </w:r>
      <w:r w:rsidR="007D58E9" w:rsidRPr="002E65D8">
        <w:instrText xml:space="preserve"> REF _Ref210988534 \r \h </w:instrText>
      </w:r>
      <w:r w:rsidR="002E65D8">
        <w:instrText xml:space="preserve"> \* MERGEFORMAT </w:instrText>
      </w:r>
      <w:r w:rsidR="007D58E9" w:rsidRPr="002E65D8">
        <w:fldChar w:fldCharType="separate"/>
      </w:r>
      <w:r w:rsidR="00E6549D">
        <w:t>138</w:t>
      </w:r>
      <w:r w:rsidR="007D58E9" w:rsidRPr="002E65D8">
        <w:fldChar w:fldCharType="end"/>
      </w:r>
      <w:r>
        <w:t xml:space="preserve"> à </w:t>
      </w:r>
      <w:r w:rsidR="007D58E9" w:rsidRPr="002E65D8">
        <w:fldChar w:fldCharType="begin"/>
      </w:r>
      <w:r w:rsidR="007D58E9" w:rsidRPr="002E65D8">
        <w:instrText xml:space="preserve"> REF _Ref210988540 \r \h </w:instrText>
      </w:r>
      <w:r w:rsidR="002E65D8">
        <w:instrText xml:space="preserve"> \* MERGEFORMAT </w:instrText>
      </w:r>
      <w:r w:rsidR="007D58E9" w:rsidRPr="002E65D8">
        <w:fldChar w:fldCharType="separate"/>
      </w:r>
      <w:r w:rsidR="00E6549D">
        <w:t>143</w:t>
      </w:r>
      <w:r w:rsidR="007D58E9" w:rsidRPr="002E65D8">
        <w:fldChar w:fldCharType="end"/>
      </w:r>
      <w:r>
        <w:t xml:space="preserve">) ; </w:t>
      </w:r>
    </w:p>
    <w:p w14:paraId="2AB62FE1" w14:textId="47A627EB" w:rsidR="00EF116E" w:rsidRPr="002E65D8" w:rsidRDefault="00A11BA3" w:rsidP="00B62150">
      <w:pPr>
        <w:pStyle w:val="PBBulletList"/>
        <w:numPr>
          <w:ilvl w:val="1"/>
          <w:numId w:val="9"/>
        </w:numPr>
      </w:pPr>
      <w:r w:rsidRPr="002E65D8">
        <w:fldChar w:fldCharType="begin"/>
      </w:r>
      <w:r w:rsidRPr="002E65D8">
        <w:instrText xml:space="preserve"> REF _Ref211256294 \h </w:instrText>
      </w:r>
      <w:r w:rsidR="002E65D8">
        <w:instrText xml:space="preserve"> \* MERGEFORMAT </w:instrText>
      </w:r>
      <w:r w:rsidRPr="002E65D8">
        <w:fldChar w:fldCharType="separate"/>
      </w:r>
      <w:r w:rsidR="00E6549D">
        <w:t>Veiller à la coopération entre les États et autres parties prenantes en matière de transparence</w:t>
      </w:r>
      <w:r w:rsidRPr="002E65D8">
        <w:fldChar w:fldCharType="end"/>
      </w:r>
      <w:r>
        <w:t xml:space="preserve"> (para. </w:t>
      </w:r>
      <w:r w:rsidR="0024531C" w:rsidRPr="002E65D8">
        <w:fldChar w:fldCharType="begin"/>
      </w:r>
      <w:r w:rsidR="0024531C" w:rsidRPr="002E65D8">
        <w:instrText xml:space="preserve"> REF _Ref211256393 \r \h </w:instrText>
      </w:r>
      <w:r w:rsidR="002E65D8">
        <w:instrText xml:space="preserve"> \* MERGEFORMAT </w:instrText>
      </w:r>
      <w:r w:rsidR="0024531C" w:rsidRPr="002E65D8">
        <w:fldChar w:fldCharType="separate"/>
      </w:r>
      <w:r w:rsidR="00E6549D">
        <w:t>144</w:t>
      </w:r>
      <w:r w:rsidR="0024531C" w:rsidRPr="002E65D8">
        <w:fldChar w:fldCharType="end"/>
      </w:r>
      <w:r>
        <w:t xml:space="preserve"> à </w:t>
      </w:r>
      <w:r w:rsidR="0024531C" w:rsidRPr="002E65D8">
        <w:fldChar w:fldCharType="begin"/>
      </w:r>
      <w:r w:rsidR="0024531C" w:rsidRPr="002E65D8">
        <w:instrText xml:space="preserve"> REF _Ref211256409 \r \h </w:instrText>
      </w:r>
      <w:r w:rsidR="002E65D8">
        <w:instrText xml:space="preserve"> \* MERGEFORMAT </w:instrText>
      </w:r>
      <w:r w:rsidR="0024531C" w:rsidRPr="002E65D8">
        <w:fldChar w:fldCharType="separate"/>
      </w:r>
      <w:r w:rsidR="00E6549D">
        <w:t>147</w:t>
      </w:r>
      <w:r w:rsidR="0024531C" w:rsidRPr="002E65D8">
        <w:fldChar w:fldCharType="end"/>
      </w:r>
      <w:r>
        <w:t xml:space="preserve">) ; et </w:t>
      </w:r>
    </w:p>
    <w:bookmarkEnd w:id="226"/>
    <w:p w14:paraId="2978DFB6" w14:textId="57FBA06D" w:rsidR="004B0317" w:rsidRPr="002E65D8" w:rsidRDefault="001C7A4E" w:rsidP="00A40A39">
      <w:pPr>
        <w:pStyle w:val="PBBulletList"/>
      </w:pPr>
      <w:r>
        <w:t>pour ce qui est du caractère raisonnable (chapitre </w:t>
      </w:r>
      <w:r w:rsidR="00E113FE" w:rsidRPr="002E65D8">
        <w:fldChar w:fldCharType="begin"/>
      </w:r>
      <w:r w:rsidR="00E113FE" w:rsidRPr="002E65D8">
        <w:instrText xml:space="preserve"> REF _Ref189476452 \r \h </w:instrText>
      </w:r>
      <w:r w:rsidR="002E65D8">
        <w:instrText xml:space="preserve"> \* MERGEFORMAT </w:instrText>
      </w:r>
      <w:r w:rsidR="00E113FE" w:rsidRPr="002E65D8">
        <w:fldChar w:fldCharType="separate"/>
      </w:r>
      <w:r w:rsidR="00E6549D">
        <w:t>6.2</w:t>
      </w:r>
      <w:r w:rsidR="00E113FE" w:rsidRPr="002E65D8">
        <w:fldChar w:fldCharType="end"/>
      </w:r>
      <w:r>
        <w:t>) :</w:t>
      </w:r>
    </w:p>
    <w:p w14:paraId="1D5AB9B0" w14:textId="06B0771B" w:rsidR="006625D5" w:rsidRPr="002E65D8" w:rsidRDefault="007B3C57" w:rsidP="006625D5">
      <w:pPr>
        <w:pStyle w:val="PBBulletList"/>
        <w:numPr>
          <w:ilvl w:val="1"/>
          <w:numId w:val="9"/>
        </w:numPr>
      </w:pPr>
      <w:r w:rsidRPr="002E65D8">
        <w:fldChar w:fldCharType="begin"/>
      </w:r>
      <w:r w:rsidRPr="002E65D8">
        <w:instrText xml:space="preserve"> REF _Ref212030356 \h </w:instrText>
      </w:r>
      <w:r w:rsidR="002E65D8">
        <w:instrText xml:space="preserve"> \* MERGEFORMAT </w:instrText>
      </w:r>
      <w:r w:rsidRPr="002E65D8">
        <w:fldChar w:fldCharType="separate"/>
      </w:r>
      <w:r w:rsidR="00E6549D">
        <w:t>Utiliser les Tableaux sur les aspects financiers</w:t>
      </w:r>
      <w:r w:rsidRPr="002E65D8">
        <w:fldChar w:fldCharType="end"/>
      </w:r>
      <w:r>
        <w:t xml:space="preserve"> (para. </w:t>
      </w:r>
      <w:r w:rsidR="008526D9" w:rsidRPr="002E65D8">
        <w:fldChar w:fldCharType="begin"/>
      </w:r>
      <w:r w:rsidR="008526D9" w:rsidRPr="002E65D8">
        <w:instrText xml:space="preserve"> REF _Ref211427621 \r \h </w:instrText>
      </w:r>
      <w:r w:rsidR="002E65D8">
        <w:instrText xml:space="preserve"> \* MERGEFORMAT </w:instrText>
      </w:r>
      <w:r w:rsidR="008526D9" w:rsidRPr="002E65D8">
        <w:fldChar w:fldCharType="separate"/>
      </w:r>
      <w:r w:rsidR="00E6549D">
        <w:t>155</w:t>
      </w:r>
      <w:r w:rsidR="008526D9" w:rsidRPr="002E65D8">
        <w:fldChar w:fldCharType="end"/>
      </w:r>
      <w:r>
        <w:t>) ; et</w:t>
      </w:r>
    </w:p>
    <w:p w14:paraId="607C38C5" w14:textId="35D73017" w:rsidR="00250C23" w:rsidRPr="002E65D8" w:rsidRDefault="006625D5" w:rsidP="005235D6">
      <w:pPr>
        <w:pStyle w:val="PBBulletList"/>
        <w:numPr>
          <w:ilvl w:val="1"/>
          <w:numId w:val="9"/>
        </w:numPr>
      </w:pPr>
      <w:r w:rsidRPr="002E65D8">
        <w:fldChar w:fldCharType="begin"/>
      </w:r>
      <w:r w:rsidRPr="002E65D8">
        <w:instrText xml:space="preserve"> REF _Ref211427482 \h </w:instrText>
      </w:r>
      <w:r w:rsidR="002E65D8">
        <w:instrText xml:space="preserve"> \* MERGEFORMAT </w:instrText>
      </w:r>
      <w:r w:rsidRPr="002E65D8">
        <w:fldChar w:fldCharType="separate"/>
      </w:r>
      <w:r w:rsidR="00E6549D">
        <w:t>Atténuer la pression financière pesant sur les FPA</w:t>
      </w:r>
      <w:r w:rsidRPr="002E65D8">
        <w:fldChar w:fldCharType="end"/>
      </w:r>
      <w:r>
        <w:t xml:space="preserve"> (para. </w:t>
      </w:r>
      <w:r w:rsidR="00C30638" w:rsidRPr="002E65D8">
        <w:fldChar w:fldCharType="begin"/>
      </w:r>
      <w:r w:rsidR="00C30638" w:rsidRPr="002E65D8">
        <w:instrText xml:space="preserve"> REF _Ref211427725 \r \h </w:instrText>
      </w:r>
      <w:r w:rsidR="002E65D8">
        <w:instrText xml:space="preserve"> \* MERGEFORMAT </w:instrText>
      </w:r>
      <w:r w:rsidR="00C30638" w:rsidRPr="002E65D8">
        <w:fldChar w:fldCharType="separate"/>
      </w:r>
      <w:r w:rsidR="00E6549D">
        <w:t>170</w:t>
      </w:r>
      <w:r w:rsidR="00C30638" w:rsidRPr="002E65D8">
        <w:fldChar w:fldCharType="end"/>
      </w:r>
      <w:r>
        <w:t xml:space="preserve"> à </w:t>
      </w:r>
      <w:r w:rsidR="00C30638" w:rsidRPr="002E65D8">
        <w:fldChar w:fldCharType="begin"/>
      </w:r>
      <w:r w:rsidR="00C30638" w:rsidRPr="002E65D8">
        <w:instrText xml:space="preserve"> REF _Ref211427732 \r \h </w:instrText>
      </w:r>
      <w:r w:rsidR="002E65D8">
        <w:instrText xml:space="preserve"> \* MERGEFORMAT </w:instrText>
      </w:r>
      <w:r w:rsidR="00C30638" w:rsidRPr="002E65D8">
        <w:fldChar w:fldCharType="separate"/>
      </w:r>
      <w:r w:rsidR="00E6549D">
        <w:t>173</w:t>
      </w:r>
      <w:r w:rsidR="00C30638" w:rsidRPr="002E65D8">
        <w:fldChar w:fldCharType="end"/>
      </w:r>
      <w:r>
        <w:t xml:space="preserve">). </w:t>
      </w:r>
    </w:p>
    <w:p w14:paraId="7C6607EF" w14:textId="5A34A398" w:rsidR="00C92D43" w:rsidRPr="002E65D8" w:rsidRDefault="00C92D43" w:rsidP="00C92D43">
      <w:pPr>
        <w:pStyle w:val="PBParagraph"/>
      </w:pPr>
      <w:bookmarkStart w:id="227" w:name="_Ref211434275"/>
      <w:bookmarkStart w:id="228" w:name="_Ref226531182"/>
      <w:r>
        <w:t>Lorsque des contributions, dons et projets de coopération surviennent, malgré les problèmes énoncés au point </w:t>
      </w:r>
      <w:r w:rsidR="00F71918" w:rsidRPr="002E65D8">
        <w:fldChar w:fldCharType="begin"/>
      </w:r>
      <w:r w:rsidR="00F71918" w:rsidRPr="002E65D8">
        <w:instrText xml:space="preserve"> REF _Ref179384849 \r \h  \* MERGEFORMAT </w:instrText>
      </w:r>
      <w:r w:rsidR="00F71918" w:rsidRPr="002E65D8">
        <w:fldChar w:fldCharType="separate"/>
      </w:r>
      <w:r w:rsidR="00E6549D">
        <w:t>7.1</w:t>
      </w:r>
      <w:r w:rsidR="00F71918" w:rsidRPr="002E65D8">
        <w:fldChar w:fldCharType="end"/>
      </w:r>
      <w:r>
        <w:t xml:space="preserve"> ci-dessus, les éléments suivants devraient, à tout le moins, être pris en considération :</w:t>
      </w:r>
      <w:bookmarkEnd w:id="227"/>
      <w:bookmarkEnd w:id="228"/>
      <w:r>
        <w:t xml:space="preserve"> </w:t>
      </w:r>
    </w:p>
    <w:p w14:paraId="6C52D2D8" w14:textId="7A1F7D89" w:rsidR="00D43B10" w:rsidRPr="002E65D8" w:rsidRDefault="00D43B10" w:rsidP="004A37F7">
      <w:pPr>
        <w:pStyle w:val="PBBulletList"/>
      </w:pPr>
      <w:r>
        <w:t xml:space="preserve">pour les États : </w:t>
      </w:r>
    </w:p>
    <w:p w14:paraId="59EA31FF" w14:textId="7E3B47E2" w:rsidR="00B14CFE" w:rsidRPr="002E65D8" w:rsidRDefault="00CC31BA" w:rsidP="00B25FB7">
      <w:pPr>
        <w:pStyle w:val="PBBulletList"/>
        <w:numPr>
          <w:ilvl w:val="1"/>
          <w:numId w:val="9"/>
        </w:numPr>
      </w:pPr>
      <w:r>
        <w:t>«</w:t>
      </w:r>
      <w:r w:rsidR="00F77E0B">
        <w:t> </w:t>
      </w:r>
      <w:r>
        <w:t xml:space="preserve">Préciser aux FPA et leur expliquer en amont et en détail, entre autres, les frais et </w:t>
      </w:r>
      <w:r w:rsidR="00F77E0B">
        <w:t>honoraires réels d</w:t>
      </w:r>
      <w:r w:rsidR="00715ACD">
        <w:t>’</w:t>
      </w:r>
      <w:r w:rsidR="00F77E0B">
        <w:t xml:space="preserve">une adoption[,] </w:t>
      </w:r>
      <w:r>
        <w:t>les distinguer de toute contribution, de tout don ou projet de coopération éventuel » (</w:t>
      </w:r>
      <w:r>
        <w:rPr>
          <w:color w:val="00B050"/>
        </w:rPr>
        <w:t xml:space="preserve">FS3, </w:t>
      </w:r>
      <w:r w:rsidR="00250381">
        <w:rPr>
          <w:color w:val="00B050"/>
        </w:rPr>
        <w:t>boîte </w:t>
      </w:r>
      <w:r w:rsidR="00771599">
        <w:rPr>
          <w:color w:val="00B050"/>
        </w:rPr>
        <w:t>0</w:t>
      </w:r>
      <w:r>
        <w:rPr>
          <w:color w:val="00B050"/>
        </w:rPr>
        <w:t>7.2</w:t>
      </w:r>
      <w:r>
        <w:t>) et « [é]tablir des conséquences claires dans les cas où la distinction ne serait pas respectée » (</w:t>
      </w:r>
      <w:r>
        <w:rPr>
          <w:color w:val="00B050"/>
        </w:rPr>
        <w:t xml:space="preserve">FS3, </w:t>
      </w:r>
      <w:r w:rsidR="00250381">
        <w:rPr>
          <w:color w:val="00B050"/>
        </w:rPr>
        <w:t>boîte </w:t>
      </w:r>
      <w:r w:rsidR="00771599">
        <w:rPr>
          <w:color w:val="00B050"/>
        </w:rPr>
        <w:t>0</w:t>
      </w:r>
      <w:r>
        <w:rPr>
          <w:color w:val="00B050"/>
        </w:rPr>
        <w:t>7.3</w:t>
      </w:r>
      <w:r>
        <w:t>).</w:t>
      </w:r>
    </w:p>
    <w:p w14:paraId="1BE5964D" w14:textId="6456871E" w:rsidR="00684F23" w:rsidRPr="002E65D8" w:rsidRDefault="00BF3905" w:rsidP="00BB7BC4">
      <w:pPr>
        <w:pStyle w:val="PBBulletList"/>
        <w:numPr>
          <w:ilvl w:val="1"/>
          <w:numId w:val="9"/>
        </w:numPr>
      </w:pPr>
      <w:r>
        <w:rPr>
          <w:b/>
        </w:rPr>
        <w:lastRenderedPageBreak/>
        <w:t>Fixer des honoraires</w:t>
      </w:r>
      <w:r>
        <w:t xml:space="preserve"> pour leurs services au lieu d</w:t>
      </w:r>
      <w:r w:rsidR="00715ACD">
        <w:t>’</w:t>
      </w:r>
      <w:r>
        <w:t>espérer ou d</w:t>
      </w:r>
      <w:r w:rsidR="00715ACD">
        <w:t>’</w:t>
      </w:r>
      <w:r>
        <w:t>attendre une contribution volontaire.</w:t>
      </w:r>
    </w:p>
    <w:p w14:paraId="09840B42" w14:textId="30E09C87" w:rsidR="00CC1D93" w:rsidRPr="002E65D8" w:rsidRDefault="00702941" w:rsidP="00BB7BC4">
      <w:pPr>
        <w:pStyle w:val="PBBulletList"/>
        <w:numPr>
          <w:ilvl w:val="1"/>
          <w:numId w:val="9"/>
        </w:numPr>
      </w:pPr>
      <w:r>
        <w:t xml:space="preserve">« Mettre en place des mesures pour éviter de donner la priorité à la </w:t>
      </w:r>
      <w:r>
        <w:rPr>
          <w:b/>
          <w:bCs/>
        </w:rPr>
        <w:t>coopération</w:t>
      </w:r>
      <w:r>
        <w:t xml:space="preserve"> ou de fonder des décisions relatives au placement des enfants (apparentement) sur le montant des contributions, des dons ou du soutien aux projets de coopération émanant d</w:t>
      </w:r>
      <w:r w:rsidR="00715ACD">
        <w:t>’</w:t>
      </w:r>
      <w:r>
        <w:t>OAA, de FPA ou de leurs gouvernements respectifs » (</w:t>
      </w:r>
      <w:r>
        <w:rPr>
          <w:color w:val="00B050"/>
        </w:rPr>
        <w:t xml:space="preserve">FS3, </w:t>
      </w:r>
      <w:r w:rsidR="00250381">
        <w:rPr>
          <w:color w:val="00B050"/>
        </w:rPr>
        <w:t>boîte </w:t>
      </w:r>
      <w:r w:rsidR="00771599">
        <w:rPr>
          <w:color w:val="00B050"/>
        </w:rPr>
        <w:t>0</w:t>
      </w:r>
      <w:r>
        <w:rPr>
          <w:color w:val="00B050"/>
        </w:rPr>
        <w:t>9</w:t>
      </w:r>
      <w:r>
        <w:t>).</w:t>
      </w:r>
    </w:p>
    <w:p w14:paraId="19266258" w14:textId="2D9E8A9D" w:rsidR="009878CA" w:rsidRPr="002E65D8" w:rsidRDefault="004F40D1" w:rsidP="00666869">
      <w:pPr>
        <w:pStyle w:val="PBBulletList"/>
        <w:numPr>
          <w:ilvl w:val="1"/>
          <w:numId w:val="9"/>
        </w:numPr>
      </w:pPr>
      <w:r>
        <w:t>« [S]</w:t>
      </w:r>
      <w:r w:rsidR="00715ACD">
        <w:t>’</w:t>
      </w:r>
      <w:r>
        <w:t xml:space="preserve">efforce[r] </w:t>
      </w:r>
      <w:r w:rsidRPr="009B6CDF">
        <w:rPr>
          <w:b/>
        </w:rPr>
        <w:t>de ne plus dépendre de l</w:t>
      </w:r>
      <w:r w:rsidR="00715ACD">
        <w:rPr>
          <w:b/>
        </w:rPr>
        <w:t>’</w:t>
      </w:r>
      <w:r w:rsidRPr="009B6CDF">
        <w:rPr>
          <w:b/>
        </w:rPr>
        <w:t>adoption internationale</w:t>
      </w:r>
      <w:r>
        <w:t xml:space="preserve"> pour trouver des sources de financement supplémentaires par le biais de contributions</w:t>
      </w:r>
      <w:r w:rsidR="00225521">
        <w:t>, dons</w:t>
      </w:r>
      <w:r>
        <w:t xml:space="preserve"> ou projets de coopération » (</w:t>
      </w:r>
      <w:r>
        <w:rPr>
          <w:color w:val="00B050"/>
        </w:rPr>
        <w:t xml:space="preserve">FS3, </w:t>
      </w:r>
      <w:r w:rsidR="00250381">
        <w:rPr>
          <w:color w:val="00B050"/>
        </w:rPr>
        <w:t>boîte </w:t>
      </w:r>
      <w:r>
        <w:rPr>
          <w:color w:val="00B050"/>
        </w:rPr>
        <w:t>3</w:t>
      </w:r>
      <w:r w:rsidR="00B34B47">
        <w:rPr>
          <w:color w:val="00B050"/>
        </w:rPr>
        <w:t>5</w:t>
      </w:r>
      <w:r>
        <w:rPr>
          <w:color w:val="00B050"/>
        </w:rPr>
        <w:t>.1</w:t>
      </w:r>
      <w:r>
        <w:t>).</w:t>
      </w:r>
    </w:p>
    <w:p w14:paraId="51C6488C" w14:textId="183EE497" w:rsidR="004562D4" w:rsidRPr="002E65D8" w:rsidRDefault="007A647B" w:rsidP="00BB7BC4">
      <w:pPr>
        <w:pStyle w:val="PBBulletList"/>
        <w:numPr>
          <w:ilvl w:val="1"/>
          <w:numId w:val="9"/>
        </w:numPr>
      </w:pPr>
      <w:r>
        <w:t>« [E]ssaye</w:t>
      </w:r>
      <w:r w:rsidR="009B6CDF">
        <w:t>[</w:t>
      </w:r>
      <w:r>
        <w:t>r</w:t>
      </w:r>
      <w:r w:rsidR="009B6CDF">
        <w:t>]</w:t>
      </w:r>
      <w:r>
        <w:t xml:space="preserve"> de trouver d</w:t>
      </w:r>
      <w:r w:rsidR="00715ACD">
        <w:t>’</w:t>
      </w:r>
      <w:r>
        <w:rPr>
          <w:b/>
          <w:bCs/>
        </w:rPr>
        <w:t>autres moyens de soutien</w:t>
      </w:r>
      <w:r>
        <w:t xml:space="preserve"> par l</w:t>
      </w:r>
      <w:r w:rsidR="00715ACD">
        <w:t>’</w:t>
      </w:r>
      <w:r>
        <w:t>intermédiaire de l</w:t>
      </w:r>
      <w:r w:rsidR="00715ACD">
        <w:t>’</w:t>
      </w:r>
      <w:r>
        <w:t>aide officielle au développement, non liée à l</w:t>
      </w:r>
      <w:r w:rsidR="00715ACD">
        <w:t>’</w:t>
      </w:r>
      <w:r>
        <w:t>adoption » (</w:t>
      </w:r>
      <w:r w:rsidR="00B34B47">
        <w:rPr>
          <w:color w:val="00B050"/>
        </w:rPr>
        <w:t xml:space="preserve">FS3, </w:t>
      </w:r>
      <w:r w:rsidR="00250381">
        <w:rPr>
          <w:color w:val="00B050"/>
        </w:rPr>
        <w:t>boîte </w:t>
      </w:r>
      <w:r w:rsidR="00B34B47">
        <w:rPr>
          <w:color w:val="00B050"/>
        </w:rPr>
        <w:t>35</w:t>
      </w:r>
      <w:r>
        <w:rPr>
          <w:color w:val="00B050"/>
        </w:rPr>
        <w:t>.2</w:t>
      </w:r>
      <w:r>
        <w:t>).</w:t>
      </w:r>
    </w:p>
    <w:p w14:paraId="21595544" w14:textId="09357C2D" w:rsidR="0062235F" w:rsidRPr="002E65D8" w:rsidRDefault="00623B3D" w:rsidP="00BB7BC4">
      <w:pPr>
        <w:pStyle w:val="PBBulletList"/>
        <w:numPr>
          <w:ilvl w:val="1"/>
          <w:numId w:val="9"/>
        </w:numPr>
      </w:pPr>
      <w:r>
        <w:t xml:space="preserve">« Établir des contrôles appropriés afin de rendre impossible toute </w:t>
      </w:r>
      <w:r>
        <w:rPr>
          <w:b/>
          <w:bCs/>
        </w:rPr>
        <w:t>influence indue</w:t>
      </w:r>
      <w:r>
        <w:t> » (</w:t>
      </w:r>
      <w:r>
        <w:rPr>
          <w:color w:val="00B050"/>
        </w:rPr>
        <w:t xml:space="preserve">FS3, </w:t>
      </w:r>
      <w:r w:rsidR="00250381">
        <w:rPr>
          <w:color w:val="00B050"/>
        </w:rPr>
        <w:t>boîte </w:t>
      </w:r>
      <w:r w:rsidR="00771599">
        <w:rPr>
          <w:color w:val="00B050"/>
        </w:rPr>
        <w:t>0</w:t>
      </w:r>
      <w:r>
        <w:rPr>
          <w:color w:val="00B050"/>
        </w:rPr>
        <w:t>8.2</w:t>
      </w:r>
      <w:r>
        <w:t xml:space="preserve">). </w:t>
      </w:r>
    </w:p>
    <w:p w14:paraId="128F655B" w14:textId="4CC52C64" w:rsidR="005E4105" w:rsidRPr="002E65D8" w:rsidRDefault="00E26713" w:rsidP="00BB7BC4">
      <w:pPr>
        <w:pStyle w:val="PBBulletList"/>
        <w:numPr>
          <w:ilvl w:val="1"/>
          <w:numId w:val="9"/>
        </w:numPr>
      </w:pPr>
      <w:r>
        <w:t>« Fixer des limites raisonnables quant au nombre, ainsi qu</w:t>
      </w:r>
      <w:r w:rsidR="00715ACD">
        <w:t>’</w:t>
      </w:r>
      <w:r>
        <w:t>au montant et à la valeur des dons éventuels » (</w:t>
      </w:r>
      <w:r>
        <w:rPr>
          <w:color w:val="00B050"/>
        </w:rPr>
        <w:t xml:space="preserve">FS3, </w:t>
      </w:r>
      <w:r w:rsidR="00250381">
        <w:rPr>
          <w:color w:val="00B050"/>
        </w:rPr>
        <w:t>boîte </w:t>
      </w:r>
      <w:r>
        <w:rPr>
          <w:color w:val="00B050"/>
        </w:rPr>
        <w:t>11.4</w:t>
      </w:r>
      <w:r>
        <w:t xml:space="preserve">). </w:t>
      </w:r>
    </w:p>
    <w:p w14:paraId="0B2C288C" w14:textId="000FB1F9" w:rsidR="007A29C5" w:rsidRPr="002E65D8" w:rsidRDefault="00E26713" w:rsidP="00BB7BC4">
      <w:pPr>
        <w:pStyle w:val="PBBulletList"/>
        <w:numPr>
          <w:ilvl w:val="1"/>
          <w:numId w:val="9"/>
        </w:numPr>
      </w:pPr>
      <w:r>
        <w:t>« Veiller à ce que le montant des contributions demandées soit [...] fixé par l</w:t>
      </w:r>
      <w:r w:rsidR="00715ACD">
        <w:t>’</w:t>
      </w:r>
      <w:r>
        <w:t>État d</w:t>
      </w:r>
      <w:r w:rsidR="00715ACD">
        <w:t>’</w:t>
      </w:r>
      <w:r>
        <w:t>origine (et non par l</w:t>
      </w:r>
      <w:r w:rsidR="00715ACD">
        <w:t>’</w:t>
      </w:r>
      <w:r>
        <w:t>institution pour enfants (souvent partenaire de l</w:t>
      </w:r>
      <w:r w:rsidR="00715ACD">
        <w:t>’</w:t>
      </w:r>
      <w:r>
        <w:t>OAA) ou l</w:t>
      </w:r>
      <w:r w:rsidR="00715ACD">
        <w:t>’</w:t>
      </w:r>
      <w:r>
        <w:t>OAA directement) et raisonnable » (</w:t>
      </w:r>
      <w:r>
        <w:rPr>
          <w:color w:val="00B050"/>
        </w:rPr>
        <w:t xml:space="preserve">FS3, </w:t>
      </w:r>
      <w:r w:rsidR="00250381">
        <w:rPr>
          <w:color w:val="00B050"/>
        </w:rPr>
        <w:t>boîte </w:t>
      </w:r>
      <w:r>
        <w:rPr>
          <w:color w:val="00B050"/>
        </w:rPr>
        <w:t>11.1</w:t>
      </w:r>
      <w:r w:rsidR="00771599">
        <w:rPr>
          <w:color w:val="00B050"/>
        </w:rPr>
        <w:t xml:space="preserve">, </w:t>
      </w:r>
      <w:r w:rsidR="00DD7C69">
        <w:rPr>
          <w:color w:val="00B050"/>
          <w:shd w:val="clear" w:color="auto" w:fill="FFFFFF" w:themeFill="background1"/>
        </w:rPr>
        <w:t>boîte 11.2 et boîte</w:t>
      </w:r>
      <w:r>
        <w:rPr>
          <w:color w:val="00B050"/>
        </w:rPr>
        <w:t xml:space="preserve"> 11.3</w:t>
      </w:r>
      <w:r>
        <w:t>).</w:t>
      </w:r>
    </w:p>
    <w:p w14:paraId="3AC1DAD2" w14:textId="2886E809" w:rsidR="0062235F" w:rsidRPr="002E65D8" w:rsidRDefault="0062235F" w:rsidP="00BB7BC4">
      <w:pPr>
        <w:pStyle w:val="PBBulletList"/>
        <w:numPr>
          <w:ilvl w:val="1"/>
          <w:numId w:val="9"/>
        </w:numPr>
      </w:pPr>
      <w:r>
        <w:t>« Limiter le montant des [...] contributions et dons » (</w:t>
      </w:r>
      <w:r>
        <w:rPr>
          <w:color w:val="00B050"/>
        </w:rPr>
        <w:t xml:space="preserve">FS3, </w:t>
      </w:r>
      <w:r w:rsidR="00250381">
        <w:rPr>
          <w:color w:val="00B050"/>
        </w:rPr>
        <w:t>boîte </w:t>
      </w:r>
      <w:r>
        <w:rPr>
          <w:color w:val="00B050"/>
        </w:rPr>
        <w:t>2</w:t>
      </w:r>
      <w:r w:rsidR="00B34B47">
        <w:rPr>
          <w:color w:val="00B050"/>
        </w:rPr>
        <w:t>6</w:t>
      </w:r>
      <w:r>
        <w:t>).</w:t>
      </w:r>
    </w:p>
    <w:p w14:paraId="736F31DF" w14:textId="08935E97" w:rsidR="008F6908" w:rsidRPr="002E65D8" w:rsidRDefault="00E9297C" w:rsidP="008F6908">
      <w:pPr>
        <w:pStyle w:val="PBBulletList"/>
      </w:pPr>
      <w:bookmarkStart w:id="229" w:name="_Ref210749649"/>
      <w:r>
        <w:t>s</w:t>
      </w:r>
      <w:r w:rsidR="00715ACD">
        <w:t>’</w:t>
      </w:r>
      <w:r>
        <w:t>agissant des institutions pour enfants :</w:t>
      </w:r>
      <w:bookmarkEnd w:id="229"/>
      <w:r>
        <w:t xml:space="preserve"> </w:t>
      </w:r>
    </w:p>
    <w:p w14:paraId="638059CB" w14:textId="7F23DCE4" w:rsidR="008F6908" w:rsidRPr="002E65D8" w:rsidRDefault="003E44F8" w:rsidP="00BB7BC4">
      <w:pPr>
        <w:pStyle w:val="PBBulletList"/>
        <w:numPr>
          <w:ilvl w:val="1"/>
          <w:numId w:val="9"/>
        </w:numPr>
      </w:pPr>
      <w:r>
        <w:t>« Par l</w:t>
      </w:r>
      <w:r w:rsidR="00715ACD">
        <w:t>’</w:t>
      </w:r>
      <w:r>
        <w:t>intermédiaire des autorités des États, envisager activement d</w:t>
      </w:r>
      <w:r w:rsidR="00715ACD">
        <w:t>’</w:t>
      </w:r>
      <w:r>
        <w:t xml:space="preserve">interdire les contributions, dons et projets de coopération visant à soutenir les </w:t>
      </w:r>
      <w:r>
        <w:rPr>
          <w:b/>
          <w:bCs/>
        </w:rPr>
        <w:t>institutions pour enfants</w:t>
      </w:r>
      <w:r>
        <w:t> » (</w:t>
      </w:r>
      <w:r w:rsidR="00B34B47">
        <w:rPr>
          <w:color w:val="00B050"/>
        </w:rPr>
        <w:t xml:space="preserve">FS3, </w:t>
      </w:r>
      <w:r w:rsidR="00250381">
        <w:rPr>
          <w:color w:val="00B050"/>
        </w:rPr>
        <w:t>boîte </w:t>
      </w:r>
      <w:r w:rsidR="00B34B47">
        <w:rPr>
          <w:color w:val="00B050"/>
        </w:rPr>
        <w:t>37</w:t>
      </w:r>
      <w:r>
        <w:rPr>
          <w:color w:val="00B050"/>
        </w:rPr>
        <w:t>.1</w:t>
      </w:r>
      <w:r>
        <w:t>).</w:t>
      </w:r>
    </w:p>
    <w:p w14:paraId="0ED2FC14" w14:textId="78FA2147" w:rsidR="008F6908" w:rsidRPr="002E65D8" w:rsidRDefault="00E03BB1" w:rsidP="00BB7BC4">
      <w:pPr>
        <w:pStyle w:val="PBBulletList"/>
        <w:numPr>
          <w:ilvl w:val="1"/>
          <w:numId w:val="9"/>
        </w:numPr>
      </w:pPr>
      <w:r>
        <w:t xml:space="preserve">« Veiller à ce que les contributions, dons et projets de coopération visent plutôt à </w:t>
      </w:r>
      <w:r>
        <w:rPr>
          <w:b/>
          <w:bCs/>
        </w:rPr>
        <w:t>renforcer les programmes</w:t>
      </w:r>
      <w:r>
        <w:t xml:space="preserve"> de préservation de la famille et de prévention de l</w:t>
      </w:r>
      <w:r w:rsidR="00715ACD">
        <w:t>’</w:t>
      </w:r>
      <w:r>
        <w:t>abandon ou les projets de protection de l</w:t>
      </w:r>
      <w:r w:rsidR="00715ACD">
        <w:t>’</w:t>
      </w:r>
      <w:r>
        <w:t>enfant de même type » (</w:t>
      </w:r>
      <w:r>
        <w:rPr>
          <w:color w:val="00B050"/>
        </w:rPr>
        <w:t xml:space="preserve">FS3, </w:t>
      </w:r>
      <w:r w:rsidR="00250381">
        <w:rPr>
          <w:color w:val="00B050"/>
        </w:rPr>
        <w:t>boîte </w:t>
      </w:r>
      <w:r>
        <w:rPr>
          <w:color w:val="00B050"/>
        </w:rPr>
        <w:t>3</w:t>
      </w:r>
      <w:r w:rsidR="00B34B47">
        <w:rPr>
          <w:color w:val="00B050"/>
        </w:rPr>
        <w:t>7</w:t>
      </w:r>
      <w:r>
        <w:rPr>
          <w:color w:val="00B050"/>
        </w:rPr>
        <w:t>.2</w:t>
      </w:r>
      <w:r>
        <w:t>).</w:t>
      </w:r>
      <w:r w:rsidR="00E6549D">
        <w:t xml:space="preserve"> </w:t>
      </w:r>
    </w:p>
    <w:p w14:paraId="7F253917" w14:textId="5512049A" w:rsidR="008F6908" w:rsidRPr="002E65D8" w:rsidRDefault="00AE1A46" w:rsidP="00BB7BC4">
      <w:pPr>
        <w:pStyle w:val="PBBulletList"/>
        <w:numPr>
          <w:ilvl w:val="1"/>
          <w:numId w:val="9"/>
        </w:numPr>
      </w:pPr>
      <w:r>
        <w:t>« Si, malgré tout, un don est réalisé au profit d</w:t>
      </w:r>
      <w:r w:rsidR="00715ACD">
        <w:t>’</w:t>
      </w:r>
      <w:r>
        <w:t>une institution pour enfants, il devrait être fait de préférence au profit d</w:t>
      </w:r>
      <w:r w:rsidR="00715ACD">
        <w:t>’</w:t>
      </w:r>
      <w:r>
        <w:t xml:space="preserve">une </w:t>
      </w:r>
      <w:r w:rsidR="006D6EC1">
        <w:t xml:space="preserve">structure </w:t>
      </w:r>
      <w:r>
        <w:t>qui ne s</w:t>
      </w:r>
      <w:r w:rsidR="00715ACD">
        <w:t>’</w:t>
      </w:r>
      <w:r>
        <w:t>occupe pas d</w:t>
      </w:r>
      <w:r w:rsidR="00715ACD">
        <w:t>’</w:t>
      </w:r>
      <w:r>
        <w:t>enfants adoptables » (</w:t>
      </w:r>
      <w:r>
        <w:rPr>
          <w:color w:val="00B050"/>
        </w:rPr>
        <w:t xml:space="preserve">FS3, </w:t>
      </w:r>
      <w:r w:rsidR="00250381">
        <w:rPr>
          <w:color w:val="00B050"/>
        </w:rPr>
        <w:t>boîte </w:t>
      </w:r>
      <w:r>
        <w:rPr>
          <w:color w:val="00B050"/>
        </w:rPr>
        <w:t>3</w:t>
      </w:r>
      <w:r w:rsidR="00B34B47">
        <w:rPr>
          <w:color w:val="00B050"/>
        </w:rPr>
        <w:t>7</w:t>
      </w:r>
      <w:r>
        <w:rPr>
          <w:color w:val="00B050"/>
        </w:rPr>
        <w:t>.3</w:t>
      </w:r>
      <w:r>
        <w:t>).</w:t>
      </w:r>
    </w:p>
    <w:p w14:paraId="7774A2F4" w14:textId="63235C63" w:rsidR="00B9780C" w:rsidRPr="002E65D8" w:rsidRDefault="00841FC0" w:rsidP="004047D5">
      <w:pPr>
        <w:pStyle w:val="Heading3"/>
      </w:pPr>
      <w:bookmarkStart w:id="230" w:name="_Toc236061710"/>
      <w:r>
        <w:t>Contributions : problèmes spécifiques</w:t>
      </w:r>
      <w:bookmarkEnd w:id="230"/>
      <w:r>
        <w:t xml:space="preserve"> </w:t>
      </w:r>
    </w:p>
    <w:p w14:paraId="509C6A9E" w14:textId="44D963BA" w:rsidR="00B9780C" w:rsidRPr="002E65D8" w:rsidRDefault="008A1487">
      <w:pPr>
        <w:pStyle w:val="PBParagraph"/>
      </w:pPr>
      <w:r>
        <w:t>Malgré les problèmes énumérés au chapitre </w:t>
      </w:r>
      <w:r w:rsidR="00B8481E" w:rsidRPr="002E65D8">
        <w:fldChar w:fldCharType="begin"/>
      </w:r>
      <w:r w:rsidR="00B8481E" w:rsidRPr="002E65D8">
        <w:instrText xml:space="preserve"> REF _Ref179384849 \r \h </w:instrText>
      </w:r>
      <w:r w:rsidR="002E65D8">
        <w:instrText xml:space="preserve"> \* MERGEFORMAT </w:instrText>
      </w:r>
      <w:r w:rsidR="00B8481E" w:rsidRPr="002E65D8">
        <w:fldChar w:fldCharType="separate"/>
      </w:r>
      <w:r w:rsidR="00E6549D">
        <w:t>7.1</w:t>
      </w:r>
      <w:r w:rsidR="00B8481E" w:rsidRPr="002E65D8">
        <w:fldChar w:fldCharType="end"/>
      </w:r>
      <w:r>
        <w:t xml:space="preserve"> ci-dessus, certains États peuvent tout de même autoriser les contributions. Lorsqu</w:t>
      </w:r>
      <w:r w:rsidR="00715ACD">
        <w:t>’</w:t>
      </w:r>
      <w:r>
        <w:t xml:space="preserve">un État ou un OAA en particulier demande des contributions, les éléments suivants devraient, à tout le moins, être pris en considération. </w:t>
      </w:r>
    </w:p>
    <w:p w14:paraId="1BB31288" w14:textId="4F684690" w:rsidR="00B9780C" w:rsidRPr="002E65D8" w:rsidDel="00C11657" w:rsidRDefault="00874E91" w:rsidP="00846727">
      <w:pPr>
        <w:pStyle w:val="PBParagraph"/>
      </w:pPr>
      <w:r>
        <w:rPr>
          <w:b/>
          <w:i/>
          <w:color w:val="0094D2" w:themeColor="accent1"/>
          <w:u w:val="single"/>
        </w:rPr>
        <w:t>Exemples de pratiques illicites et / ou de facteurs propices spécifiques</w:t>
      </w:r>
      <w:r>
        <w:rPr>
          <w:color w:val="0094D2" w:themeColor="accent1"/>
        </w:rPr>
        <w:t xml:space="preserve"> </w:t>
      </w:r>
      <w:r>
        <w:t>en matière de contributions (outre ceux évoqués au chapitre </w:t>
      </w:r>
      <w:r w:rsidR="00846727" w:rsidRPr="002E65D8">
        <w:fldChar w:fldCharType="begin"/>
      </w:r>
      <w:r w:rsidR="00846727" w:rsidRPr="002E65D8">
        <w:instrText xml:space="preserve"> REF _Ref179384849 \r \h </w:instrText>
      </w:r>
      <w:r w:rsidR="002E65D8">
        <w:instrText xml:space="preserve"> \* MERGEFORMAT </w:instrText>
      </w:r>
      <w:r w:rsidR="00846727" w:rsidRPr="002E65D8">
        <w:fldChar w:fldCharType="separate"/>
      </w:r>
      <w:r w:rsidR="00E6549D">
        <w:t>7.1</w:t>
      </w:r>
      <w:r w:rsidR="00846727" w:rsidRPr="002E65D8">
        <w:fldChar w:fldCharType="end"/>
      </w:r>
      <w:r>
        <w:t xml:space="preserve"> ci-dessus) :</w:t>
      </w:r>
    </w:p>
    <w:p w14:paraId="5B64A0A7" w14:textId="3051A60C" w:rsidR="00400781" w:rsidRPr="002E65D8" w:rsidRDefault="00400781" w:rsidP="00400781">
      <w:pPr>
        <w:pStyle w:val="PBBulletList"/>
      </w:pPr>
      <w:r>
        <w:t>« Le montant des contributions exigées par l</w:t>
      </w:r>
      <w:r w:rsidR="00715ACD">
        <w:t>’</w:t>
      </w:r>
      <w:r>
        <w:t>État d</w:t>
      </w:r>
      <w:r w:rsidR="00715ACD">
        <w:t>’</w:t>
      </w:r>
      <w:r>
        <w:t>origine n</w:t>
      </w:r>
      <w:r w:rsidR="00715ACD">
        <w:t>’</w:t>
      </w:r>
      <w:r>
        <w:t>est pas déterminé et / ou varie selon les États d</w:t>
      </w:r>
      <w:r w:rsidR="00715ACD">
        <w:t>’</w:t>
      </w:r>
      <w:r>
        <w:t>accueil qui travaillent avec cet État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38</w:t>
      </w:r>
      <w:r>
        <w:t>).</w:t>
      </w:r>
    </w:p>
    <w:p w14:paraId="5F1E0D6C" w14:textId="2B3D4420" w:rsidR="00400781" w:rsidRPr="002E65D8" w:rsidRDefault="00A65E89" w:rsidP="00400781">
      <w:pPr>
        <w:pStyle w:val="PBBulletList"/>
      </w:pPr>
      <w:r>
        <w:t>« Le montant des contributions exigées par un OAA n</w:t>
      </w:r>
      <w:r w:rsidR="00715ACD">
        <w:t>’</w:t>
      </w:r>
      <w:r>
        <w:t>est pas déterminé et clair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39</w:t>
      </w:r>
      <w:r>
        <w:t>) et varie donc d</w:t>
      </w:r>
      <w:r w:rsidR="00715ACD">
        <w:t>’</w:t>
      </w:r>
      <w:r>
        <w:t>un État d</w:t>
      </w:r>
      <w:r w:rsidR="00715ACD">
        <w:t>’</w:t>
      </w:r>
      <w:r>
        <w:t>accueil à l</w:t>
      </w:r>
      <w:r w:rsidR="00715ACD">
        <w:t>’</w:t>
      </w:r>
      <w:r>
        <w:t>autre.</w:t>
      </w:r>
    </w:p>
    <w:p w14:paraId="42D72136" w14:textId="6E67E66A" w:rsidR="00B9780C" w:rsidRPr="002E65D8" w:rsidRDefault="002A58DB" w:rsidP="00A40A39">
      <w:pPr>
        <w:pStyle w:val="PBParagraph"/>
      </w:pPr>
      <w:r>
        <w:rPr>
          <w:b/>
          <w:i/>
          <w:color w:val="0094D2" w:themeColor="accent1"/>
          <w:u w:val="single"/>
        </w:rPr>
        <w:t>Exemples de possibles mesures préventives</w:t>
      </w:r>
      <w:r>
        <w:rPr>
          <w:color w:val="0094D2" w:themeColor="accent1"/>
        </w:rPr>
        <w:t xml:space="preserve"> </w:t>
      </w:r>
      <w:r>
        <w:t>en matière de contributions (outre les garanties générales en matière de transparence et de caractère raisonnable (chapitre </w:t>
      </w:r>
      <w:r w:rsidR="00EB31C8" w:rsidRPr="002E65D8">
        <w:fldChar w:fldCharType="begin"/>
      </w:r>
      <w:r w:rsidR="00EB31C8" w:rsidRPr="002E65D8">
        <w:instrText xml:space="preserve"> REF _Ref211003302 \r \h </w:instrText>
      </w:r>
      <w:r w:rsidR="002E65D8">
        <w:instrText xml:space="preserve"> \* MERGEFORMAT </w:instrText>
      </w:r>
      <w:r w:rsidR="00EB31C8" w:rsidRPr="002E65D8">
        <w:fldChar w:fldCharType="separate"/>
      </w:r>
      <w:r w:rsidR="00E6549D">
        <w:t>6</w:t>
      </w:r>
      <w:r w:rsidR="00EB31C8" w:rsidRPr="002E65D8">
        <w:fldChar w:fldCharType="end"/>
      </w:r>
      <w:r>
        <w:t>) et les garanties communes aux contributions, dons et projets de coopération (para. </w:t>
      </w:r>
      <w:r w:rsidR="00CB03C0" w:rsidRPr="002E65D8">
        <w:fldChar w:fldCharType="begin"/>
      </w:r>
      <w:r w:rsidR="00CB03C0" w:rsidRPr="002E65D8">
        <w:instrText xml:space="preserve"> REF _Ref226531182 \r \h </w:instrText>
      </w:r>
      <w:r w:rsidR="002E65D8">
        <w:instrText xml:space="preserve"> \* MERGEFORMAT </w:instrText>
      </w:r>
      <w:r w:rsidR="00CB03C0" w:rsidRPr="002E65D8">
        <w:fldChar w:fldCharType="separate"/>
      </w:r>
      <w:r w:rsidR="00E6549D">
        <w:t>204</w:t>
      </w:r>
      <w:r w:rsidR="00CB03C0" w:rsidRPr="002E65D8">
        <w:fldChar w:fldCharType="end"/>
      </w:r>
      <w:r>
        <w:t xml:space="preserve">)) : </w:t>
      </w:r>
    </w:p>
    <w:p w14:paraId="7A3EB640" w14:textId="0F43B92F" w:rsidR="00B9780C" w:rsidRPr="002E65D8" w:rsidRDefault="00DD03ED" w:rsidP="00D143F8">
      <w:pPr>
        <w:pStyle w:val="PBBulletList"/>
      </w:pPr>
      <w:r>
        <w:t xml:space="preserve">Pour les contributions </w:t>
      </w:r>
      <w:r>
        <w:rPr>
          <w:u w:val="single"/>
        </w:rPr>
        <w:t>exigées par un État d</w:t>
      </w:r>
      <w:r w:rsidR="00715ACD">
        <w:rPr>
          <w:u w:val="single"/>
        </w:rPr>
        <w:t>’</w:t>
      </w:r>
      <w:r>
        <w:rPr>
          <w:u w:val="single"/>
        </w:rPr>
        <w:t>origine</w:t>
      </w:r>
      <w:r>
        <w:t xml:space="preserve">, « [v]eiller à ce que le montant des contributions requises soit </w:t>
      </w:r>
      <w:r>
        <w:rPr>
          <w:b/>
          <w:bCs/>
        </w:rPr>
        <w:t>déterminé par l</w:t>
      </w:r>
      <w:r w:rsidR="00715ACD">
        <w:rPr>
          <w:b/>
          <w:bCs/>
        </w:rPr>
        <w:t>’</w:t>
      </w:r>
      <w:r>
        <w:rPr>
          <w:b/>
          <w:bCs/>
        </w:rPr>
        <w:t>État d</w:t>
      </w:r>
      <w:r w:rsidR="00715ACD">
        <w:rPr>
          <w:b/>
          <w:bCs/>
        </w:rPr>
        <w:t>’</w:t>
      </w:r>
      <w:r>
        <w:rPr>
          <w:b/>
          <w:bCs/>
        </w:rPr>
        <w:t>origine</w:t>
      </w:r>
      <w:r>
        <w:t xml:space="preserve"> et non par l</w:t>
      </w:r>
      <w:r w:rsidR="00715ACD">
        <w:t>’</w:t>
      </w:r>
      <w:r>
        <w:t>institution pour enfants (souvent partenaire de l</w:t>
      </w:r>
      <w:r w:rsidR="00715ACD">
        <w:t>’</w:t>
      </w:r>
      <w:r>
        <w:t>OAA) ou l</w:t>
      </w:r>
      <w:r w:rsidR="00715ACD">
        <w:t>’</w:t>
      </w:r>
      <w:r>
        <w:t>OAA directement » (</w:t>
      </w:r>
      <w:r>
        <w:rPr>
          <w:color w:val="00B050"/>
        </w:rPr>
        <w:t xml:space="preserve">FS3, </w:t>
      </w:r>
      <w:r w:rsidR="00250381">
        <w:rPr>
          <w:color w:val="00B050"/>
        </w:rPr>
        <w:t>boîte </w:t>
      </w:r>
      <w:r>
        <w:rPr>
          <w:color w:val="00B050"/>
        </w:rPr>
        <w:t>39</w:t>
      </w:r>
      <w:r>
        <w:t>) et aussi « [v]eiller à ce que le montant des contributions requises par un État d</w:t>
      </w:r>
      <w:r w:rsidR="00715ACD">
        <w:t>’</w:t>
      </w:r>
      <w:r>
        <w:t xml:space="preserve">origine soit [...] </w:t>
      </w:r>
      <w:r>
        <w:rPr>
          <w:b/>
        </w:rPr>
        <w:t>rendu public et identique</w:t>
      </w:r>
      <w:r>
        <w:t xml:space="preserve"> pour tous les États d</w:t>
      </w:r>
      <w:r w:rsidR="00715ACD">
        <w:t>’</w:t>
      </w:r>
      <w:r>
        <w:t>accueil qui travaillent dans cet État d</w:t>
      </w:r>
      <w:r w:rsidR="00715ACD">
        <w:t>’</w:t>
      </w:r>
      <w:r>
        <w:t>origine en particulier » (</w:t>
      </w:r>
      <w:r>
        <w:rPr>
          <w:color w:val="00B050"/>
        </w:rPr>
        <w:t xml:space="preserve">FS3, </w:t>
      </w:r>
      <w:r w:rsidR="00250381">
        <w:rPr>
          <w:color w:val="00B050"/>
        </w:rPr>
        <w:t>boîte </w:t>
      </w:r>
      <w:r>
        <w:rPr>
          <w:color w:val="00B050"/>
        </w:rPr>
        <w:t xml:space="preserve">11.1, </w:t>
      </w:r>
      <w:r w:rsidR="00DD7C69">
        <w:rPr>
          <w:color w:val="00B050"/>
          <w:shd w:val="clear" w:color="auto" w:fill="FFFFFF" w:themeFill="background1"/>
        </w:rPr>
        <w:t xml:space="preserve">boîte </w:t>
      </w:r>
      <w:r>
        <w:rPr>
          <w:color w:val="00B050"/>
        </w:rPr>
        <w:t xml:space="preserve">11.3 et </w:t>
      </w:r>
      <w:r w:rsidR="00DD7C69">
        <w:rPr>
          <w:color w:val="00B050"/>
          <w:shd w:val="clear" w:color="auto" w:fill="FFFFFF" w:themeFill="background1"/>
        </w:rPr>
        <w:t xml:space="preserve">boîte </w:t>
      </w:r>
      <w:r>
        <w:rPr>
          <w:color w:val="00B050"/>
        </w:rPr>
        <w:t>38.1</w:t>
      </w:r>
      <w:r>
        <w:t>).</w:t>
      </w:r>
    </w:p>
    <w:p w14:paraId="7B5D774A" w14:textId="512E6EF9" w:rsidR="002218D8" w:rsidRPr="002E65D8" w:rsidRDefault="007709C4">
      <w:pPr>
        <w:pStyle w:val="PBBulletList"/>
      </w:pPr>
      <w:r>
        <w:t xml:space="preserve">« Créer un </w:t>
      </w:r>
      <w:r>
        <w:rPr>
          <w:b/>
          <w:bCs/>
        </w:rPr>
        <w:t>fonds spécifique</w:t>
      </w:r>
      <w:r>
        <w:t xml:space="preserve"> vers lequel seront versées l</w:t>
      </w:r>
      <w:r w:rsidR="00715ACD">
        <w:t>’</w:t>
      </w:r>
      <w:r>
        <w:t>ensemble des contributions, dans le respect de toutes les garanties appropriées » (</w:t>
      </w:r>
      <w:r>
        <w:rPr>
          <w:color w:val="00B050"/>
        </w:rPr>
        <w:t xml:space="preserve">FS3, </w:t>
      </w:r>
      <w:r w:rsidR="00250381">
        <w:rPr>
          <w:color w:val="00B050"/>
        </w:rPr>
        <w:t>boîte </w:t>
      </w:r>
      <w:r>
        <w:rPr>
          <w:color w:val="00B050"/>
        </w:rPr>
        <w:t>38.2</w:t>
      </w:r>
      <w:r>
        <w:t>).</w:t>
      </w:r>
    </w:p>
    <w:p w14:paraId="0630B216" w14:textId="58338F81" w:rsidR="00E00DD9" w:rsidRPr="002E65D8" w:rsidRDefault="002E7A3B" w:rsidP="00E00DD9">
      <w:pPr>
        <w:pStyle w:val="Blueboxtitle"/>
        <w:spacing w:after="0" w:line="240" w:lineRule="auto"/>
        <w:outlineLvl w:val="2"/>
      </w:pPr>
      <w:bookmarkStart w:id="231" w:name="_Toc236061711"/>
      <w:r>
        <w:lastRenderedPageBreak/>
        <w:t>Boîte</w:t>
      </w:r>
      <w:r w:rsidR="00E00DD9">
        <w:t> 22 : Réglementation des contributions</w:t>
      </w:r>
      <w:bookmarkEnd w:id="231"/>
    </w:p>
    <w:p w14:paraId="152C9F21" w14:textId="77777777" w:rsidR="00E00DD9" w:rsidRPr="002E65D8" w:rsidRDefault="00E00DD9" w:rsidP="00E00DD9">
      <w:pPr>
        <w:pStyle w:val="Blueboxtitle"/>
        <w:rPr>
          <w:b w:val="0"/>
          <w:bCs w:val="0"/>
        </w:rPr>
      </w:pPr>
      <w:r>
        <w:rPr>
          <w:b w:val="0"/>
        </w:rPr>
        <w:t xml:space="preserve">Quelques exemples de mesures mises en œuvre par les États </w:t>
      </w:r>
    </w:p>
    <w:p w14:paraId="1EFC0B1E" w14:textId="07515D1A" w:rsidR="002328E5" w:rsidRPr="002E65D8" w:rsidRDefault="002328E5" w:rsidP="002328E5">
      <w:pPr>
        <w:pStyle w:val="Bluebox"/>
      </w:pPr>
      <w:r>
        <w:t>En Belgique et aux Pays-Bas, le montant de la contribution versée ne peut être directement lié au nombre d</w:t>
      </w:r>
      <w:r w:rsidR="00715ACD">
        <w:t>’</w:t>
      </w:r>
      <w:r>
        <w:t>enfants proposés ou adoptés</w:t>
      </w:r>
      <w:r w:rsidRPr="002E65D8">
        <w:rPr>
          <w:rStyle w:val="FootnoteReference"/>
        </w:rPr>
        <w:footnoteReference w:id="325"/>
      </w:r>
      <w:r>
        <w:t>.</w:t>
      </w:r>
    </w:p>
    <w:p w14:paraId="0A57EB9B" w14:textId="3B3A8594" w:rsidR="00BB68F1" w:rsidRPr="002E65D8" w:rsidRDefault="00BB68F1" w:rsidP="00FC5C39">
      <w:pPr>
        <w:pStyle w:val="Bluebox"/>
      </w:pPr>
      <w:r>
        <w:t>En Italie, l</w:t>
      </w:r>
      <w:r w:rsidR="00715ACD">
        <w:t>’</w:t>
      </w:r>
      <w:r>
        <w:t>Autorité centrale (CAI) promeut la transparence des projets de coopération liés à l</w:t>
      </w:r>
      <w:r w:rsidR="00715ACD">
        <w:t>’</w:t>
      </w:r>
      <w:r>
        <w:t>adoption en émettant régulièrement des appels à financement, qui précisent les domaines d</w:t>
      </w:r>
      <w:r w:rsidR="00715ACD">
        <w:t>’</w:t>
      </w:r>
      <w:r>
        <w:t>intervention, la chronologie et les règles en matière de rapports. Les projets sont approuvés et suivis grâce à un processus structuré : une Commission d</w:t>
      </w:r>
      <w:r w:rsidR="00715ACD">
        <w:t>’</w:t>
      </w:r>
      <w:r>
        <w:t>admission et d</w:t>
      </w:r>
      <w:r w:rsidR="00715ACD">
        <w:t>’</w:t>
      </w:r>
      <w:r>
        <w:t>évaluation vérifie les dépenses et les documents, tandis qu</w:t>
      </w:r>
      <w:r w:rsidR="00715ACD">
        <w:t>’</w:t>
      </w:r>
      <w:r>
        <w:t>un Comité de suivi supervise la mise en œuvre des projets. En outre, les OAA doivent rendre publics leurs activités et les fonds reçus. La gestion financière est entièrement distincte des procédures d</w:t>
      </w:r>
      <w:r w:rsidR="00715ACD">
        <w:t>’</w:t>
      </w:r>
      <w:r>
        <w:t>adoption, l</w:t>
      </w:r>
      <w:r w:rsidR="00715ACD">
        <w:t>’</w:t>
      </w:r>
      <w:r>
        <w:t>ensemble des dépenses étant prévues au budget, traçables et justifiées. Le Comité de suivi contrôle la pertinence et la durabilité de chaque dépense, l</w:t>
      </w:r>
      <w:r w:rsidR="00715ACD">
        <w:t>’</w:t>
      </w:r>
      <w:r>
        <w:t xml:space="preserve">Autorité centrale ne rembourse les frais </w:t>
      </w:r>
      <w:r w:rsidR="00B45CDF">
        <w:t>qu</w:t>
      </w:r>
      <w:r w:rsidR="00715ACD">
        <w:t>’</w:t>
      </w:r>
      <w:r>
        <w:t>après vérification et approbation</w:t>
      </w:r>
      <w:r w:rsidR="00722CFF" w:rsidRPr="002E65D8">
        <w:rPr>
          <w:rStyle w:val="FootnoteReference"/>
        </w:rPr>
        <w:footnoteReference w:id="326"/>
      </w:r>
      <w:r w:rsidR="00AE1D4B">
        <w:t>.</w:t>
      </w:r>
    </w:p>
    <w:p w14:paraId="7BC3F509" w14:textId="151FD8AE" w:rsidR="00835332" w:rsidRPr="002E65D8" w:rsidRDefault="00135BB7" w:rsidP="00017C48">
      <w:pPr>
        <w:pStyle w:val="Bluebox"/>
      </w:pPr>
      <w:r>
        <w:t>À Madagascar par exemple, la législation prescrit l</w:t>
      </w:r>
      <w:r w:rsidR="00715ACD">
        <w:t>’</w:t>
      </w:r>
      <w:r>
        <w:t>affectation du montant fixe per</w:t>
      </w:r>
      <w:r w:rsidR="00AE1D4B">
        <w:t>çu par l</w:t>
      </w:r>
      <w:r w:rsidR="00715ACD">
        <w:t>’</w:t>
      </w:r>
      <w:r w:rsidR="00AE1D4B">
        <w:t>Autorité centrale (800 </w:t>
      </w:r>
      <w:r>
        <w:t>euros, soit environ 900 dollars américains) comme suit : l</w:t>
      </w:r>
      <w:r w:rsidR="00715ACD">
        <w:t>’</w:t>
      </w:r>
      <w:r>
        <w:t>Autorité centrale conserve 5 % de la contribution pour couvrir les frais de ses services et transfère le solde à l</w:t>
      </w:r>
      <w:r w:rsidR="00715ACD">
        <w:t>’</w:t>
      </w:r>
      <w:r>
        <w:t>institution qui s</w:t>
      </w:r>
      <w:r w:rsidR="00715ACD">
        <w:t>’</w:t>
      </w:r>
      <w:r>
        <w:t>occupe de l</w:t>
      </w:r>
      <w:r w:rsidR="00715ACD">
        <w:t>’</w:t>
      </w:r>
      <w:r>
        <w:t>enfant jusqu</w:t>
      </w:r>
      <w:r w:rsidR="00715ACD">
        <w:t>’</w:t>
      </w:r>
      <w:r>
        <w:t>à son adoption</w:t>
      </w:r>
      <w:r w:rsidR="00835332" w:rsidRPr="002E65D8">
        <w:rPr>
          <w:rStyle w:val="FootnoteReference"/>
        </w:rPr>
        <w:footnoteReference w:id="327"/>
      </w:r>
      <w:r>
        <w:t>.</w:t>
      </w:r>
    </w:p>
    <w:p w14:paraId="7D678F60" w14:textId="28B5E4DE" w:rsidR="00FE5833" w:rsidRPr="002E65D8" w:rsidRDefault="00FE5833" w:rsidP="00017C48">
      <w:pPr>
        <w:pStyle w:val="Bluebox"/>
      </w:pPr>
      <w:r>
        <w:t>Aux Philippines, les OAA étrangers peuvent verser des contributions aux agences nationales de protection de l</w:t>
      </w:r>
      <w:r w:rsidR="00715ACD">
        <w:t>’</w:t>
      </w:r>
      <w:r>
        <w:t>enfance</w:t>
      </w:r>
      <w:r w:rsidRPr="002E65D8">
        <w:rPr>
          <w:rStyle w:val="FootnoteReference"/>
        </w:rPr>
        <w:footnoteReference w:id="328"/>
      </w:r>
      <w:r>
        <w:t>. Dans ce cas toutefois, les FPA qui recourent à cet OAA étranger ne sont pas autorisés à adopter un enfant pris en charge par l</w:t>
      </w:r>
      <w:r w:rsidR="00715ACD">
        <w:t>’</w:t>
      </w:r>
      <w:r>
        <w:t>agence à laquelle l</w:t>
      </w:r>
      <w:r w:rsidR="00715ACD">
        <w:t>’</w:t>
      </w:r>
      <w:r>
        <w:t>OAA a versé une contribution.</w:t>
      </w:r>
    </w:p>
    <w:p w14:paraId="1E97449E" w14:textId="0F585963" w:rsidR="00B9780C" w:rsidRPr="002E65D8" w:rsidRDefault="00EF1513" w:rsidP="004047D5">
      <w:pPr>
        <w:pStyle w:val="Heading3"/>
      </w:pPr>
      <w:bookmarkStart w:id="232" w:name="_Toc236061712"/>
      <w:r>
        <w:t>Dons : Problèmes spécifiques</w:t>
      </w:r>
      <w:bookmarkEnd w:id="232"/>
      <w:r>
        <w:t xml:space="preserve"> </w:t>
      </w:r>
    </w:p>
    <w:p w14:paraId="2C302E80" w14:textId="348F33DA" w:rsidR="00B9780C" w:rsidRPr="002E65D8" w:rsidRDefault="00B25E43" w:rsidP="00D143F8">
      <w:pPr>
        <w:pStyle w:val="PBParagraph"/>
      </w:pPr>
      <w:r>
        <w:t>Malgré les problèmes énumérés au chapitre </w:t>
      </w:r>
      <w:r w:rsidR="002A7CEC" w:rsidRPr="002E65D8">
        <w:fldChar w:fldCharType="begin"/>
      </w:r>
      <w:r w:rsidR="002A7CEC" w:rsidRPr="002E65D8">
        <w:instrText xml:space="preserve"> REF _Ref179384849 \r \h </w:instrText>
      </w:r>
      <w:r w:rsidR="002E65D8">
        <w:instrText xml:space="preserve"> \* MERGEFORMAT </w:instrText>
      </w:r>
      <w:r w:rsidR="002A7CEC" w:rsidRPr="002E65D8">
        <w:fldChar w:fldCharType="separate"/>
      </w:r>
      <w:r w:rsidR="00E6549D">
        <w:t>7.1</w:t>
      </w:r>
      <w:r w:rsidR="002A7CEC" w:rsidRPr="002E65D8">
        <w:fldChar w:fldCharType="end"/>
      </w:r>
      <w:r>
        <w:t xml:space="preserve"> ci-dessus, certains États peuvent tout de même autoriser les dons. Lorsque les dons sont autorisés dans un État en particulier, les éléments suivants devraient, à tout le moins, être pris en considération. </w:t>
      </w:r>
    </w:p>
    <w:p w14:paraId="62488435" w14:textId="22FF6420" w:rsidR="001C37C7" w:rsidRPr="002E65D8" w:rsidRDefault="005472CF" w:rsidP="00A40A39">
      <w:pPr>
        <w:pStyle w:val="PBParagraph"/>
      </w:pPr>
      <w:bookmarkStart w:id="233" w:name="_Ref212127383"/>
      <w:r>
        <w:rPr>
          <w:b/>
          <w:i/>
          <w:color w:val="0094D2" w:themeColor="accent1"/>
          <w:u w:val="single"/>
        </w:rPr>
        <w:t>Exemples de pratiques illicites et / ou de facteurs propices spécifiques</w:t>
      </w:r>
      <w:r>
        <w:rPr>
          <w:color w:val="0094D2" w:themeColor="accent1"/>
        </w:rPr>
        <w:t xml:space="preserve"> </w:t>
      </w:r>
      <w:r>
        <w:t>en matière de dons (outre ceux évoqués au chapitre </w:t>
      </w:r>
      <w:r w:rsidR="00F431F8" w:rsidRPr="002E65D8">
        <w:fldChar w:fldCharType="begin"/>
      </w:r>
      <w:r w:rsidR="00F431F8" w:rsidRPr="002E65D8">
        <w:instrText xml:space="preserve"> REF _Ref179384849 \r \h </w:instrText>
      </w:r>
      <w:r w:rsidR="002E65D8">
        <w:instrText xml:space="preserve"> \* MERGEFORMAT </w:instrText>
      </w:r>
      <w:r w:rsidR="00F431F8" w:rsidRPr="002E65D8">
        <w:fldChar w:fldCharType="separate"/>
      </w:r>
      <w:r w:rsidR="00E6549D">
        <w:t>7.1</w:t>
      </w:r>
      <w:r w:rsidR="00F431F8" w:rsidRPr="002E65D8">
        <w:fldChar w:fldCharType="end"/>
      </w:r>
      <w:r>
        <w:t xml:space="preserve"> ci-dessus) :</w:t>
      </w:r>
      <w:bookmarkEnd w:id="233"/>
    </w:p>
    <w:p w14:paraId="7BF3FD65" w14:textId="532DDB5A" w:rsidR="001C37C7" w:rsidRPr="002E65D8" w:rsidRDefault="007C50A6" w:rsidP="001C37C7">
      <w:pPr>
        <w:pStyle w:val="PBBulletList"/>
      </w:pPr>
      <w:r>
        <w:t>D</w:t>
      </w:r>
      <w:r w:rsidR="00715ACD">
        <w:t>’</w:t>
      </w:r>
      <w:r>
        <w:t xml:space="preserve">après la </w:t>
      </w:r>
      <w:r w:rsidR="00250381">
        <w:t xml:space="preserve">Boîte </w:t>
      </w:r>
      <w:r>
        <w:t>à outils sur les pratiques illicites, « [</w:t>
      </w:r>
      <w:r w:rsidR="00C6124B">
        <w:t>s</w:t>
      </w:r>
      <w:r>
        <w:t>]</w:t>
      </w:r>
      <w:r w:rsidR="00C6124B">
        <w:t>olliciter</w:t>
      </w:r>
      <w:r>
        <w:t>, offrir, faire</w:t>
      </w:r>
      <w:r w:rsidR="005A22B5">
        <w:t>,</w:t>
      </w:r>
      <w:r>
        <w:t xml:space="preserve"> accepter ou recevoir des dons (avant </w:t>
      </w:r>
      <w:r>
        <w:rPr>
          <w:u w:val="single"/>
        </w:rPr>
        <w:t>ou</w:t>
      </w:r>
      <w:r>
        <w:t xml:space="preserve"> après l</w:t>
      </w:r>
      <w:r w:rsidR="00715ACD">
        <w:t>’</w:t>
      </w:r>
      <w:r>
        <w:t>aboutissement de la procédure d</w:t>
      </w:r>
      <w:r w:rsidR="00715ACD">
        <w:t>’</w:t>
      </w:r>
      <w:r>
        <w:t>adoption) au profit des familles d</w:t>
      </w:r>
      <w:r w:rsidR="00715ACD">
        <w:t>’</w:t>
      </w:r>
      <w:r>
        <w:t>origine » (</w:t>
      </w:r>
      <w:r>
        <w:rPr>
          <w:color w:val="EE0000"/>
        </w:rPr>
        <w:t xml:space="preserve">FS3, </w:t>
      </w:r>
      <w:r w:rsidR="00250381">
        <w:rPr>
          <w:color w:val="EE0000"/>
        </w:rPr>
        <w:t>boîte </w:t>
      </w:r>
      <w:r>
        <w:rPr>
          <w:color w:val="EE0000"/>
        </w:rPr>
        <w:t>13</w:t>
      </w:r>
      <w:r>
        <w:t>) (qui revient aisément à « acheter » des enfants ou à influencer le consentement) constitue une pratique illicite.</w:t>
      </w:r>
    </w:p>
    <w:p w14:paraId="2E780E8A" w14:textId="18B8431C" w:rsidR="002B6038" w:rsidRPr="002E65D8" w:rsidRDefault="0053033E" w:rsidP="001C37C7">
      <w:pPr>
        <w:pStyle w:val="PBBulletList"/>
      </w:pPr>
      <w:r>
        <w:t>« </w:t>
      </w:r>
      <w:r w:rsidR="00A52556">
        <w:t>Solliciter</w:t>
      </w:r>
      <w:r>
        <w:t xml:space="preserve">, offrir, faire, accepter ou recevoir des dons </w:t>
      </w:r>
      <w:r w:rsidR="00A52556" w:rsidRPr="00A52556">
        <w:t>avant</w:t>
      </w:r>
      <w:r w:rsidR="00A52556">
        <w:t xml:space="preserve"> l</w:t>
      </w:r>
      <w:r w:rsidR="00715ACD">
        <w:t>’</w:t>
      </w:r>
      <w:r w:rsidR="00A52556">
        <w:t>aboutissement de la procédure d</w:t>
      </w:r>
      <w:r w:rsidR="00715ACD">
        <w:t>’</w:t>
      </w:r>
      <w:r w:rsidR="00A52556">
        <w:t xml:space="preserve">adoption au profit </w:t>
      </w:r>
      <w:r w:rsidRPr="00A52556">
        <w:t>des</w:t>
      </w:r>
      <w:r>
        <w:t xml:space="preserve"> autorités de l</w:t>
      </w:r>
      <w:r w:rsidR="00715ACD">
        <w:t>’</w:t>
      </w:r>
      <w:r>
        <w:t>État (par ex., des fonctionnaires gouvernementaux, des Autorités centrales) ou des organismes concernés par la procédure d</w:t>
      </w:r>
      <w:r w:rsidR="00715ACD">
        <w:t>’</w:t>
      </w:r>
      <w:r w:rsidR="00A52556">
        <w:t>adoption</w:t>
      </w:r>
      <w:r>
        <w:t> » (</w:t>
      </w:r>
      <w:r>
        <w:rPr>
          <w:color w:val="EE0000"/>
        </w:rPr>
        <w:t xml:space="preserve">FS3, </w:t>
      </w:r>
      <w:r w:rsidR="00250381">
        <w:rPr>
          <w:color w:val="EE0000"/>
        </w:rPr>
        <w:t>boîte </w:t>
      </w:r>
      <w:r>
        <w:rPr>
          <w:color w:val="EE0000"/>
        </w:rPr>
        <w:t>12</w:t>
      </w:r>
      <w:r>
        <w:t>) constitue une pratique illicite.</w:t>
      </w:r>
    </w:p>
    <w:p w14:paraId="0892606F" w14:textId="3248D7DF" w:rsidR="001C37C7" w:rsidRPr="002E65D8" w:rsidRDefault="00887D85" w:rsidP="001C37C7">
      <w:pPr>
        <w:pStyle w:val="PBBulletList"/>
      </w:pPr>
      <w:r>
        <w:t>Les « [d]ons sous toutes leurs formes (c.-à-d. dons en argent et en nature)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40</w:t>
      </w:r>
      <w:r>
        <w:t>).</w:t>
      </w:r>
    </w:p>
    <w:p w14:paraId="1E4F7C1E" w14:textId="10777D3E" w:rsidR="001C37C7" w:rsidRPr="002E65D8" w:rsidRDefault="00887D85" w:rsidP="001C37C7">
      <w:pPr>
        <w:pStyle w:val="PBBulletList"/>
      </w:pPr>
      <w:r>
        <w:t>« Attentes de dons après l</w:t>
      </w:r>
      <w:r w:rsidR="00715ACD">
        <w:t>’</w:t>
      </w:r>
      <w:r>
        <w:t>aboutissement de la procédure d</w:t>
      </w:r>
      <w:r w:rsidR="00715ACD">
        <w:t>’</w:t>
      </w:r>
      <w:r>
        <w:t>adoption » (</w:t>
      </w:r>
      <w:r>
        <w:rPr>
          <w:color w:val="FFC000"/>
        </w:rPr>
        <w:t xml:space="preserve">FS3, </w:t>
      </w:r>
      <w:r w:rsidR="00250381">
        <w:rPr>
          <w:color w:val="FFC000"/>
        </w:rPr>
        <w:t>boîte </w:t>
      </w:r>
      <w:r>
        <w:rPr>
          <w:color w:val="FFC000"/>
        </w:rPr>
        <w:t>41</w:t>
      </w:r>
      <w:r>
        <w:t>).</w:t>
      </w:r>
    </w:p>
    <w:p w14:paraId="752D197F" w14:textId="1EC9B1D0" w:rsidR="001C6256" w:rsidRPr="002E65D8" w:rsidRDefault="00887D85" w:rsidP="001C37C7">
      <w:pPr>
        <w:pStyle w:val="PBBulletList"/>
      </w:pPr>
      <w:r>
        <w:t>« Pression exercée sur les FPA afin qu</w:t>
      </w:r>
      <w:r w:rsidR="00715ACD">
        <w:t>’</w:t>
      </w:r>
      <w:r>
        <w:t>ils offrent des cadeaux et / ou fassent des dons aux institutions pour enfants ou à leur personnel » (</w:t>
      </w:r>
      <w:r>
        <w:rPr>
          <w:color w:val="FFC000"/>
        </w:rPr>
        <w:t xml:space="preserve">FS3, </w:t>
      </w:r>
      <w:r w:rsidR="00250381">
        <w:rPr>
          <w:color w:val="FFC000"/>
        </w:rPr>
        <w:t>boîte </w:t>
      </w:r>
      <w:r>
        <w:rPr>
          <w:color w:val="FFC000"/>
        </w:rPr>
        <w:t>42</w:t>
      </w:r>
      <w:r>
        <w:t xml:space="preserve">). </w:t>
      </w:r>
    </w:p>
    <w:p w14:paraId="36091B80" w14:textId="1F094426" w:rsidR="001C37C7" w:rsidRPr="002E65D8" w:rsidRDefault="00B12E6D" w:rsidP="001C37C7">
      <w:pPr>
        <w:pStyle w:val="PBBulletList"/>
      </w:pPr>
      <w:r>
        <w:t>Attentes de dons ou pressions exercées pour obtenir des fonds ou créer un fonds au profit spécifique des parties prenantes de l</w:t>
      </w:r>
      <w:r w:rsidR="00715ACD">
        <w:t>’</w:t>
      </w:r>
      <w:r>
        <w:t>adoption – en lien avec la procédure d</w:t>
      </w:r>
      <w:r w:rsidR="00715ACD">
        <w:t>’</w:t>
      </w:r>
      <w:r>
        <w:t>adoption.</w:t>
      </w:r>
    </w:p>
    <w:p w14:paraId="5FFFC952" w14:textId="3AB0DD97" w:rsidR="00B9780C" w:rsidRPr="002E65D8" w:rsidRDefault="002A58DB" w:rsidP="00A40A39">
      <w:pPr>
        <w:pStyle w:val="PBParagraph"/>
      </w:pPr>
      <w:r>
        <w:rPr>
          <w:b/>
          <w:i/>
          <w:color w:val="0094D2" w:themeColor="accent1"/>
          <w:u w:val="single"/>
        </w:rPr>
        <w:t>Exemples de possibles mesures préventives</w:t>
      </w:r>
      <w:r>
        <w:rPr>
          <w:color w:val="0094D2" w:themeColor="accent1"/>
        </w:rPr>
        <w:t xml:space="preserve"> </w:t>
      </w:r>
      <w:r>
        <w:t>en matière de dons (outre les garanties générales en matière de transparence et de caractère raisonnable (chapitre </w:t>
      </w:r>
      <w:r w:rsidR="00E94A79" w:rsidRPr="002E65D8">
        <w:fldChar w:fldCharType="begin"/>
      </w:r>
      <w:r w:rsidR="00E94A79" w:rsidRPr="002E65D8">
        <w:instrText xml:space="preserve"> REF _Ref211003302 \r \h </w:instrText>
      </w:r>
      <w:r w:rsidR="002E65D8">
        <w:instrText xml:space="preserve"> \* MERGEFORMAT </w:instrText>
      </w:r>
      <w:r w:rsidR="00E94A79" w:rsidRPr="002E65D8">
        <w:fldChar w:fldCharType="separate"/>
      </w:r>
      <w:r w:rsidR="00E6549D">
        <w:t>6</w:t>
      </w:r>
      <w:r w:rsidR="00E94A79" w:rsidRPr="002E65D8">
        <w:fldChar w:fldCharType="end"/>
      </w:r>
      <w:r>
        <w:t>) et les garanties communes aux contributions, dons et projets de coopération (para. </w:t>
      </w:r>
      <w:r w:rsidR="00487249" w:rsidRPr="002E65D8">
        <w:fldChar w:fldCharType="begin"/>
      </w:r>
      <w:r w:rsidR="00487249" w:rsidRPr="002E65D8">
        <w:instrText xml:space="preserve"> REF _Ref226531182 \r \h </w:instrText>
      </w:r>
      <w:r w:rsidR="002E65D8">
        <w:instrText xml:space="preserve"> \* MERGEFORMAT </w:instrText>
      </w:r>
      <w:r w:rsidR="00487249" w:rsidRPr="002E65D8">
        <w:fldChar w:fldCharType="separate"/>
      </w:r>
      <w:r w:rsidR="00E6549D">
        <w:t>204</w:t>
      </w:r>
      <w:r w:rsidR="00487249" w:rsidRPr="002E65D8">
        <w:fldChar w:fldCharType="end"/>
      </w:r>
      <w:r>
        <w:t>)) :</w:t>
      </w:r>
    </w:p>
    <w:p w14:paraId="5E112A61" w14:textId="0B8C6619" w:rsidR="00B9780C" w:rsidRPr="002E65D8" w:rsidRDefault="00560CCB" w:rsidP="00D143F8">
      <w:pPr>
        <w:pStyle w:val="PBBulletList"/>
      </w:pPr>
      <w:r>
        <w:t xml:space="preserve">« Interdire les </w:t>
      </w:r>
      <w:r>
        <w:rPr>
          <w:b/>
          <w:bCs/>
        </w:rPr>
        <w:t>dons au</w:t>
      </w:r>
      <w:r w:rsidR="00EB2362">
        <w:rPr>
          <w:b/>
          <w:bCs/>
        </w:rPr>
        <w:t>x</w:t>
      </w:r>
      <w:r>
        <w:rPr>
          <w:b/>
          <w:bCs/>
        </w:rPr>
        <w:t xml:space="preserve"> familles d</w:t>
      </w:r>
      <w:r w:rsidR="00715ACD">
        <w:rPr>
          <w:b/>
          <w:bCs/>
        </w:rPr>
        <w:t>’</w:t>
      </w:r>
      <w:r>
        <w:rPr>
          <w:b/>
          <w:bCs/>
        </w:rPr>
        <w:t>origine</w:t>
      </w:r>
      <w:r>
        <w:t xml:space="preserve"> d</w:t>
      </w:r>
      <w:r w:rsidR="00715ACD">
        <w:t>’</w:t>
      </w:r>
      <w:r>
        <w:t>enfants (potentiellement) adoptables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13</w:t>
      </w:r>
      <w:r>
        <w:t>)</w:t>
      </w:r>
      <w:bookmarkStart w:id="234" w:name="_Ref231466116"/>
      <w:r w:rsidR="007C698C" w:rsidRPr="002E65D8">
        <w:rPr>
          <w:rStyle w:val="FootnoteReference"/>
        </w:rPr>
        <w:footnoteReference w:id="329"/>
      </w:r>
      <w:bookmarkEnd w:id="234"/>
      <w:r>
        <w:t>.</w:t>
      </w:r>
    </w:p>
    <w:p w14:paraId="6DC1E245" w14:textId="4BBFA331" w:rsidR="00F0415F" w:rsidRPr="002E65D8" w:rsidRDefault="003C25F6">
      <w:pPr>
        <w:pStyle w:val="PBBulletList"/>
      </w:pPr>
      <w:r>
        <w:lastRenderedPageBreak/>
        <w:t xml:space="preserve">« Interdire les </w:t>
      </w:r>
      <w:r>
        <w:rPr>
          <w:b/>
          <w:bCs/>
        </w:rPr>
        <w:t>dons aux autorités</w:t>
      </w:r>
      <w:r>
        <w:t xml:space="preserve"> (par ex., des fonctionnaires gouvernementaux, des Autorités centrales) ou à d</w:t>
      </w:r>
      <w:r w:rsidR="00715ACD">
        <w:t>’</w:t>
      </w:r>
      <w:r>
        <w:t>autres organismes concernés par la procédure d</w:t>
      </w:r>
      <w:r w:rsidR="00715ACD">
        <w:t>’</w:t>
      </w:r>
      <w:r>
        <w:t>adoption avant l</w:t>
      </w:r>
      <w:r w:rsidR="00715ACD">
        <w:t>’</w:t>
      </w:r>
      <w:r>
        <w:t>aboutissement de celle-ci » (</w:t>
      </w:r>
      <w:r>
        <w:rPr>
          <w:color w:val="00B050"/>
        </w:rPr>
        <w:t xml:space="preserve">FS3, </w:t>
      </w:r>
      <w:r w:rsidR="00250381">
        <w:rPr>
          <w:color w:val="00B050"/>
        </w:rPr>
        <w:t>boîte </w:t>
      </w:r>
      <w:r>
        <w:rPr>
          <w:color w:val="00B050"/>
        </w:rPr>
        <w:t>12.1</w:t>
      </w:r>
      <w:r>
        <w:t xml:space="preserve">). </w:t>
      </w:r>
    </w:p>
    <w:p w14:paraId="5393C6F2" w14:textId="7659948E" w:rsidR="00B9780C" w:rsidRPr="002E65D8" w:rsidRDefault="00560CCB" w:rsidP="00D143F8">
      <w:pPr>
        <w:pStyle w:val="PBBulletList"/>
      </w:pPr>
      <w:r>
        <w:t xml:space="preserve">« Les </w:t>
      </w:r>
      <w:r>
        <w:rPr>
          <w:b/>
          <w:bCs/>
        </w:rPr>
        <w:t>dons des FPA à des organismes</w:t>
      </w:r>
      <w:r>
        <w:t xml:space="preserve"> impliqués dans la procédure d</w:t>
      </w:r>
      <w:r w:rsidR="00715ACD">
        <w:t>’</w:t>
      </w:r>
      <w:r>
        <w:t>adoption ne sauraient être requis, offerts ou faits » (</w:t>
      </w:r>
      <w:r>
        <w:rPr>
          <w:color w:val="00B050"/>
        </w:rPr>
        <w:t xml:space="preserve">FS3, </w:t>
      </w:r>
      <w:r w:rsidR="00250381">
        <w:rPr>
          <w:color w:val="00B050"/>
        </w:rPr>
        <w:t>boîte </w:t>
      </w:r>
      <w:r>
        <w:rPr>
          <w:color w:val="00B050"/>
        </w:rPr>
        <w:t>12.2</w:t>
      </w:r>
      <w:r>
        <w:t>)</w:t>
      </w:r>
      <w:r w:rsidR="007C698C" w:rsidRPr="002E65D8">
        <w:rPr>
          <w:rStyle w:val="FootnoteReference"/>
        </w:rPr>
        <w:footnoteReference w:id="330"/>
      </w:r>
      <w:r>
        <w:t>.</w:t>
      </w:r>
    </w:p>
    <w:p w14:paraId="466C9A3B" w14:textId="5C7FDFA5" w:rsidR="00B9780C" w:rsidRPr="002E65D8" w:rsidRDefault="00560CCB" w:rsidP="00D143F8">
      <w:pPr>
        <w:pStyle w:val="PBBulletList"/>
      </w:pPr>
      <w:r>
        <w:t>« </w:t>
      </w:r>
      <w:r>
        <w:rPr>
          <w:b/>
          <w:bCs/>
        </w:rPr>
        <w:t>Décourager</w:t>
      </w:r>
      <w:r>
        <w:t xml:space="preserve"> activement les </w:t>
      </w:r>
      <w:r>
        <w:rPr>
          <w:b/>
          <w:bCs/>
        </w:rPr>
        <w:t>dons</w:t>
      </w:r>
      <w:r>
        <w:t xml:space="preserve"> sous toutes leurs formes (tant en argent qu</w:t>
      </w:r>
      <w:r w:rsidR="00715ACD">
        <w:t>’</w:t>
      </w:r>
      <w:r>
        <w:t xml:space="preserve">en nature). Si, toutefois, un don est effectué, la préférence devrait être accordée aux dons en nature » </w:t>
      </w:r>
      <w:r>
        <w:rPr>
          <w:color w:val="00B050"/>
        </w:rPr>
        <w:t xml:space="preserve">(FS3, </w:t>
      </w:r>
      <w:r w:rsidR="00250381">
        <w:rPr>
          <w:color w:val="00B050"/>
        </w:rPr>
        <w:t>boîte </w:t>
      </w:r>
      <w:r>
        <w:rPr>
          <w:color w:val="00B050"/>
        </w:rPr>
        <w:t>42.1</w:t>
      </w:r>
      <w:r>
        <w:t>).</w:t>
      </w:r>
      <w:r>
        <w:rPr>
          <w:rStyle w:val="FootnoteReference"/>
          <w:color w:val="00B050"/>
        </w:rPr>
        <w:t xml:space="preserve"> </w:t>
      </w:r>
    </w:p>
    <w:p w14:paraId="3A385996" w14:textId="03683388" w:rsidR="00204992" w:rsidRPr="002E65D8" w:rsidRDefault="000604BC">
      <w:pPr>
        <w:pStyle w:val="PBBulletList"/>
      </w:pPr>
      <w:r>
        <w:t xml:space="preserve">« Veiller à ce que les autorités, organismes et personnes </w:t>
      </w:r>
      <w:r>
        <w:rPr>
          <w:b/>
          <w:bCs/>
        </w:rPr>
        <w:t>ne demandent pas</w:t>
      </w:r>
      <w:r>
        <w:t xml:space="preserve"> aux FPA de faire des dons » (</w:t>
      </w:r>
      <w:r>
        <w:rPr>
          <w:color w:val="00B050"/>
        </w:rPr>
        <w:t xml:space="preserve">FS3, </w:t>
      </w:r>
      <w:r w:rsidR="00250381">
        <w:rPr>
          <w:color w:val="00B050"/>
        </w:rPr>
        <w:t>boîte </w:t>
      </w:r>
      <w:r>
        <w:rPr>
          <w:color w:val="00B050"/>
        </w:rPr>
        <w:t>42.2</w:t>
      </w:r>
      <w:r>
        <w:t xml:space="preserve">). </w:t>
      </w:r>
    </w:p>
    <w:p w14:paraId="076B5B44" w14:textId="66D4D5CE" w:rsidR="00204992" w:rsidRPr="002E65D8" w:rsidRDefault="000604BC">
      <w:pPr>
        <w:pStyle w:val="PBBulletList"/>
      </w:pPr>
      <w:r>
        <w:t>« </w:t>
      </w:r>
      <w:r>
        <w:rPr>
          <w:b/>
          <w:bCs/>
        </w:rPr>
        <w:t>Informer les FPA</w:t>
      </w:r>
      <w:r>
        <w:t xml:space="preserve"> des problèmes et des dangers liés aux dons (par ex. influence sur la procédure, facteurs de dépendance et d</w:t>
      </w:r>
      <w:r w:rsidR="00715ACD">
        <w:t>’</w:t>
      </w:r>
      <w:r>
        <w:t>attentes, concurrence entre les OAA et les FPA) » (</w:t>
      </w:r>
      <w:r>
        <w:rPr>
          <w:color w:val="00B050"/>
        </w:rPr>
        <w:t xml:space="preserve">FS3, </w:t>
      </w:r>
      <w:r w:rsidR="00250381">
        <w:rPr>
          <w:color w:val="00B050"/>
        </w:rPr>
        <w:t>boîte </w:t>
      </w:r>
      <w:r>
        <w:rPr>
          <w:color w:val="00B050"/>
        </w:rPr>
        <w:t>42.3</w:t>
      </w:r>
      <w:r>
        <w:t>).</w:t>
      </w:r>
    </w:p>
    <w:p w14:paraId="4B91EA20" w14:textId="206E498A" w:rsidR="00204992" w:rsidRPr="002E65D8" w:rsidRDefault="000604BC">
      <w:pPr>
        <w:pStyle w:val="PBBulletList"/>
      </w:pPr>
      <w:r>
        <w:t>«</w:t>
      </w:r>
      <w:r w:rsidR="00CA1B9D">
        <w:t> </w:t>
      </w:r>
      <w:r>
        <w:t xml:space="preserve">Veiller à ce que les </w:t>
      </w:r>
      <w:r>
        <w:rPr>
          <w:b/>
          <w:bCs/>
        </w:rPr>
        <w:t>dons soient toujours réalisés sur la base du volontariat</w:t>
      </w:r>
      <w:r>
        <w:t> : informer les FPA qu</w:t>
      </w:r>
      <w:r w:rsidR="00715ACD">
        <w:t>’</w:t>
      </w:r>
      <w:r>
        <w:t>ils ne sont pas obligés de faire des dons et que, s</w:t>
      </w:r>
      <w:r w:rsidR="00715ACD">
        <w:t>’</w:t>
      </w:r>
      <w:r>
        <w:t>ils subissent des pressions à cet égard, ils devraient en informer les Autorités centrales de l</w:t>
      </w:r>
      <w:r w:rsidR="00715ACD">
        <w:t>’</w:t>
      </w:r>
      <w:r>
        <w:t>État d</w:t>
      </w:r>
      <w:r w:rsidR="00715ACD">
        <w:t>’</w:t>
      </w:r>
      <w:r>
        <w:t>accueil et de l</w:t>
      </w:r>
      <w:r w:rsidR="00715ACD">
        <w:t>’</w:t>
      </w:r>
      <w:r>
        <w:t>État d</w:t>
      </w:r>
      <w:r w:rsidR="00715ACD">
        <w:t>’</w:t>
      </w:r>
      <w:r>
        <w:t>origine » (</w:t>
      </w:r>
      <w:r>
        <w:rPr>
          <w:color w:val="00B050"/>
        </w:rPr>
        <w:t xml:space="preserve">FS3, </w:t>
      </w:r>
      <w:r w:rsidR="00250381">
        <w:rPr>
          <w:color w:val="00B050"/>
        </w:rPr>
        <w:t>boîte </w:t>
      </w:r>
      <w:r>
        <w:rPr>
          <w:color w:val="00B050"/>
        </w:rPr>
        <w:t>42.4</w:t>
      </w:r>
      <w:r>
        <w:t>).</w:t>
      </w:r>
    </w:p>
    <w:p w14:paraId="1FA5D060" w14:textId="13711D66" w:rsidR="002B3643" w:rsidRPr="002E65D8" w:rsidRDefault="00560CCB" w:rsidP="00D143F8">
      <w:pPr>
        <w:pStyle w:val="PBBulletList"/>
      </w:pPr>
      <w:r>
        <w:t xml:space="preserve">La préférence devrait être accordée aux dons </w:t>
      </w:r>
      <w:r>
        <w:rPr>
          <w:b/>
          <w:bCs/>
        </w:rPr>
        <w:t>anonymes</w:t>
      </w:r>
      <w:r>
        <w:t xml:space="preserve">. </w:t>
      </w:r>
    </w:p>
    <w:p w14:paraId="51EB5843" w14:textId="47B8D738" w:rsidR="00F4778A" w:rsidRPr="002E65D8" w:rsidRDefault="00F4778A" w:rsidP="00D143F8">
      <w:pPr>
        <w:pStyle w:val="PBBulletList"/>
      </w:pPr>
      <w:r>
        <w:t xml:space="preserve">Il devrait être </w:t>
      </w:r>
      <w:r>
        <w:rPr>
          <w:b/>
          <w:bCs/>
        </w:rPr>
        <w:t>interdit</w:t>
      </w:r>
      <w:r>
        <w:t xml:space="preserve"> aux FPA de faire des dons </w:t>
      </w:r>
      <w:r>
        <w:rPr>
          <w:b/>
          <w:bCs/>
        </w:rPr>
        <w:t>avant la décision d</w:t>
      </w:r>
      <w:r w:rsidR="00715ACD">
        <w:rPr>
          <w:b/>
          <w:bCs/>
        </w:rPr>
        <w:t>’</w:t>
      </w:r>
      <w:r>
        <w:rPr>
          <w:b/>
          <w:bCs/>
        </w:rPr>
        <w:t>adoption</w:t>
      </w:r>
      <w:r>
        <w:t xml:space="preserve"> et pendant une période déterminée après celle-ci.</w:t>
      </w:r>
    </w:p>
    <w:p w14:paraId="3EA88647" w14:textId="18AB1CBD" w:rsidR="00766BF5" w:rsidRPr="002E65D8" w:rsidRDefault="002E7A3B" w:rsidP="00766BF5">
      <w:pPr>
        <w:pStyle w:val="Blueboxtitle"/>
        <w:spacing w:after="0" w:line="240" w:lineRule="auto"/>
        <w:outlineLvl w:val="2"/>
      </w:pPr>
      <w:bookmarkStart w:id="235" w:name="_Toc236061713"/>
      <w:r>
        <w:t>Boîte</w:t>
      </w:r>
      <w:r w:rsidR="00766BF5">
        <w:t> 23 : Réglementation des dons</w:t>
      </w:r>
      <w:bookmarkEnd w:id="235"/>
    </w:p>
    <w:p w14:paraId="62342FE7" w14:textId="77777777" w:rsidR="00766BF5" w:rsidRPr="002E65D8" w:rsidRDefault="00766BF5" w:rsidP="00766BF5">
      <w:pPr>
        <w:pStyle w:val="Blueboxtitle"/>
        <w:rPr>
          <w:b w:val="0"/>
          <w:bCs w:val="0"/>
        </w:rPr>
      </w:pPr>
      <w:r>
        <w:rPr>
          <w:b w:val="0"/>
        </w:rPr>
        <w:t xml:space="preserve">Quelques exemples de mesures mises en œuvre par les États </w:t>
      </w:r>
    </w:p>
    <w:p w14:paraId="61446343" w14:textId="4A6663CB" w:rsidR="00FE5BFE" w:rsidRPr="002E65D8" w:rsidRDefault="008E0DF4" w:rsidP="00017C48">
      <w:pPr>
        <w:pStyle w:val="Bluebox"/>
      </w:pPr>
      <w:r>
        <w:t>L</w:t>
      </w:r>
      <w:r w:rsidR="00715ACD">
        <w:t>’</w:t>
      </w:r>
      <w:r>
        <w:t>Australie</w:t>
      </w:r>
      <w:r w:rsidR="00E40F13" w:rsidRPr="002E65D8">
        <w:rPr>
          <w:vertAlign w:val="superscript"/>
        </w:rPr>
        <w:footnoteReference w:id="331"/>
      </w:r>
      <w:r>
        <w:t>, le Burundi</w:t>
      </w:r>
      <w:r w:rsidR="00F34BEF" w:rsidRPr="002E65D8">
        <w:rPr>
          <w:vertAlign w:val="superscript"/>
        </w:rPr>
        <w:footnoteReference w:id="332"/>
      </w:r>
      <w:r>
        <w:t>, le Cambodge</w:t>
      </w:r>
      <w:r w:rsidR="00ED3AC5" w:rsidRPr="002E65D8">
        <w:rPr>
          <w:vertAlign w:val="superscript"/>
        </w:rPr>
        <w:footnoteReference w:id="333"/>
      </w:r>
      <w:r>
        <w:t>, la Colombie</w:t>
      </w:r>
      <w:r w:rsidRPr="002E65D8">
        <w:rPr>
          <w:vertAlign w:val="superscript"/>
        </w:rPr>
        <w:footnoteReference w:id="334"/>
      </w:r>
      <w:r>
        <w:t>, la Côte d</w:t>
      </w:r>
      <w:r w:rsidR="00715ACD">
        <w:t>’</w:t>
      </w:r>
      <w:r>
        <w:t>Ivoire</w:t>
      </w:r>
      <w:r w:rsidR="00E21639" w:rsidRPr="002E65D8">
        <w:rPr>
          <w:vertAlign w:val="superscript"/>
        </w:rPr>
        <w:footnoteReference w:id="335"/>
      </w:r>
      <w:r>
        <w:t>, la France</w:t>
      </w:r>
      <w:r w:rsidRPr="002E65D8">
        <w:rPr>
          <w:vertAlign w:val="superscript"/>
        </w:rPr>
        <w:footnoteReference w:id="336"/>
      </w:r>
      <w:r>
        <w:t>, l</w:t>
      </w:r>
      <w:r w:rsidR="00715ACD">
        <w:t>’</w:t>
      </w:r>
      <w:r>
        <w:t>Italie</w:t>
      </w:r>
      <w:r w:rsidR="001D5C89" w:rsidRPr="002E65D8">
        <w:rPr>
          <w:vertAlign w:val="superscript"/>
        </w:rPr>
        <w:footnoteReference w:id="337"/>
      </w:r>
      <w:r>
        <w:t xml:space="preserve"> et la République dominicaine</w:t>
      </w:r>
      <w:r w:rsidR="00196DF0" w:rsidRPr="002E65D8">
        <w:rPr>
          <w:vertAlign w:val="superscript"/>
        </w:rPr>
        <w:footnoteReference w:id="338"/>
      </w:r>
      <w:r>
        <w:t xml:space="preserve"> interdisent les dons avant l</w:t>
      </w:r>
      <w:r w:rsidR="00715ACD">
        <w:t>’</w:t>
      </w:r>
      <w:r>
        <w:t>aboutissement de la procédure d</w:t>
      </w:r>
      <w:r w:rsidR="00715ACD">
        <w:t>’</w:t>
      </w:r>
      <w:r>
        <w:t xml:space="preserve">adoption. </w:t>
      </w:r>
    </w:p>
    <w:p w14:paraId="623B9962" w14:textId="10E93F57" w:rsidR="008E0DF4" w:rsidRPr="002E65D8" w:rsidRDefault="00FE5BFE" w:rsidP="00017C48">
      <w:pPr>
        <w:pStyle w:val="Bluebox"/>
      </w:pPr>
      <w:r>
        <w:t>Aux Philippines, le montant des dons est limité (1 000 dollars américains par placement)</w:t>
      </w:r>
      <w:r w:rsidR="009854D6" w:rsidRPr="002E65D8">
        <w:rPr>
          <w:rStyle w:val="FootnoteReference"/>
        </w:rPr>
        <w:footnoteReference w:id="339"/>
      </w:r>
      <w:r>
        <w:t>.</w:t>
      </w:r>
    </w:p>
    <w:p w14:paraId="7063AE04" w14:textId="6B5278A6" w:rsidR="00AF4A3D" w:rsidRPr="002E65D8" w:rsidRDefault="00D339E0" w:rsidP="004047D5">
      <w:pPr>
        <w:pStyle w:val="Heading3"/>
      </w:pPr>
      <w:bookmarkStart w:id="236" w:name="_Toc236061714"/>
      <w:r>
        <w:t>Projets de coopération : Problèmes spécifiques</w:t>
      </w:r>
      <w:bookmarkEnd w:id="236"/>
      <w:r>
        <w:t xml:space="preserve"> </w:t>
      </w:r>
    </w:p>
    <w:p w14:paraId="1DCD30DA" w14:textId="2E31CC03" w:rsidR="00C579DA" w:rsidRPr="002E65D8" w:rsidRDefault="00B769C7" w:rsidP="00611F44">
      <w:pPr>
        <w:pStyle w:val="PBParagraph"/>
      </w:pPr>
      <w:r>
        <w:t>Malgré les problèmes énumérés au chapitre </w:t>
      </w:r>
      <w:r w:rsidR="007B6F7C" w:rsidRPr="002E65D8">
        <w:fldChar w:fldCharType="begin"/>
      </w:r>
      <w:r w:rsidR="007B6F7C" w:rsidRPr="002E65D8">
        <w:instrText xml:space="preserve"> REF _Ref179384849 \r \h </w:instrText>
      </w:r>
      <w:r w:rsidR="002E65D8">
        <w:instrText xml:space="preserve"> \* MERGEFORMAT </w:instrText>
      </w:r>
      <w:r w:rsidR="007B6F7C" w:rsidRPr="002E65D8">
        <w:fldChar w:fldCharType="separate"/>
      </w:r>
      <w:r w:rsidR="00E6549D">
        <w:t>7.1</w:t>
      </w:r>
      <w:r w:rsidR="007B6F7C" w:rsidRPr="002E65D8">
        <w:fldChar w:fldCharType="end"/>
      </w:r>
      <w:r>
        <w:t xml:space="preserve"> ci-dessus, des projets de coopération peuvent tout de même être entrepris. Lorsque des projets de coopération sont entrepris dans un État, les éléments suivants devraient, à tout le moins, être pris en considération. </w:t>
      </w:r>
    </w:p>
    <w:p w14:paraId="0BBD597C" w14:textId="476C66FB" w:rsidR="009F3982" w:rsidRPr="002E65D8" w:rsidRDefault="003D77CC" w:rsidP="00A40A39">
      <w:pPr>
        <w:pStyle w:val="PBParagraph"/>
      </w:pPr>
      <w:r>
        <w:rPr>
          <w:b/>
          <w:i/>
          <w:color w:val="0094D2" w:themeColor="accent1"/>
          <w:u w:val="single"/>
        </w:rPr>
        <w:t>Exemples de pratiques illicites et / ou de facteurs propices spécifiques</w:t>
      </w:r>
      <w:r>
        <w:rPr>
          <w:color w:val="0094D2" w:themeColor="accent1"/>
        </w:rPr>
        <w:t xml:space="preserve"> </w:t>
      </w:r>
      <w:r>
        <w:t>en matière de projets de coopération (outre ceux évoqués au chapitre </w:t>
      </w:r>
      <w:r w:rsidR="003C2CA0" w:rsidRPr="002E65D8">
        <w:fldChar w:fldCharType="begin"/>
      </w:r>
      <w:r w:rsidR="003C2CA0" w:rsidRPr="002E65D8">
        <w:instrText xml:space="preserve"> REF _Ref179384849 \r \h </w:instrText>
      </w:r>
      <w:r w:rsidR="002E65D8">
        <w:instrText xml:space="preserve"> \* MERGEFORMAT </w:instrText>
      </w:r>
      <w:r w:rsidR="003C2CA0" w:rsidRPr="002E65D8">
        <w:fldChar w:fldCharType="separate"/>
      </w:r>
      <w:r w:rsidR="00E6549D">
        <w:t>7.1</w:t>
      </w:r>
      <w:r w:rsidR="003C2CA0" w:rsidRPr="002E65D8">
        <w:fldChar w:fldCharType="end"/>
      </w:r>
      <w:r>
        <w:t xml:space="preserve"> ci-dessus) :</w:t>
      </w:r>
      <w:r w:rsidR="00E6549D">
        <w:t xml:space="preserve"> </w:t>
      </w:r>
    </w:p>
    <w:p w14:paraId="0ABD9E22" w14:textId="6C1A0E88" w:rsidR="004B6CF4" w:rsidRPr="002E65D8" w:rsidRDefault="004B6CF4" w:rsidP="004A37F7">
      <w:pPr>
        <w:pStyle w:val="PBBulletList"/>
      </w:pPr>
      <w:r>
        <w:t>Des contributions et des dons (souvent requis par les OAA s</w:t>
      </w:r>
      <w:r w:rsidR="00715ACD">
        <w:t>’</w:t>
      </w:r>
      <w:r>
        <w:t>ils mènent un projet de coopération dans l</w:t>
      </w:r>
      <w:r w:rsidR="00715ACD">
        <w:t>’</w:t>
      </w:r>
      <w:r>
        <w:t>État) peuvent être exigés ou attendus des FPA ou des OAA pour soutenir le système de protection des enfants.</w:t>
      </w:r>
    </w:p>
    <w:p w14:paraId="27683E58" w14:textId="174A3880" w:rsidR="004B6CF4" w:rsidRPr="002E65D8" w:rsidRDefault="004B6CF4" w:rsidP="004A37F7">
      <w:pPr>
        <w:pStyle w:val="PBBulletList"/>
      </w:pPr>
      <w:r>
        <w:t>Certains États d</w:t>
      </w:r>
      <w:r w:rsidR="00715ACD">
        <w:t>’</w:t>
      </w:r>
      <w:r>
        <w:t>origine ont instauré une contribution obligatoire pour l</w:t>
      </w:r>
      <w:r w:rsidR="00715ACD">
        <w:t>’</w:t>
      </w:r>
      <w:r>
        <w:t>aide au développement ou demandent aux OAA de participer aux projets de coopération. Cela peut donner lieu à un défaut de distinction entre les projets de coopération et les coûts réels d</w:t>
      </w:r>
      <w:r w:rsidR="00715ACD">
        <w:t>’</w:t>
      </w:r>
      <w:r>
        <w:t>une adoption et de la procédure d</w:t>
      </w:r>
      <w:r w:rsidR="00715ACD">
        <w:t>’</w:t>
      </w:r>
      <w:r>
        <w:t>adoption internationale dans son ensemble.</w:t>
      </w:r>
    </w:p>
    <w:p w14:paraId="02E1441E" w14:textId="56F6F63C" w:rsidR="00CB1F7C" w:rsidRPr="002E65D8" w:rsidRDefault="00665387" w:rsidP="004A37F7">
      <w:pPr>
        <w:pStyle w:val="PBBulletList"/>
      </w:pPr>
      <w:r>
        <w:t>« Projets de coopération, sans garanties solides et complètes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43</w:t>
      </w:r>
      <w:r>
        <w:t>).</w:t>
      </w:r>
    </w:p>
    <w:p w14:paraId="74884411" w14:textId="7E51C8F0" w:rsidR="004B6CF4" w:rsidRPr="002E65D8" w:rsidRDefault="00665387" w:rsidP="004A37F7">
      <w:pPr>
        <w:pStyle w:val="PBBulletList"/>
      </w:pPr>
      <w:r>
        <w:t>« Absence d</w:t>
      </w:r>
      <w:r w:rsidR="00715ACD">
        <w:t>’</w:t>
      </w:r>
      <w:r>
        <w:t>accord écrit de coopération entre les organismes et / ou les autorités concernés dans l</w:t>
      </w:r>
      <w:r w:rsidR="00715ACD">
        <w:t>’</w:t>
      </w:r>
      <w:r>
        <w:t>État d</w:t>
      </w:r>
      <w:r w:rsidR="00715ACD">
        <w:t>’</w:t>
      </w:r>
      <w:r>
        <w:t>accueil et l</w:t>
      </w:r>
      <w:r w:rsidR="00715ACD">
        <w:t>’</w:t>
      </w:r>
      <w:r>
        <w:t>État d</w:t>
      </w:r>
      <w:r w:rsidR="00715ACD">
        <w:t>’</w:t>
      </w:r>
      <w:r>
        <w:t>origine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44</w:t>
      </w:r>
      <w:r>
        <w:t>).</w:t>
      </w:r>
    </w:p>
    <w:p w14:paraId="681D22B1" w14:textId="3335AAB6" w:rsidR="00CD6034" w:rsidRPr="002E65D8" w:rsidRDefault="0030122D" w:rsidP="004A37F7">
      <w:pPr>
        <w:pStyle w:val="PBBulletList"/>
      </w:pPr>
      <w:r>
        <w:lastRenderedPageBreak/>
        <w:t>« Projets de coopération des OAA, sans système de rapports réguliers approprié ni supervision ou suivi par l</w:t>
      </w:r>
      <w:r w:rsidR="00715ACD">
        <w:t>’</w:t>
      </w:r>
      <w:r>
        <w:t>autorité compétente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45</w:t>
      </w:r>
      <w:r>
        <w:t>).</w:t>
      </w:r>
    </w:p>
    <w:p w14:paraId="0FDDC77A" w14:textId="3C1F0466" w:rsidR="004B6CF4" w:rsidRPr="002E65D8" w:rsidRDefault="0030122D" w:rsidP="004A37F7">
      <w:pPr>
        <w:pStyle w:val="PBBulletList"/>
      </w:pPr>
      <w:r>
        <w:t>« Absence de distinction entre le personnel et les finances des autorités ou OAA impliqués dans l</w:t>
      </w:r>
      <w:r w:rsidR="00715ACD">
        <w:t>’</w:t>
      </w:r>
      <w:r>
        <w:t>adoption internationale et le personnel et les finances impliqués dans les projets de coopération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46</w:t>
      </w:r>
      <w:r>
        <w:t>).</w:t>
      </w:r>
    </w:p>
    <w:p w14:paraId="4A3A4B84" w14:textId="643C04D3" w:rsidR="004B6CF4" w:rsidRPr="002E65D8" w:rsidRDefault="005D541E" w:rsidP="004A37F7">
      <w:pPr>
        <w:pStyle w:val="PBBulletList"/>
      </w:pPr>
      <w:r>
        <w:t>« Attente ou pression pesant sur les OAA et / ou les États d</w:t>
      </w:r>
      <w:r w:rsidR="00715ACD">
        <w:t>’</w:t>
      </w:r>
      <w:r>
        <w:t>accueil pour qu</w:t>
      </w:r>
      <w:r w:rsidR="00715ACD">
        <w:t>’</w:t>
      </w:r>
      <w:r>
        <w:t>ils entreprennent des projets de coopération dans les États d</w:t>
      </w:r>
      <w:r w:rsidR="00715ACD">
        <w:t>’</w:t>
      </w:r>
      <w:r>
        <w:t>origine, ou obligation pour eux de le faire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47</w:t>
      </w:r>
      <w:r>
        <w:t>).</w:t>
      </w:r>
    </w:p>
    <w:p w14:paraId="2B8543B7" w14:textId="1E7039EF" w:rsidR="005B3A86" w:rsidRPr="002E65D8" w:rsidRDefault="004274D2" w:rsidP="004A37F7">
      <w:pPr>
        <w:pStyle w:val="PBBulletList"/>
      </w:pPr>
      <w:r>
        <w:t>« Obligation de contribuer aux projets de coopération des OAA » (</w:t>
      </w:r>
      <w:r>
        <w:rPr>
          <w:color w:val="FFC000"/>
          <w:shd w:val="clear" w:color="auto" w:fill="FFFFFF" w:themeFill="background1"/>
        </w:rPr>
        <w:t xml:space="preserve">FS3, </w:t>
      </w:r>
      <w:r w:rsidR="00250381">
        <w:rPr>
          <w:color w:val="FFC000"/>
          <w:shd w:val="clear" w:color="auto" w:fill="FFFFFF" w:themeFill="background1"/>
        </w:rPr>
        <w:t>boîte </w:t>
      </w:r>
      <w:r>
        <w:rPr>
          <w:color w:val="FFC000"/>
          <w:shd w:val="clear" w:color="auto" w:fill="FFFFFF" w:themeFill="background1"/>
        </w:rPr>
        <w:t>48</w:t>
      </w:r>
      <w:r>
        <w:t>).</w:t>
      </w:r>
    </w:p>
    <w:p w14:paraId="1DA87AC7" w14:textId="24B7877F" w:rsidR="00F37232" w:rsidRPr="002E65D8" w:rsidRDefault="00F37232" w:rsidP="00A40A39">
      <w:pPr>
        <w:pStyle w:val="PBParagraph"/>
      </w:pPr>
      <w:r>
        <w:rPr>
          <w:b/>
          <w:i/>
          <w:color w:val="0094D2" w:themeColor="accent1"/>
          <w:u w:val="single"/>
        </w:rPr>
        <w:t>Exemples de possibles mesures préventives</w:t>
      </w:r>
      <w:r>
        <w:rPr>
          <w:color w:val="0094D2" w:themeColor="accent1"/>
        </w:rPr>
        <w:t xml:space="preserve"> </w:t>
      </w:r>
      <w:r>
        <w:t>en matière de projets de coopération (outre les garanties générales en matière de transparence et de caractère raisonnable (chapitre </w:t>
      </w:r>
      <w:r w:rsidR="003B26B7" w:rsidRPr="002E65D8">
        <w:fldChar w:fldCharType="begin"/>
      </w:r>
      <w:r w:rsidR="003B26B7" w:rsidRPr="002E65D8">
        <w:instrText xml:space="preserve"> REF _Ref211003302 \r \h </w:instrText>
      </w:r>
      <w:r w:rsidR="002E65D8">
        <w:instrText xml:space="preserve"> \* MERGEFORMAT </w:instrText>
      </w:r>
      <w:r w:rsidR="003B26B7" w:rsidRPr="002E65D8">
        <w:fldChar w:fldCharType="separate"/>
      </w:r>
      <w:r w:rsidR="00E6549D">
        <w:t>6</w:t>
      </w:r>
      <w:r w:rsidR="003B26B7" w:rsidRPr="002E65D8">
        <w:fldChar w:fldCharType="end"/>
      </w:r>
      <w:r>
        <w:t>) et les garanties communes aux contributions, dons et projets de coopération (para. </w:t>
      </w:r>
      <w:r w:rsidR="00487249" w:rsidRPr="002E65D8">
        <w:fldChar w:fldCharType="begin"/>
      </w:r>
      <w:r w:rsidR="00487249" w:rsidRPr="002E65D8">
        <w:instrText xml:space="preserve"> REF _Ref226531182 \r \h </w:instrText>
      </w:r>
      <w:r w:rsidR="002E65D8">
        <w:instrText xml:space="preserve"> \* MERGEFORMAT </w:instrText>
      </w:r>
      <w:r w:rsidR="00487249" w:rsidRPr="002E65D8">
        <w:fldChar w:fldCharType="separate"/>
      </w:r>
      <w:r w:rsidR="00E6549D">
        <w:t>204</w:t>
      </w:r>
      <w:r w:rsidR="00487249" w:rsidRPr="002E65D8">
        <w:fldChar w:fldCharType="end"/>
      </w:r>
      <w:r>
        <w:t>)) :</w:t>
      </w:r>
    </w:p>
    <w:p w14:paraId="52FD8B55" w14:textId="4BB0A2BB" w:rsidR="00416F02" w:rsidRPr="002E65D8" w:rsidRDefault="00852CB7" w:rsidP="00237E7A">
      <w:pPr>
        <w:pStyle w:val="PBBulletList"/>
      </w:pPr>
      <w:r>
        <w:t xml:space="preserve">« Fixer des </w:t>
      </w:r>
      <w:r>
        <w:rPr>
          <w:b/>
          <w:bCs/>
        </w:rPr>
        <w:t>conditions strictes</w:t>
      </w:r>
      <w:r>
        <w:t xml:space="preserve"> et des </w:t>
      </w:r>
      <w:r>
        <w:rPr>
          <w:b/>
          <w:bCs/>
        </w:rPr>
        <w:t>finalités limitées</w:t>
      </w:r>
      <w:r>
        <w:t xml:space="preserve"> dans le cadre desquelles les projets de coopération peuvent être autorisés » (</w:t>
      </w:r>
      <w:r>
        <w:rPr>
          <w:color w:val="00B050"/>
        </w:rPr>
        <w:t xml:space="preserve">FS3, </w:t>
      </w:r>
      <w:r w:rsidR="00250381">
        <w:rPr>
          <w:color w:val="00B050"/>
        </w:rPr>
        <w:t>boîte </w:t>
      </w:r>
      <w:r>
        <w:rPr>
          <w:color w:val="00B050"/>
        </w:rPr>
        <w:t>43.1</w:t>
      </w:r>
      <w:r>
        <w:t>).</w:t>
      </w:r>
    </w:p>
    <w:p w14:paraId="1C6406C1" w14:textId="04EFEB22" w:rsidR="006A099E" w:rsidRPr="002E65D8" w:rsidRDefault="006A099E" w:rsidP="00237E7A">
      <w:pPr>
        <w:pStyle w:val="PBBulletList"/>
      </w:pPr>
      <w:r>
        <w:t xml:space="preserve">« Veiller à ce que les projets de coopération répondent aux </w:t>
      </w:r>
      <w:r>
        <w:rPr>
          <w:b/>
          <w:bCs/>
        </w:rPr>
        <w:t>besoins réels</w:t>
      </w:r>
      <w:r>
        <w:t xml:space="preserve"> de l</w:t>
      </w:r>
      <w:r w:rsidR="00715ACD">
        <w:t>’</w:t>
      </w:r>
      <w:r>
        <w:t>État d</w:t>
      </w:r>
      <w:r w:rsidR="00715ACD">
        <w:t>’</w:t>
      </w:r>
      <w:r>
        <w:t>origine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43.2</w:t>
      </w:r>
      <w:r>
        <w:t xml:space="preserve">), une coopération avec le ministère pertinent peut être recherchée à cet égard. </w:t>
      </w:r>
    </w:p>
    <w:p w14:paraId="6443BDE5" w14:textId="4C0F685B" w:rsidR="00691C4F" w:rsidRPr="002E65D8" w:rsidRDefault="00691C4F" w:rsidP="00237E7A">
      <w:pPr>
        <w:pStyle w:val="PBBulletList"/>
      </w:pPr>
      <w:r>
        <w:t xml:space="preserve">« Exiger par la loi la </w:t>
      </w:r>
      <w:r>
        <w:rPr>
          <w:b/>
          <w:bCs/>
        </w:rPr>
        <w:t>séparation</w:t>
      </w:r>
      <w:r>
        <w:t xml:space="preserve"> entre l</w:t>
      </w:r>
      <w:r w:rsidR="00715ACD">
        <w:t>’</w:t>
      </w:r>
      <w:r>
        <w:t>adoption internationale et les projets de coopération et autres formes d</w:t>
      </w:r>
      <w:r w:rsidR="00715ACD">
        <w:t>’</w:t>
      </w:r>
      <w:r>
        <w:t>aide » (</w:t>
      </w:r>
      <w:r>
        <w:rPr>
          <w:color w:val="00B050"/>
        </w:rPr>
        <w:t xml:space="preserve">FS3, </w:t>
      </w:r>
      <w:r w:rsidR="00250381">
        <w:rPr>
          <w:color w:val="00B050"/>
        </w:rPr>
        <w:t>boîte </w:t>
      </w:r>
      <w:r>
        <w:rPr>
          <w:color w:val="00B050"/>
        </w:rPr>
        <w:t>43.3</w:t>
      </w:r>
      <w:r>
        <w:t>).</w:t>
      </w:r>
    </w:p>
    <w:p w14:paraId="4E6D9963" w14:textId="142DA52D" w:rsidR="00223669" w:rsidRPr="002E65D8" w:rsidRDefault="00223669" w:rsidP="00237E7A">
      <w:pPr>
        <w:pStyle w:val="PBBulletList"/>
      </w:pPr>
      <w:r>
        <w:t>« Veillez à ce qu</w:t>
      </w:r>
      <w:r w:rsidR="00715ACD">
        <w:t>’</w:t>
      </w:r>
      <w:r>
        <w:t xml:space="preserve">un </w:t>
      </w:r>
      <w:r>
        <w:rPr>
          <w:b/>
          <w:bCs/>
        </w:rPr>
        <w:t>accord écrit de coopération</w:t>
      </w:r>
      <w:r>
        <w:t xml:space="preserve"> (contenant les dispositions qui en précisent les modalités) soit signé entre les organismes et / ou les autorités concernés dans les deux États » (</w:t>
      </w:r>
      <w:r>
        <w:rPr>
          <w:color w:val="00B050"/>
        </w:rPr>
        <w:t xml:space="preserve">FS3, </w:t>
      </w:r>
      <w:r w:rsidR="00250381">
        <w:rPr>
          <w:color w:val="00B050"/>
        </w:rPr>
        <w:t>boîte </w:t>
      </w:r>
      <w:r>
        <w:rPr>
          <w:color w:val="00B050"/>
        </w:rPr>
        <w:t>44</w:t>
      </w:r>
      <w:r>
        <w:t>).</w:t>
      </w:r>
    </w:p>
    <w:p w14:paraId="1849ED29" w14:textId="3DF189DA" w:rsidR="004F4337" w:rsidRPr="002E65D8" w:rsidRDefault="004F4337" w:rsidP="00237E7A">
      <w:pPr>
        <w:pStyle w:val="PBBulletList"/>
      </w:pPr>
      <w:r>
        <w:t xml:space="preserve">« Veiller à ce que les OAA </w:t>
      </w:r>
      <w:r>
        <w:rPr>
          <w:b/>
          <w:bCs/>
        </w:rPr>
        <w:t>rendent compte</w:t>
      </w:r>
      <w:r>
        <w:t xml:space="preserve"> des projets de coopération dans lesquels ils sont impliqués à l</w:t>
      </w:r>
      <w:r w:rsidR="00715ACD">
        <w:t>’</w:t>
      </w:r>
      <w:r>
        <w:t>autorité compétente pertinente de l</w:t>
      </w:r>
      <w:r w:rsidR="00715ACD">
        <w:t>’</w:t>
      </w:r>
      <w:r>
        <w:t>État d</w:t>
      </w:r>
      <w:r w:rsidR="00715ACD">
        <w:t>’</w:t>
      </w:r>
      <w:r>
        <w:t>origine et de l</w:t>
      </w:r>
      <w:r w:rsidR="00715ACD">
        <w:t>’</w:t>
      </w:r>
      <w:r>
        <w:t>État d</w:t>
      </w:r>
      <w:r w:rsidR="00715ACD">
        <w:t>’</w:t>
      </w:r>
      <w:r>
        <w:t>accueil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45.1</w:t>
      </w:r>
      <w:r>
        <w:t xml:space="preserve">). </w:t>
      </w:r>
    </w:p>
    <w:p w14:paraId="1B6D2F57" w14:textId="6FF9E515" w:rsidR="00B57C17" w:rsidRPr="002E65D8" w:rsidRDefault="00081A0B" w:rsidP="00237E7A">
      <w:pPr>
        <w:pStyle w:val="PBBulletList"/>
      </w:pPr>
      <w:r>
        <w:t xml:space="preserve">« Veiller à la </w:t>
      </w:r>
      <w:r>
        <w:rPr>
          <w:b/>
        </w:rPr>
        <w:t>supervision et au suivi</w:t>
      </w:r>
      <w:r>
        <w:t xml:space="preserve"> des projets des OAA par l</w:t>
      </w:r>
      <w:r w:rsidR="00715ACD">
        <w:t>’</w:t>
      </w:r>
      <w:r>
        <w:t>autorité compétente de l</w:t>
      </w:r>
      <w:r w:rsidR="00715ACD">
        <w:t>’</w:t>
      </w:r>
      <w:r>
        <w:t>État d</w:t>
      </w:r>
      <w:r w:rsidR="00715ACD">
        <w:t>’</w:t>
      </w:r>
      <w:r>
        <w:t>accueil en étroite collaboration avec l</w:t>
      </w:r>
      <w:r w:rsidR="00715ACD">
        <w:t>’</w:t>
      </w:r>
      <w:r>
        <w:t>autorité compétente de l</w:t>
      </w:r>
      <w:r w:rsidR="00715ACD">
        <w:t>’</w:t>
      </w:r>
      <w:r>
        <w:t>État d</w:t>
      </w:r>
      <w:r w:rsidR="00715ACD">
        <w:t>’</w:t>
      </w:r>
      <w:r>
        <w:t>origine » (</w:t>
      </w:r>
      <w:r>
        <w:rPr>
          <w:color w:val="00B050"/>
          <w:shd w:val="clear" w:color="auto" w:fill="FFFFFF" w:themeFill="background1"/>
        </w:rPr>
        <w:t xml:space="preserve">FS3, </w:t>
      </w:r>
      <w:r w:rsidR="00250381">
        <w:rPr>
          <w:color w:val="00B050"/>
          <w:shd w:val="clear" w:color="auto" w:fill="FFFFFF" w:themeFill="background1"/>
        </w:rPr>
        <w:t>boîte </w:t>
      </w:r>
      <w:r>
        <w:rPr>
          <w:color w:val="00B050"/>
          <w:shd w:val="clear" w:color="auto" w:fill="FFFFFF" w:themeFill="background1"/>
        </w:rPr>
        <w:t>45.2</w:t>
      </w:r>
      <w:r>
        <w:t xml:space="preserve">). </w:t>
      </w:r>
    </w:p>
    <w:p w14:paraId="12A8F545" w14:textId="55DB10CD" w:rsidR="000D5981" w:rsidRPr="002E65D8" w:rsidRDefault="00796288" w:rsidP="00237E7A">
      <w:pPr>
        <w:pStyle w:val="PBBulletList"/>
      </w:pPr>
      <w:r>
        <w:t>« Veiller à ce que les OAA disposent d</w:t>
      </w:r>
      <w:r w:rsidR="00715ACD">
        <w:t>’</w:t>
      </w:r>
      <w:r>
        <w:t xml:space="preserve">un </w:t>
      </w:r>
      <w:r>
        <w:rPr>
          <w:b/>
          <w:bCs/>
        </w:rPr>
        <w:t>service distinct</w:t>
      </w:r>
      <w:r>
        <w:t xml:space="preserve"> dédié aux projets de coopération : c.-à-d., une structure propre, avec une comptabilité et un personnel de gestion spécifiques, distincts et totalement indépendants du service gérant les opérations liées à l</w:t>
      </w:r>
      <w:r w:rsidR="00715ACD">
        <w:t>’</w:t>
      </w:r>
      <w:r>
        <w:t>adoption » (</w:t>
      </w:r>
      <w:r>
        <w:rPr>
          <w:color w:val="00B050"/>
        </w:rPr>
        <w:t xml:space="preserve">FS3, </w:t>
      </w:r>
      <w:r w:rsidR="00250381">
        <w:rPr>
          <w:color w:val="00B050"/>
        </w:rPr>
        <w:t>boîte </w:t>
      </w:r>
      <w:r>
        <w:rPr>
          <w:color w:val="00B050"/>
        </w:rPr>
        <w:t>46.1</w:t>
      </w:r>
      <w:r>
        <w:t>).</w:t>
      </w:r>
    </w:p>
    <w:p w14:paraId="1C0C6DF4" w14:textId="09FA551E" w:rsidR="00F36444" w:rsidRPr="002E65D8" w:rsidRDefault="00F04337" w:rsidP="00237E7A">
      <w:pPr>
        <w:pStyle w:val="PBBulletList"/>
      </w:pPr>
      <w:r>
        <w:t xml:space="preserve">« Les contributions et les dons pour les projets de coopération des OAA devraient être versés à un </w:t>
      </w:r>
      <w:r>
        <w:rPr>
          <w:b/>
          <w:bCs/>
        </w:rPr>
        <w:t>service spécifique</w:t>
      </w:r>
      <w:r>
        <w:t xml:space="preserve"> dédié aux projets de coopération » (</w:t>
      </w:r>
      <w:r>
        <w:rPr>
          <w:color w:val="00B050"/>
        </w:rPr>
        <w:t xml:space="preserve">FS3, </w:t>
      </w:r>
      <w:r w:rsidR="00250381">
        <w:rPr>
          <w:color w:val="00B050"/>
        </w:rPr>
        <w:t>boîte </w:t>
      </w:r>
      <w:r>
        <w:rPr>
          <w:color w:val="00B050"/>
        </w:rPr>
        <w:t>46.2)</w:t>
      </w:r>
      <w:r>
        <w:t>.</w:t>
      </w:r>
    </w:p>
    <w:p w14:paraId="1B5065FE" w14:textId="05F54267" w:rsidR="007475C0" w:rsidRPr="002E65D8" w:rsidRDefault="007475C0" w:rsidP="00237E7A">
      <w:pPr>
        <w:pStyle w:val="PBBulletList"/>
      </w:pPr>
      <w:r>
        <w:t>« </w:t>
      </w:r>
      <w:r>
        <w:rPr>
          <w:b/>
          <w:bCs/>
        </w:rPr>
        <w:t>Informer les OAA</w:t>
      </w:r>
      <w:r>
        <w:t xml:space="preserve"> quant aux aspects financiers de l</w:t>
      </w:r>
      <w:r w:rsidR="00715ACD">
        <w:t>’</w:t>
      </w:r>
      <w:r>
        <w:t>adoption » (</w:t>
      </w:r>
      <w:r>
        <w:rPr>
          <w:color w:val="00B050"/>
        </w:rPr>
        <w:t xml:space="preserve">FS3, </w:t>
      </w:r>
      <w:r w:rsidR="00250381">
        <w:rPr>
          <w:color w:val="00B050"/>
        </w:rPr>
        <w:t>boîte </w:t>
      </w:r>
      <w:r>
        <w:rPr>
          <w:color w:val="00B050"/>
        </w:rPr>
        <w:t>47.1</w:t>
      </w:r>
      <w:r>
        <w:t>).</w:t>
      </w:r>
    </w:p>
    <w:p w14:paraId="49D78EBD" w14:textId="2ACFF909" w:rsidR="00F37232" w:rsidRPr="002E65D8" w:rsidRDefault="007C0C7B" w:rsidP="00237E7A">
      <w:pPr>
        <w:pStyle w:val="PBBulletList"/>
      </w:pPr>
      <w:r>
        <w:t>« Les États d</w:t>
      </w:r>
      <w:r w:rsidR="00715ACD">
        <w:t>’</w:t>
      </w:r>
      <w:r>
        <w:t xml:space="preserve">origine ne devraient </w:t>
      </w:r>
      <w:r>
        <w:rPr>
          <w:b/>
          <w:bCs/>
        </w:rPr>
        <w:t>pas exiger des OAA</w:t>
      </w:r>
      <w:r>
        <w:t xml:space="preserve"> et / ou des États d</w:t>
      </w:r>
      <w:r w:rsidR="00715ACD">
        <w:t>’</w:t>
      </w:r>
      <w:r>
        <w:t>accueil qu</w:t>
      </w:r>
      <w:r w:rsidR="00715ACD">
        <w:t>’</w:t>
      </w:r>
      <w:r>
        <w:t>ils entreprennent des projets de coopération ou y contribuent au sein de leur État » (non souligné dans l</w:t>
      </w:r>
      <w:r w:rsidR="00715ACD">
        <w:t>’</w:t>
      </w:r>
      <w:r>
        <w:t>original) (</w:t>
      </w:r>
      <w:r>
        <w:rPr>
          <w:color w:val="00B050"/>
        </w:rPr>
        <w:t xml:space="preserve">FS3, </w:t>
      </w:r>
      <w:r w:rsidR="00250381">
        <w:rPr>
          <w:color w:val="00B050"/>
        </w:rPr>
        <w:t>boîte </w:t>
      </w:r>
      <w:r>
        <w:rPr>
          <w:color w:val="00B050"/>
        </w:rPr>
        <w:t>47.2</w:t>
      </w:r>
      <w:r>
        <w:t>).</w:t>
      </w:r>
    </w:p>
    <w:p w14:paraId="3875454F" w14:textId="7758C975" w:rsidR="00F37232" w:rsidRPr="002E65D8" w:rsidRDefault="00D86685" w:rsidP="00505DB4">
      <w:pPr>
        <w:pStyle w:val="PBBulletList"/>
        <w:shd w:val="clear" w:color="auto" w:fill="FFFFFF" w:themeFill="background1"/>
      </w:pPr>
      <w:r>
        <w:t>« </w:t>
      </w:r>
      <w:r>
        <w:rPr>
          <w:b/>
          <w:bCs/>
        </w:rPr>
        <w:t>Interdire le fait d</w:t>
      </w:r>
      <w:r w:rsidR="00715ACD">
        <w:rPr>
          <w:b/>
          <w:bCs/>
        </w:rPr>
        <w:t>’</w:t>
      </w:r>
      <w:r>
        <w:rPr>
          <w:b/>
          <w:bCs/>
        </w:rPr>
        <w:t>obliger les FPA à contribuer</w:t>
      </w:r>
      <w:r>
        <w:t xml:space="preserve"> aux projets de coopération des OAA » (</w:t>
      </w:r>
      <w:r>
        <w:rPr>
          <w:color w:val="00B050"/>
        </w:rPr>
        <w:t xml:space="preserve">FS3, </w:t>
      </w:r>
      <w:r w:rsidR="00250381">
        <w:rPr>
          <w:color w:val="00B050"/>
        </w:rPr>
        <w:t>boîte </w:t>
      </w:r>
      <w:r>
        <w:rPr>
          <w:color w:val="00B050"/>
        </w:rPr>
        <w:t>48</w:t>
      </w:r>
      <w:r>
        <w:t>).</w:t>
      </w:r>
    </w:p>
    <w:p w14:paraId="1BC69032" w14:textId="41F94E0A" w:rsidR="00766BF5" w:rsidRPr="002E65D8" w:rsidRDefault="002E7A3B" w:rsidP="00766BF5">
      <w:pPr>
        <w:pStyle w:val="Blueboxtitle"/>
        <w:spacing w:after="0" w:line="240" w:lineRule="auto"/>
        <w:outlineLvl w:val="2"/>
      </w:pPr>
      <w:bookmarkStart w:id="237" w:name="_Toc236061715"/>
      <w:r>
        <w:t>Boîte</w:t>
      </w:r>
      <w:r w:rsidR="00766BF5">
        <w:t> 24 : Réglementation des projets de coopération</w:t>
      </w:r>
      <w:bookmarkEnd w:id="237"/>
    </w:p>
    <w:p w14:paraId="2B968F81" w14:textId="77777777" w:rsidR="00766BF5" w:rsidRPr="002E65D8" w:rsidRDefault="00766BF5" w:rsidP="00766BF5">
      <w:pPr>
        <w:pStyle w:val="Blueboxtitle"/>
        <w:rPr>
          <w:b w:val="0"/>
          <w:bCs w:val="0"/>
        </w:rPr>
      </w:pPr>
      <w:r>
        <w:rPr>
          <w:b w:val="0"/>
        </w:rPr>
        <w:t xml:space="preserve">Quelques exemples de mesures mises en œuvre par les États </w:t>
      </w:r>
    </w:p>
    <w:p w14:paraId="6EC50669" w14:textId="77777777" w:rsidR="002D0EF0" w:rsidRPr="002E65D8" w:rsidRDefault="002D0EF0" w:rsidP="00017C48">
      <w:pPr>
        <w:pStyle w:val="Bluebox"/>
      </w:pPr>
      <w:r>
        <w:t>Au Burkina Faso, les projets de coopération ne peuvent concerner que des enfants qui ne sont pas adoptables</w:t>
      </w:r>
      <w:r w:rsidRPr="002E65D8">
        <w:rPr>
          <w:rStyle w:val="FootnoteReference"/>
        </w:rPr>
        <w:footnoteReference w:id="340"/>
      </w:r>
      <w:r>
        <w:t xml:space="preserve">. </w:t>
      </w:r>
    </w:p>
    <w:p w14:paraId="1D16889B" w14:textId="504E7444" w:rsidR="00F60921" w:rsidRPr="00E570A2" w:rsidRDefault="00FE5833" w:rsidP="0060091C">
      <w:pPr>
        <w:pStyle w:val="Bluebox"/>
        <w:rPr>
          <w:rFonts w:eastAsiaTheme="majorEastAsia" w:cstheme="majorBidi"/>
          <w:color w:val="03295A" w:themeColor="accent4"/>
          <w:sz w:val="19"/>
          <w:szCs w:val="19"/>
        </w:rPr>
      </w:pPr>
      <w:r>
        <w:t xml:space="preserve">En Suède, un OAA qui soutient des projets de coopération doit prévoir dans </w:t>
      </w:r>
      <w:r w:rsidR="00D61D2C">
        <w:t>sa</w:t>
      </w:r>
      <w:r>
        <w:t xml:space="preserve"> propre structure une unité séparée pour ces projets, avec une comptabilité et un personnel de gestion spécifiques. Cette séparation est exigée par la loi</w:t>
      </w:r>
      <w:r w:rsidR="00804820" w:rsidRPr="002E65D8">
        <w:rPr>
          <w:rStyle w:val="FootnoteReference"/>
        </w:rPr>
        <w:footnoteReference w:id="341"/>
      </w:r>
      <w:r>
        <w:t xml:space="preserve">. </w:t>
      </w:r>
      <w:r w:rsidR="00F60921">
        <w:br w:type="page"/>
      </w:r>
    </w:p>
    <w:p w14:paraId="29741E50" w14:textId="332BA5B7" w:rsidR="00B9780C" w:rsidRPr="002E65D8" w:rsidRDefault="002458BE" w:rsidP="005F0006">
      <w:pPr>
        <w:pStyle w:val="Heading1"/>
        <w:numPr>
          <w:ilvl w:val="0"/>
          <w:numId w:val="0"/>
        </w:numPr>
        <w:ind w:left="567"/>
        <w:rPr>
          <w:rFonts w:ascii="Raleway" w:hAnsi="Raleway"/>
          <w:b/>
        </w:rPr>
      </w:pPr>
      <w:bookmarkStart w:id="238" w:name="_Toc236061716"/>
      <w:r>
        <w:rPr>
          <w:rFonts w:ascii="Raleway" w:hAnsi="Raleway"/>
          <w:b/>
        </w:rPr>
        <w:lastRenderedPageBreak/>
        <w:t>Annexe : Publications de la HCCH sur les aspects financiers de l</w:t>
      </w:r>
      <w:r w:rsidR="00715ACD">
        <w:rPr>
          <w:rFonts w:ascii="Raleway" w:hAnsi="Raleway"/>
          <w:b/>
        </w:rPr>
        <w:t>’</w:t>
      </w:r>
      <w:r>
        <w:rPr>
          <w:rFonts w:ascii="Raleway" w:hAnsi="Raleway"/>
          <w:b/>
        </w:rPr>
        <w:t>adoption internationale</w:t>
      </w:r>
      <w:bookmarkEnd w:id="238"/>
    </w:p>
    <w:p w14:paraId="7DA8210C" w14:textId="4AB4EC03" w:rsidR="002458BE" w:rsidRPr="002E65D8" w:rsidRDefault="002458BE" w:rsidP="00D143F8">
      <w:pPr>
        <w:pStyle w:val="PBParagraph"/>
      </w:pPr>
      <w:r>
        <w:t>La HCCH a mis au point les outils ou sections d</w:t>
      </w:r>
      <w:r w:rsidR="00715ACD">
        <w:t>’</w:t>
      </w:r>
      <w:r>
        <w:t>outils plus larges sur les aspects financiers de l</w:t>
      </w:r>
      <w:r w:rsidR="00715ACD">
        <w:t>’</w:t>
      </w:r>
      <w:r>
        <w:t>adoption internationale</w:t>
      </w:r>
      <w:r w:rsidR="009E214F">
        <w:t xml:space="preserve"> suivants</w:t>
      </w:r>
      <w:r>
        <w:t xml:space="preserve"> : </w:t>
      </w:r>
    </w:p>
    <w:p w14:paraId="767F6545" w14:textId="2CA21510" w:rsidR="002458BE" w:rsidRPr="002E65D8" w:rsidRDefault="00F74492" w:rsidP="001513CB">
      <w:pPr>
        <w:pStyle w:val="PBBulletList"/>
      </w:pPr>
      <w:r>
        <w:rPr>
          <w:b/>
        </w:rPr>
        <w:t>Terminologie harmonisée</w:t>
      </w:r>
      <w:r>
        <w:t> : La même terminologie est utilisée dans toutes les publications de la HCCH.</w:t>
      </w:r>
    </w:p>
    <w:p w14:paraId="107A70B9" w14:textId="678EDE89" w:rsidR="00382369" w:rsidRPr="002E65D8" w:rsidRDefault="00250381" w:rsidP="001513CB">
      <w:pPr>
        <w:pStyle w:val="PBBulletList"/>
      </w:pPr>
      <w:r>
        <w:rPr>
          <w:b/>
        </w:rPr>
        <w:t xml:space="preserve">Boîte </w:t>
      </w:r>
      <w:r w:rsidR="004E789D">
        <w:rPr>
          <w:b/>
        </w:rPr>
        <w:t>à outils visant à prévenir les pratiques illicites en matière d</w:t>
      </w:r>
      <w:r w:rsidR="00715ACD">
        <w:rPr>
          <w:b/>
        </w:rPr>
        <w:t>’</w:t>
      </w:r>
      <w:r w:rsidR="004E789D">
        <w:rPr>
          <w:b/>
        </w:rPr>
        <w:t>adoption internationale et à y remédier, Fiche de synthèse No 3, « Gains matériels indus »</w:t>
      </w:r>
      <w:r w:rsidR="004E789D">
        <w:t> : Cette Fiche de synthèse répertorie les différentes pratiques illicites dans ce domaine, ainsi que les facteurs susceptibles de les favoriser. Pour chacun d</w:t>
      </w:r>
      <w:r w:rsidR="00715ACD">
        <w:t>’</w:t>
      </w:r>
      <w:r w:rsidR="004E789D">
        <w:t>entre eux, elle énonce d</w:t>
      </w:r>
      <w:r w:rsidR="00715ACD">
        <w:t>’</w:t>
      </w:r>
      <w:r w:rsidR="004E789D">
        <w:t xml:space="preserve">éventuelles mesures de prévention. </w:t>
      </w:r>
    </w:p>
    <w:p w14:paraId="4B0CB056" w14:textId="115D589D" w:rsidR="00AC5BAA" w:rsidRPr="002E65D8" w:rsidRDefault="006C261B" w:rsidP="001513CB">
      <w:pPr>
        <w:pStyle w:val="PBBulletList"/>
      </w:pPr>
      <w:r>
        <w:rPr>
          <w:b/>
        </w:rPr>
        <w:t>Guide de bonnes pratiques No 1 : La mise en œuvre et le fonctionnement de la Convention Adoption, chapitre 5</w:t>
      </w:r>
      <w:r>
        <w:t xml:space="preserve"> : Ce chapitre énonce des </w:t>
      </w:r>
      <w:r w:rsidR="0072341A">
        <w:t xml:space="preserve">lignes </w:t>
      </w:r>
      <w:r>
        <w:t>directrices en matière de frais, contributions et dons en lien avec les adoptions internationales.</w:t>
      </w:r>
    </w:p>
    <w:p w14:paraId="727E3B7B" w14:textId="2093226C" w:rsidR="006D48BB" w:rsidRPr="002E65D8" w:rsidRDefault="006D48BB" w:rsidP="001513CB">
      <w:pPr>
        <w:pStyle w:val="PBBulletList"/>
      </w:pPr>
      <w:r>
        <w:rPr>
          <w:b/>
        </w:rPr>
        <w:t xml:space="preserve">Guide de bonnes pratiques </w:t>
      </w:r>
      <w:r w:rsidR="002527A6">
        <w:rPr>
          <w:b/>
        </w:rPr>
        <w:t>No 2 :</w:t>
      </w:r>
      <w:r w:rsidR="00C859FF">
        <w:rPr>
          <w:b/>
        </w:rPr>
        <w:t xml:space="preserve"> </w:t>
      </w:r>
      <w:r>
        <w:rPr>
          <w:b/>
        </w:rPr>
        <w:t>L</w:t>
      </w:r>
      <w:r w:rsidR="00715ACD">
        <w:rPr>
          <w:b/>
        </w:rPr>
        <w:t>’</w:t>
      </w:r>
      <w:r>
        <w:rPr>
          <w:b/>
        </w:rPr>
        <w:t>agrément et les organismes agréés en matière d</w:t>
      </w:r>
      <w:r w:rsidR="00715ACD">
        <w:rPr>
          <w:b/>
        </w:rPr>
        <w:t>’</w:t>
      </w:r>
      <w:r w:rsidR="002527A6">
        <w:rPr>
          <w:b/>
        </w:rPr>
        <w:t>adoption</w:t>
      </w:r>
      <w:r>
        <w:rPr>
          <w:b/>
        </w:rPr>
        <w:t>, chapitres 8 et 9</w:t>
      </w:r>
      <w:r>
        <w:t> : Ces chapitres viennent compléter la discussion sur les bonnes pratiques dans ce domaine, en se concentrant sur les normes applicables aux OAA.</w:t>
      </w:r>
    </w:p>
    <w:p w14:paraId="14917D56" w14:textId="215E2D30" w:rsidR="00247EB5" w:rsidRPr="002E65D8" w:rsidRDefault="002E1F6D" w:rsidP="001513CB">
      <w:pPr>
        <w:pStyle w:val="PBBulletList"/>
      </w:pPr>
      <w:r>
        <w:rPr>
          <w:b/>
        </w:rPr>
        <w:t>Tableaux sur les aspects financiers de l</w:t>
      </w:r>
      <w:r w:rsidR="00715ACD">
        <w:rPr>
          <w:b/>
        </w:rPr>
        <w:t>’</w:t>
      </w:r>
      <w:r>
        <w:rPr>
          <w:b/>
        </w:rPr>
        <w:t>adoption internationale</w:t>
      </w:r>
      <w:r>
        <w:t> : Ces Tableaux visent à donner une vue d</w:t>
      </w:r>
      <w:r w:rsidR="00715ACD">
        <w:t>’</w:t>
      </w:r>
      <w:r>
        <w:t>ensemble des coûts réels de l</w:t>
      </w:r>
      <w:r w:rsidR="00715ACD">
        <w:t>’</w:t>
      </w:r>
      <w:r>
        <w:t>adoption internationale. Deux ensembles de tableaux distincts ont été mis au point : l</w:t>
      </w:r>
      <w:r w:rsidR="00715ACD">
        <w:t>’</w:t>
      </w:r>
      <w:r>
        <w:t>un pour les États d</w:t>
      </w:r>
      <w:r w:rsidR="00715ACD">
        <w:t>’</w:t>
      </w:r>
      <w:r>
        <w:t>origine, l</w:t>
      </w:r>
      <w:r w:rsidR="00715ACD">
        <w:t>’</w:t>
      </w:r>
      <w:r>
        <w:t>autre pour les États d</w:t>
      </w:r>
      <w:r w:rsidR="00715ACD">
        <w:t>’</w:t>
      </w:r>
      <w:r>
        <w:t xml:space="preserve">accueil. Les États sont invités à compléter et à actualiser ces Tableaux tous les ans. </w:t>
      </w:r>
    </w:p>
    <w:p w14:paraId="6178E4B2" w14:textId="6EF2BFE4" w:rsidR="00E32C56" w:rsidRPr="002E65D8" w:rsidRDefault="00E32C56" w:rsidP="001513CB">
      <w:pPr>
        <w:pStyle w:val="PBBulletList"/>
      </w:pPr>
      <w:r>
        <w:rPr>
          <w:b/>
        </w:rPr>
        <w:t>Feuille de route en matière de coopération entre États concernant la transition vers l</w:t>
      </w:r>
      <w:r w:rsidR="00715ACD">
        <w:rPr>
          <w:b/>
        </w:rPr>
        <w:t>’</w:t>
      </w:r>
      <w:r>
        <w:rPr>
          <w:b/>
        </w:rPr>
        <w:t>a</w:t>
      </w:r>
      <w:r w:rsidR="00FE5BD4">
        <w:rPr>
          <w:b/>
        </w:rPr>
        <w:t>bsence</w:t>
      </w:r>
      <w:r>
        <w:rPr>
          <w:b/>
        </w:rPr>
        <w:t xml:space="preserve"> de contributions, </w:t>
      </w:r>
      <w:r w:rsidR="00FE5BD4">
        <w:rPr>
          <w:b/>
        </w:rPr>
        <w:t xml:space="preserve">de </w:t>
      </w:r>
      <w:r>
        <w:rPr>
          <w:b/>
        </w:rPr>
        <w:t xml:space="preserve">dons et </w:t>
      </w:r>
      <w:r w:rsidR="00FE5BD4">
        <w:rPr>
          <w:b/>
        </w:rPr>
        <w:t>de</w:t>
      </w:r>
      <w:r>
        <w:rPr>
          <w:b/>
        </w:rPr>
        <w:t xml:space="preserve"> projets de coopération dans le contexte de l</w:t>
      </w:r>
      <w:r w:rsidR="00715ACD">
        <w:rPr>
          <w:b/>
        </w:rPr>
        <w:t>’</w:t>
      </w:r>
      <w:r>
        <w:rPr>
          <w:b/>
        </w:rPr>
        <w:t>adoption</w:t>
      </w:r>
      <w:r>
        <w:t xml:space="preserve"> : Cette Feuille de route offre des conseils pratiques ayant vocation à aider les États Parties qui autorisent les contributions, dons et projets de coopération à opérer une transition vers leur interdiction. </w:t>
      </w:r>
    </w:p>
    <w:p w14:paraId="63BC77D9" w14:textId="76AACD1E" w:rsidR="00E32C56" w:rsidRPr="002E65D8" w:rsidRDefault="00E32C56" w:rsidP="001513CB">
      <w:pPr>
        <w:pStyle w:val="PBBulletList"/>
      </w:pPr>
      <w:r>
        <w:rPr>
          <w:b/>
        </w:rPr>
        <w:t>Répertoire des études et autres sources d</w:t>
      </w:r>
      <w:r w:rsidR="00715ACD">
        <w:rPr>
          <w:b/>
        </w:rPr>
        <w:t>’</w:t>
      </w:r>
      <w:r>
        <w:rPr>
          <w:b/>
        </w:rPr>
        <w:t>information sur les aspects financiers de l</w:t>
      </w:r>
      <w:r w:rsidR="00715ACD">
        <w:rPr>
          <w:b/>
        </w:rPr>
        <w:t>’</w:t>
      </w:r>
      <w:r>
        <w:rPr>
          <w:b/>
        </w:rPr>
        <w:t>adoption internationale</w:t>
      </w:r>
      <w:r>
        <w:t> : Le Répertoire recense toutes les sources relatives aux risques des aspects financiers de l</w:t>
      </w:r>
      <w:r w:rsidR="00715ACD">
        <w:t>’</w:t>
      </w:r>
      <w:r>
        <w:t xml:space="preserve">adoption internationale. </w:t>
      </w:r>
    </w:p>
    <w:p w14:paraId="25EA601E" w14:textId="531189FA" w:rsidR="00736FE7" w:rsidRPr="002E65D8" w:rsidRDefault="00B439B9" w:rsidP="00C2463D">
      <w:pPr>
        <w:pStyle w:val="PBBulletList"/>
      </w:pPr>
      <w:r>
        <w:rPr>
          <w:b/>
        </w:rPr>
        <w:t>Projet d</w:t>
      </w:r>
      <w:r w:rsidR="00715ACD">
        <w:rPr>
          <w:b/>
        </w:rPr>
        <w:t>’</w:t>
      </w:r>
      <w:r>
        <w:rPr>
          <w:b/>
        </w:rPr>
        <w:t>enquête à l</w:t>
      </w:r>
      <w:r w:rsidR="00715ACD">
        <w:rPr>
          <w:b/>
        </w:rPr>
        <w:t>’</w:t>
      </w:r>
      <w:r>
        <w:rPr>
          <w:b/>
        </w:rPr>
        <w:t>intention des parents adoptifs</w:t>
      </w:r>
      <w:r>
        <w:t> : Ce Modèle d</w:t>
      </w:r>
      <w:r w:rsidR="00715ACD">
        <w:t>’</w:t>
      </w:r>
      <w:r>
        <w:t>enquête permet aux États</w:t>
      </w:r>
      <w:r w:rsidR="00857F2A">
        <w:t xml:space="preserve"> d</w:t>
      </w:r>
      <w:r w:rsidR="00715ACD">
        <w:t>’</w:t>
      </w:r>
      <w:r w:rsidR="00857F2A">
        <w:t>accueil</w:t>
      </w:r>
      <w:r>
        <w:t xml:space="preserve"> Parties </w:t>
      </w:r>
      <w:r w:rsidR="00857F2A">
        <w:t>à la C</w:t>
      </w:r>
      <w:r w:rsidR="00DD792D">
        <w:t>o</w:t>
      </w:r>
      <w:r w:rsidR="00857F2A">
        <w:t>nve</w:t>
      </w:r>
      <w:r w:rsidR="00DD792D">
        <w:t>n</w:t>
      </w:r>
      <w:r w:rsidR="00857F2A">
        <w:t xml:space="preserve">tion </w:t>
      </w:r>
      <w:r>
        <w:t>de recueillir des informations auprès des parents adoptifs en ce qui concerne les frais réels engagés dans le cadre de leur adoption. S</w:t>
      </w:r>
      <w:r w:rsidR="00715ACD">
        <w:t>’</w:t>
      </w:r>
      <w:r>
        <w:t>il peut ne pas être largement utilisé sous sa forme actuelle, il a servi de source d</w:t>
      </w:r>
      <w:r w:rsidR="00715ACD">
        <w:t>’</w:t>
      </w:r>
      <w:r>
        <w:t>inspiration pour la mise au point d</w:t>
      </w:r>
      <w:r w:rsidR="00715ACD">
        <w:t>’</w:t>
      </w:r>
      <w:r>
        <w:t>autres types d</w:t>
      </w:r>
      <w:r w:rsidR="00715ACD">
        <w:t>’</w:t>
      </w:r>
      <w:r>
        <w:t xml:space="preserve">enquêtes, de questionnaires ou de </w:t>
      </w:r>
      <w:r w:rsidR="0072341A">
        <w:t xml:space="preserve">lignes </w:t>
      </w:r>
      <w:r>
        <w:t>directrices en matière d</w:t>
      </w:r>
      <w:r w:rsidR="00715ACD">
        <w:t>’</w:t>
      </w:r>
      <w:r>
        <w:t xml:space="preserve">audits économiques. Si le recours à des outils est encouragé pour parvenir à la transparence, à la prévisibilité et à la traçabilité ou les renforcer, cela ne doit pas nécessairement passer par un modèle unique. </w:t>
      </w:r>
      <w:r w:rsidR="00775E93">
        <w:t xml:space="preserve">Cela est </w:t>
      </w:r>
      <w:r>
        <w:t>particuli</w:t>
      </w:r>
      <w:r w:rsidR="00775E93">
        <w:t>èrement</w:t>
      </w:r>
      <w:r>
        <w:t xml:space="preserve"> </w:t>
      </w:r>
      <w:r w:rsidR="00775E93">
        <w:t xml:space="preserve">vrai </w:t>
      </w:r>
      <w:r>
        <w:t>de nos jours, où les technologies permettent de créer des outils plus faciles d</w:t>
      </w:r>
      <w:r w:rsidR="00715ACD">
        <w:t>’</w:t>
      </w:r>
      <w:r>
        <w:t>utilisation.</w:t>
      </w:r>
    </w:p>
    <w:p w14:paraId="4D95DB88" w14:textId="448255C2" w:rsidR="006266E0" w:rsidRPr="009A213A" w:rsidRDefault="00C10447" w:rsidP="00C10447">
      <w:pPr>
        <w:pStyle w:val="PBParagraph"/>
      </w:pPr>
      <w:r>
        <w:t>Veuillez noter que, dans la mesure où les connaissances et les pratiques continuent à évoluer dans ce domaine, il peut y avoir des différences ou des incohérences entre différents outils. Auquel cas, les documents les plus récents portant sur les aspects financiers de l</w:t>
      </w:r>
      <w:r w:rsidR="00715ACD">
        <w:t>’</w:t>
      </w:r>
      <w:r>
        <w:t>adoption internationale – à savoir, la présente Note et la Fiche de synthèse No 3 – l</w:t>
      </w:r>
      <w:r w:rsidR="00715ACD">
        <w:t>’</w:t>
      </w:r>
      <w:r>
        <w:t>emportent sur les Guides de bonnes pratiques No 1 et No 2.</w:t>
      </w:r>
    </w:p>
    <w:p w14:paraId="2CBB6C9C" w14:textId="4CC7540E" w:rsidR="00DB6237" w:rsidRPr="009D113B" w:rsidRDefault="00DB6237" w:rsidP="00FA465F">
      <w:pPr>
        <w:pStyle w:val="PBBulletList"/>
        <w:numPr>
          <w:ilvl w:val="0"/>
          <w:numId w:val="0"/>
        </w:numPr>
        <w:ind w:left="1134"/>
      </w:pPr>
    </w:p>
    <w:sectPr w:rsidR="00DB6237" w:rsidRPr="009D113B" w:rsidSect="00E13FD2">
      <w:headerReference w:type="even" r:id="rId20"/>
      <w:headerReference w:type="default" r:id="rId21"/>
      <w:footerReference w:type="default" r:id="rId22"/>
      <w:headerReference w:type="first" r:id="rId23"/>
      <w:footerReference w:type="first" r:id="rId24"/>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B1CB3" w14:textId="77777777" w:rsidR="00D1370D" w:rsidRDefault="00D1370D" w:rsidP="00B9780C">
      <w:r>
        <w:separator/>
      </w:r>
    </w:p>
  </w:endnote>
  <w:endnote w:type="continuationSeparator" w:id="0">
    <w:p w14:paraId="7DFDFF81" w14:textId="77777777" w:rsidR="00D1370D" w:rsidRDefault="00D1370D" w:rsidP="00B9780C">
      <w:r>
        <w:continuationSeparator/>
      </w:r>
    </w:p>
  </w:endnote>
  <w:endnote w:type="continuationNotice" w:id="1">
    <w:p w14:paraId="730E6D83" w14:textId="77777777" w:rsidR="00D1370D" w:rsidRDefault="00D137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rebuchet MS"/>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Pro">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475317"/>
      <w:docPartObj>
        <w:docPartGallery w:val="Page Numbers (Bottom of Page)"/>
        <w:docPartUnique/>
      </w:docPartObj>
    </w:sdtPr>
    <w:sdtEndPr>
      <w:rPr>
        <w:noProof/>
      </w:rPr>
    </w:sdtEndPr>
    <w:sdtContent>
      <w:p w14:paraId="6C0804C0" w14:textId="252FF872" w:rsidR="00974DA5" w:rsidRDefault="00974DA5" w:rsidP="006C3396">
        <w:pPr>
          <w:pStyle w:val="Footer"/>
          <w:jc w:val="right"/>
        </w:pPr>
        <w:r w:rsidRPr="006C3396">
          <w:rPr>
            <w:sz w:val="18"/>
          </w:rPr>
          <w:fldChar w:fldCharType="begin"/>
        </w:r>
        <w:r w:rsidRPr="006C3396">
          <w:rPr>
            <w:sz w:val="18"/>
          </w:rPr>
          <w:instrText xml:space="preserve"> PAGE   \* MERGEFORMAT </w:instrText>
        </w:r>
        <w:r w:rsidRPr="006C3396">
          <w:rPr>
            <w:sz w:val="18"/>
          </w:rPr>
          <w:fldChar w:fldCharType="separate"/>
        </w:r>
        <w:r w:rsidR="00CC417D">
          <w:rPr>
            <w:noProof/>
            <w:sz w:val="18"/>
          </w:rPr>
          <w:t>33</w:t>
        </w:r>
        <w:r w:rsidRPr="006C3396">
          <w:rPr>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10065" w:type="dxa"/>
      <w:tblCellMar>
        <w:left w:w="57" w:type="dxa"/>
        <w:right w:w="57" w:type="dxa"/>
      </w:tblCellMar>
      <w:tblLook w:val="04A0" w:firstRow="1" w:lastRow="0" w:firstColumn="1" w:lastColumn="0" w:noHBand="0" w:noVBand="1"/>
    </w:tblPr>
    <w:tblGrid>
      <w:gridCol w:w="4820"/>
      <w:gridCol w:w="567"/>
      <w:gridCol w:w="4678"/>
    </w:tblGrid>
    <w:tr w:rsidR="00974DA5" w:rsidRPr="00536BCD" w14:paraId="2D4F78A1" w14:textId="77777777" w:rsidTr="001C2F88">
      <w:trPr>
        <w:trHeight w:val="713"/>
      </w:trPr>
      <w:tc>
        <w:tcPr>
          <w:tcW w:w="4820" w:type="dxa"/>
          <w:vAlign w:val="center"/>
          <w:hideMark/>
        </w:tcPr>
        <w:p w14:paraId="2CD99CA7" w14:textId="77777777" w:rsidR="00974DA5" w:rsidRDefault="00974DA5" w:rsidP="001C2F88">
          <w:pPr>
            <w:pStyle w:val="Footer"/>
            <w:spacing w:after="40"/>
            <w:rPr>
              <w:rFonts w:ascii="Franklin Gothic Medium" w:hAnsi="Franklin Gothic Medium"/>
              <w:color w:val="002060"/>
              <w:sz w:val="18"/>
              <w:szCs w:val="18"/>
            </w:rPr>
          </w:pPr>
          <w:r>
            <w:rPr>
              <w:rFonts w:ascii="Franklin Gothic Medium" w:hAnsi="Franklin Gothic Medium"/>
              <w:color w:val="002060"/>
              <w:sz w:val="18"/>
            </w:rPr>
            <w:t>Hague Conference on Private International Law</w:t>
          </w:r>
        </w:p>
        <w:p w14:paraId="335B78F4" w14:textId="77777777" w:rsidR="00974DA5" w:rsidRDefault="00974DA5" w:rsidP="001C2F88">
          <w:pPr>
            <w:pStyle w:val="Footer"/>
            <w:spacing w:after="40"/>
            <w:rPr>
              <w:rFonts w:ascii="Franklin Gothic Medium" w:hAnsi="Franklin Gothic Medium"/>
              <w:color w:val="002060"/>
              <w:sz w:val="18"/>
              <w:szCs w:val="18"/>
            </w:rPr>
          </w:pPr>
          <w:r>
            <w:rPr>
              <w:rFonts w:ascii="Franklin Gothic Medium" w:hAnsi="Franklin Gothic Medium"/>
              <w:color w:val="002060"/>
              <w:sz w:val="18"/>
            </w:rPr>
            <w:t>Conférence de La Haye de droit international privé</w:t>
          </w:r>
        </w:p>
        <w:p w14:paraId="573BEAA7" w14:textId="77777777" w:rsidR="00974DA5" w:rsidRPr="00B479B2" w:rsidRDefault="00974DA5" w:rsidP="001C2F88">
          <w:pPr>
            <w:pStyle w:val="Footer"/>
            <w:spacing w:after="40"/>
            <w:rPr>
              <w:rFonts w:ascii="Franklin Gothic Medium" w:hAnsi="Franklin Gothic Medium"/>
              <w:color w:val="002060"/>
              <w:sz w:val="18"/>
              <w:szCs w:val="18"/>
              <w:lang w:val="es-ES"/>
            </w:rPr>
          </w:pPr>
          <w:r w:rsidRPr="00B479B2">
            <w:rPr>
              <w:rFonts w:ascii="Franklin Gothic Medium" w:hAnsi="Franklin Gothic Medium"/>
              <w:color w:val="002060"/>
              <w:sz w:val="18"/>
              <w:lang w:val="es-ES"/>
            </w:rPr>
            <w:t>Conferencia de La Haya de Derecho Internacional Privado</w:t>
          </w:r>
        </w:p>
      </w:tc>
      <w:tc>
        <w:tcPr>
          <w:tcW w:w="567" w:type="dxa"/>
          <w:vAlign w:val="center"/>
        </w:tcPr>
        <w:p w14:paraId="30A5E37B" w14:textId="77777777" w:rsidR="00974DA5" w:rsidRPr="001C2F88" w:rsidRDefault="00974DA5" w:rsidP="001C2F88">
          <w:pPr>
            <w:pStyle w:val="Footer"/>
            <w:spacing w:after="40"/>
            <w:rPr>
              <w:rFonts w:ascii="Franklin Gothic Medium" w:hAnsi="Franklin Gothic Medium"/>
              <w:color w:val="002060"/>
              <w:sz w:val="18"/>
              <w:szCs w:val="18"/>
              <w:lang w:val="es-ES"/>
            </w:rPr>
          </w:pPr>
        </w:p>
      </w:tc>
      <w:tc>
        <w:tcPr>
          <w:tcW w:w="4678" w:type="dxa"/>
          <w:hideMark/>
        </w:tcPr>
        <w:p w14:paraId="6714C537" w14:textId="77777777" w:rsidR="00974DA5" w:rsidRPr="009D113B" w:rsidRDefault="00974DA5" w:rsidP="001C2F88">
          <w:pPr>
            <w:pStyle w:val="Footer"/>
            <w:spacing w:after="40"/>
            <w:jc w:val="right"/>
            <w:rPr>
              <w:rFonts w:ascii="Franklin Gothic Book" w:hAnsi="Franklin Gothic Book"/>
              <w:color w:val="002060"/>
              <w:sz w:val="18"/>
              <w:szCs w:val="18"/>
              <w:lang w:val="es-ES"/>
            </w:rPr>
          </w:pPr>
          <w:r w:rsidRPr="009D113B">
            <w:rPr>
              <w:rFonts w:ascii="Franklin Gothic Book" w:hAnsi="Franklin Gothic Book"/>
              <w:color w:val="002060"/>
              <w:sz w:val="18"/>
              <w:lang w:val="es-ES"/>
            </w:rPr>
            <w:t>www.hcch.net</w:t>
          </w:r>
        </w:p>
        <w:p w14:paraId="22DEBF86" w14:textId="77777777" w:rsidR="00974DA5" w:rsidRPr="009D113B" w:rsidRDefault="00974DA5" w:rsidP="001C2F88">
          <w:pPr>
            <w:pStyle w:val="Footer"/>
            <w:spacing w:after="40"/>
            <w:jc w:val="right"/>
            <w:rPr>
              <w:rFonts w:ascii="Franklin Gothic Book" w:hAnsi="Franklin Gothic Book"/>
              <w:color w:val="002060"/>
              <w:sz w:val="18"/>
              <w:szCs w:val="18"/>
              <w:lang w:val="es-ES"/>
            </w:rPr>
          </w:pPr>
          <w:r w:rsidRPr="009D113B">
            <w:rPr>
              <w:rFonts w:ascii="Franklin Gothic Book" w:hAnsi="Franklin Gothic Book"/>
              <w:color w:val="002060"/>
              <w:sz w:val="18"/>
              <w:lang w:val="es-ES"/>
            </w:rPr>
            <w:t>secretariat@hcch.net</w:t>
          </w:r>
        </w:p>
        <w:p w14:paraId="56664AC6" w14:textId="0A51D345" w:rsidR="00974DA5" w:rsidRPr="00674FA8" w:rsidRDefault="00974DA5" w:rsidP="001C2F88">
          <w:pPr>
            <w:pStyle w:val="Footer"/>
            <w:spacing w:after="40"/>
            <w:jc w:val="right"/>
            <w:rPr>
              <w:rFonts w:ascii="Franklin Gothic Book" w:hAnsi="Franklin Gothic Book"/>
              <w:color w:val="002060"/>
              <w:sz w:val="18"/>
              <w:szCs w:val="18"/>
            </w:rPr>
          </w:pPr>
          <w:r w:rsidRPr="00674FA8">
            <w:rPr>
              <w:rFonts w:ascii="Franklin Gothic Book" w:hAnsi="Franklin Gothic Book"/>
              <w:color w:val="002060"/>
              <w:sz w:val="18"/>
            </w:rPr>
            <w:t>The Hague | Buenos Aires | Hong Kong SAR | Rabat</w:t>
          </w:r>
        </w:p>
      </w:tc>
    </w:tr>
  </w:tbl>
  <w:p w14:paraId="08CB5502" w14:textId="542AC7F9" w:rsidR="00974DA5" w:rsidRPr="00674FA8" w:rsidRDefault="00974DA5" w:rsidP="001C2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BF300" w14:textId="77777777" w:rsidR="00D1370D" w:rsidRPr="006C3396" w:rsidRDefault="00D1370D" w:rsidP="00B9780C">
      <w:pPr>
        <w:rPr>
          <w:color w:val="A2B93B" w:themeColor="accent6"/>
        </w:rPr>
      </w:pPr>
      <w:r w:rsidRPr="006C3396">
        <w:rPr>
          <w:color w:val="A2B93B" w:themeColor="accent6"/>
        </w:rPr>
        <w:separator/>
      </w:r>
    </w:p>
  </w:footnote>
  <w:footnote w:type="continuationSeparator" w:id="0">
    <w:p w14:paraId="29DE1492" w14:textId="77777777" w:rsidR="00D1370D" w:rsidRPr="006C3396" w:rsidRDefault="00D1370D" w:rsidP="00B9780C">
      <w:pPr>
        <w:rPr>
          <w:color w:val="A2B93B" w:themeColor="accent6"/>
        </w:rPr>
      </w:pPr>
      <w:r w:rsidRPr="006C3396">
        <w:rPr>
          <w:color w:val="A2B93B" w:themeColor="accent6"/>
        </w:rPr>
        <w:continuationSeparator/>
      </w:r>
    </w:p>
  </w:footnote>
  <w:footnote w:type="continuationNotice" w:id="1">
    <w:p w14:paraId="5AEC390D" w14:textId="77777777" w:rsidR="00D1370D" w:rsidRPr="006C3396" w:rsidRDefault="00D1370D">
      <w:pPr>
        <w:rPr>
          <w:color w:val="A2B93B" w:themeColor="accent6"/>
        </w:rPr>
      </w:pPr>
    </w:p>
  </w:footnote>
  <w:footnote w:id="2">
    <w:p w14:paraId="134F65C8" w14:textId="616D4E3A" w:rsidR="00974DA5" w:rsidRPr="001E3DBF" w:rsidRDefault="00974DA5" w:rsidP="0078203B">
      <w:pPr>
        <w:pStyle w:val="FootnoteText"/>
        <w:ind w:left="0" w:firstLine="0"/>
        <w:rPr>
          <w:rFonts w:ascii="Raleway" w:hAnsi="Raleway"/>
          <w:sz w:val="15"/>
          <w:szCs w:val="15"/>
        </w:rPr>
      </w:pPr>
      <w:r w:rsidRPr="001E3DBF">
        <w:rPr>
          <w:rFonts w:ascii="Raleway" w:hAnsi="Raleway"/>
          <w:sz w:val="15"/>
          <w:szCs w:val="15"/>
        </w:rPr>
        <w:t>Tous les documents de la HCCH mentionnés dans la présente Note sont disponibles sur le site web de la HCCH, à l</w:t>
      </w:r>
      <w:r>
        <w:rPr>
          <w:rFonts w:ascii="Raleway" w:hAnsi="Raleway"/>
          <w:sz w:val="15"/>
          <w:szCs w:val="15"/>
        </w:rPr>
        <w:t>’</w:t>
      </w:r>
      <w:r w:rsidRPr="001E3DBF">
        <w:rPr>
          <w:rFonts w:ascii="Raleway" w:hAnsi="Raleway"/>
          <w:sz w:val="15"/>
          <w:szCs w:val="15"/>
        </w:rPr>
        <w:t>adresse :</w:t>
      </w:r>
      <w:r>
        <w:rPr>
          <w:rFonts w:ascii="Raleway" w:hAnsi="Raleway"/>
          <w:sz w:val="15"/>
          <w:szCs w:val="15"/>
        </w:rPr>
        <w:t xml:space="preserve"> </w:t>
      </w:r>
      <w:r w:rsidRPr="001E3DBF">
        <w:rPr>
          <w:rFonts w:ascii="Raleway" w:hAnsi="Raleway"/>
          <w:sz w:val="15"/>
          <w:szCs w:val="15"/>
        </w:rPr>
        <w:t>&lt; </w:t>
      </w:r>
      <w:hyperlink r:id="rId1" w:history="1">
        <w:r w:rsidRPr="001E3DBF">
          <w:rPr>
            <w:rStyle w:val="Hyperlink"/>
            <w:rFonts w:ascii="Raleway" w:hAnsi="Raleway"/>
            <w:sz w:val="15"/>
            <w:szCs w:val="15"/>
          </w:rPr>
          <w:t>www.hcch.net</w:t>
        </w:r>
      </w:hyperlink>
      <w:r w:rsidRPr="001E3DBF">
        <w:rPr>
          <w:rFonts w:ascii="Raleway" w:hAnsi="Raleway"/>
          <w:sz w:val="15"/>
          <w:szCs w:val="15"/>
        </w:rPr>
        <w:t xml:space="preserve"> &gt;, sous la rubrique « Espace Adoption ». Tous les sites web ont été consultés pour la dernière fois </w:t>
      </w:r>
      <w:r>
        <w:rPr>
          <w:rFonts w:ascii="Raleway" w:hAnsi="Raleway"/>
          <w:sz w:val="15"/>
          <w:szCs w:val="15"/>
        </w:rPr>
        <w:t xml:space="preserve">le </w:t>
      </w:r>
      <w:r w:rsidRPr="001E3DBF">
        <w:rPr>
          <w:rFonts w:ascii="Raleway" w:hAnsi="Raleway"/>
          <w:sz w:val="15"/>
          <w:szCs w:val="15"/>
        </w:rPr>
        <w:t xml:space="preserve">premier mai 2026. </w:t>
      </w:r>
    </w:p>
    <w:p w14:paraId="750260D3" w14:textId="02B9E5C8" w:rsidR="00974DA5" w:rsidRPr="001E3DBF" w:rsidRDefault="00974DA5" w:rsidP="00CD1418">
      <w:pPr>
        <w:pStyle w:val="FootnoteText"/>
        <w:shd w:val="clear" w:color="auto" w:fill="FFFFFF" w:themeFill="background1"/>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Une terminologie harmonisée a été fournie dans cette Note, dans la mesure où la Convention ne définit pas des termes essentiels. L</w:t>
      </w:r>
      <w:r>
        <w:rPr>
          <w:rFonts w:ascii="Raleway" w:hAnsi="Raleway"/>
          <w:sz w:val="15"/>
          <w:szCs w:val="15"/>
        </w:rPr>
        <w:t>’</w:t>
      </w:r>
      <w:r w:rsidRPr="001E3DBF">
        <w:rPr>
          <w:rFonts w:ascii="Raleway" w:hAnsi="Raleway"/>
          <w:sz w:val="15"/>
          <w:szCs w:val="15"/>
        </w:rPr>
        <w:t>absence de définitions harmonisées et acceptées peut être source d</w:t>
      </w:r>
      <w:r>
        <w:rPr>
          <w:rFonts w:ascii="Raleway" w:hAnsi="Raleway"/>
          <w:sz w:val="15"/>
          <w:szCs w:val="15"/>
        </w:rPr>
        <w:t>’</w:t>
      </w:r>
      <w:r w:rsidRPr="001E3DBF">
        <w:rPr>
          <w:rFonts w:ascii="Raleway" w:hAnsi="Raleway"/>
          <w:sz w:val="15"/>
          <w:szCs w:val="15"/>
        </w:rPr>
        <w:t>ambiguïté, de confusion et d</w:t>
      </w:r>
      <w:r>
        <w:rPr>
          <w:rFonts w:ascii="Raleway" w:hAnsi="Raleway"/>
          <w:sz w:val="15"/>
          <w:szCs w:val="15"/>
        </w:rPr>
        <w:t>’</w:t>
      </w:r>
      <w:r w:rsidRPr="001E3DBF">
        <w:rPr>
          <w:rFonts w:ascii="Raleway" w:hAnsi="Raleway"/>
          <w:sz w:val="15"/>
          <w:szCs w:val="15"/>
        </w:rPr>
        <w:t xml:space="preserve">interprétations divergentes au sein des États contractants. </w:t>
      </w:r>
    </w:p>
  </w:footnote>
  <w:footnote w:id="3">
    <w:p w14:paraId="3691D52B" w14:textId="17F8F09B" w:rsidR="00974DA5" w:rsidRPr="001E3DBF" w:rsidRDefault="00974DA5" w:rsidP="00CD1418">
      <w:pPr>
        <w:pStyle w:val="FootnoteText"/>
        <w:shd w:val="clear" w:color="auto" w:fill="FFFFFF" w:themeFill="background1"/>
        <w:ind w:left="284" w:hanging="284"/>
        <w:rPr>
          <w:rFonts w:ascii="Raleway" w:hAnsi="Raleway" w:cs="Calibri"/>
          <w:color w:val="0D1E63"/>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HCCH, </w:t>
      </w:r>
      <w:hyperlink r:id="rId2" w:history="1">
        <w:r w:rsidRPr="00E9210A">
          <w:rPr>
            <w:rStyle w:val="Hyperlink"/>
            <w:rFonts w:ascii="Raleway" w:hAnsi="Raleway"/>
            <w:i/>
            <w:sz w:val="15"/>
            <w:szCs w:val="15"/>
          </w:rPr>
          <w:t>Guide de bonnes pratiques No 1 – La mise en œuvre et le fonctionnement de la Convention sur l</w:t>
        </w:r>
        <w:r>
          <w:rPr>
            <w:rStyle w:val="Hyperlink"/>
            <w:rFonts w:ascii="Raleway" w:hAnsi="Raleway"/>
            <w:i/>
            <w:sz w:val="15"/>
            <w:szCs w:val="15"/>
          </w:rPr>
          <w:t>’</w:t>
        </w:r>
        <w:r w:rsidRPr="00E9210A">
          <w:rPr>
            <w:rStyle w:val="Hyperlink"/>
            <w:rFonts w:ascii="Raleway" w:hAnsi="Raleway"/>
            <w:i/>
            <w:sz w:val="15"/>
            <w:szCs w:val="15"/>
          </w:rPr>
          <w:t>adoption internationale de 1993</w:t>
        </w:r>
      </w:hyperlink>
      <w:r w:rsidRPr="001E3DBF">
        <w:rPr>
          <w:rFonts w:ascii="Raleway" w:hAnsi="Raleway"/>
          <w:sz w:val="15"/>
          <w:szCs w:val="15"/>
        </w:rPr>
        <w:t>, Family law, Jordan Publishing Ltd, Bristol, 2008, (</w:t>
      </w:r>
      <w:r>
        <w:rPr>
          <w:rFonts w:ascii="Raleway" w:hAnsi="Raleway"/>
          <w:sz w:val="15"/>
          <w:szCs w:val="15"/>
        </w:rPr>
        <w:t>Guide de bonnes pratiques No 1</w:t>
      </w:r>
      <w:r w:rsidRPr="001E3DBF">
        <w:rPr>
          <w:rFonts w:ascii="Raleway" w:hAnsi="Raleway"/>
          <w:sz w:val="15"/>
          <w:szCs w:val="15"/>
        </w:rPr>
        <w:t>), chapitre 6. Ce chapitre traite du cadre national de protection des enfants, et notamment de l</w:t>
      </w:r>
      <w:r>
        <w:rPr>
          <w:rFonts w:ascii="Raleway" w:hAnsi="Raleway"/>
          <w:sz w:val="15"/>
          <w:szCs w:val="15"/>
        </w:rPr>
        <w:t>’</w:t>
      </w:r>
      <w:r w:rsidRPr="001E3DBF">
        <w:rPr>
          <w:rFonts w:ascii="Raleway" w:hAnsi="Raleway"/>
          <w:sz w:val="15"/>
          <w:szCs w:val="15"/>
        </w:rPr>
        <w:t>entrée de l</w:t>
      </w:r>
      <w:r>
        <w:rPr>
          <w:rFonts w:ascii="Raleway" w:hAnsi="Raleway"/>
          <w:sz w:val="15"/>
          <w:szCs w:val="15"/>
        </w:rPr>
        <w:t>’</w:t>
      </w:r>
      <w:r w:rsidRPr="001E3DBF">
        <w:rPr>
          <w:rFonts w:ascii="Raleway" w:hAnsi="Raleway"/>
          <w:sz w:val="15"/>
          <w:szCs w:val="15"/>
        </w:rPr>
        <w:t>enfant dans le système de protection, de la préservation ou de la réunification familiale, de la prévention de l</w:t>
      </w:r>
      <w:r>
        <w:rPr>
          <w:rFonts w:ascii="Raleway" w:hAnsi="Raleway"/>
          <w:sz w:val="15"/>
          <w:szCs w:val="15"/>
        </w:rPr>
        <w:t>’</w:t>
      </w:r>
      <w:r w:rsidRPr="001E3DBF">
        <w:rPr>
          <w:rFonts w:ascii="Raleway" w:hAnsi="Raleway"/>
          <w:sz w:val="15"/>
          <w:szCs w:val="15"/>
        </w:rPr>
        <w:t>abandon, du placement temporaire de l</w:t>
      </w:r>
      <w:r>
        <w:rPr>
          <w:rFonts w:ascii="Raleway" w:hAnsi="Raleway"/>
          <w:sz w:val="15"/>
          <w:szCs w:val="15"/>
        </w:rPr>
        <w:t>’</w:t>
      </w:r>
      <w:r w:rsidRPr="001E3DBF">
        <w:rPr>
          <w:rFonts w:ascii="Raleway" w:hAnsi="Raleway"/>
          <w:sz w:val="15"/>
          <w:szCs w:val="15"/>
        </w:rPr>
        <w:t>enfant et de l</w:t>
      </w:r>
      <w:r>
        <w:rPr>
          <w:rFonts w:ascii="Raleway" w:hAnsi="Raleway"/>
          <w:sz w:val="15"/>
          <w:szCs w:val="15"/>
        </w:rPr>
        <w:t>’</w:t>
      </w:r>
      <w:r w:rsidRPr="001E3DBF">
        <w:rPr>
          <w:rFonts w:ascii="Raleway" w:hAnsi="Raleway"/>
          <w:sz w:val="15"/>
          <w:szCs w:val="15"/>
        </w:rPr>
        <w:t xml:space="preserve">adoption nationale. </w:t>
      </w:r>
    </w:p>
  </w:footnote>
  <w:footnote w:id="4">
    <w:p w14:paraId="678CA7AD" w14:textId="724BA884" w:rsidR="00974DA5" w:rsidRPr="001E3DBF" w:rsidRDefault="00974DA5" w:rsidP="003468CB">
      <w:pPr>
        <w:pStyle w:val="FootnoteText"/>
        <w:shd w:val="clear" w:color="auto" w:fill="FFFFFF" w:themeFill="background1"/>
        <w:ind w:left="284" w:hanging="284"/>
        <w:rPr>
          <w:rFonts w:ascii="Raleway" w:hAnsi="Raleway"/>
          <w:sz w:val="15"/>
          <w:szCs w:val="15"/>
          <w:lang w:val="en-GB"/>
        </w:rPr>
      </w:pPr>
      <w:r w:rsidRPr="001E3DBF">
        <w:rPr>
          <w:rStyle w:val="FootnoteReference"/>
          <w:rFonts w:ascii="Raleway" w:hAnsi="Raleway"/>
          <w:sz w:val="15"/>
          <w:szCs w:val="15"/>
        </w:rPr>
        <w:footnoteRef/>
      </w:r>
      <w:r>
        <w:rPr>
          <w:rFonts w:ascii="Raleway" w:hAnsi="Raleway"/>
          <w:sz w:val="15"/>
          <w:szCs w:val="15"/>
          <w:lang w:val="en-GB"/>
        </w:rPr>
        <w:t xml:space="preserve"> </w:t>
      </w:r>
      <w:r>
        <w:rPr>
          <w:rFonts w:ascii="Raleway" w:hAnsi="Raleway"/>
          <w:sz w:val="15"/>
          <w:szCs w:val="15"/>
          <w:lang w:val="en-GB"/>
        </w:rPr>
        <w:tab/>
      </w:r>
      <w:hyperlink r:id="rId3" w:history="1">
        <w:r w:rsidRPr="0053634A">
          <w:rPr>
            <w:rStyle w:val="Hyperlink"/>
            <w:rFonts w:ascii="Raleway" w:hAnsi="Raleway"/>
            <w:i/>
            <w:sz w:val="15"/>
            <w:szCs w:val="15"/>
            <w:lang w:val="en-GB"/>
          </w:rPr>
          <w:t>Business Dictionary</w:t>
        </w:r>
      </w:hyperlink>
      <w:r w:rsidRPr="001E3DBF">
        <w:rPr>
          <w:rFonts w:ascii="Raleway" w:hAnsi="Raleway"/>
          <w:sz w:val="15"/>
          <w:szCs w:val="15"/>
          <w:lang w:val="en-GB"/>
        </w:rPr>
        <w:t xml:space="preserve">. </w:t>
      </w:r>
    </w:p>
  </w:footnote>
  <w:footnote w:id="5">
    <w:p w14:paraId="5D7857CE" w14:textId="49F9796A" w:rsidR="00974DA5" w:rsidRPr="00B479B2" w:rsidRDefault="00974DA5" w:rsidP="00CD1418">
      <w:pPr>
        <w:pStyle w:val="FootnoteText"/>
        <w:ind w:left="284" w:hanging="284"/>
        <w:rPr>
          <w:rFonts w:ascii="Raleway" w:hAnsi="Raleway"/>
          <w:sz w:val="15"/>
          <w:szCs w:val="15"/>
          <w:lang w:val="en-GB"/>
        </w:rPr>
      </w:pPr>
      <w:r w:rsidRPr="001E3DBF">
        <w:rPr>
          <w:rStyle w:val="FootnoteReference"/>
          <w:rFonts w:ascii="Raleway" w:hAnsi="Raleway"/>
          <w:sz w:val="15"/>
          <w:szCs w:val="15"/>
        </w:rPr>
        <w:footnoteRef/>
      </w:r>
      <w:r w:rsidRPr="00B479B2">
        <w:rPr>
          <w:rFonts w:ascii="Raleway" w:hAnsi="Raleway"/>
          <w:sz w:val="15"/>
          <w:szCs w:val="15"/>
          <w:lang w:val="en-GB"/>
        </w:rPr>
        <w:t xml:space="preserve"> </w:t>
      </w:r>
      <w:r w:rsidRPr="00B479B2">
        <w:rPr>
          <w:rFonts w:ascii="Raleway" w:hAnsi="Raleway"/>
          <w:sz w:val="15"/>
          <w:szCs w:val="15"/>
          <w:lang w:val="en-GB"/>
        </w:rPr>
        <w:tab/>
      </w:r>
      <w:hyperlink r:id="rId4" w:history="1">
        <w:r w:rsidRPr="00B479B2">
          <w:rPr>
            <w:rStyle w:val="Hyperlink"/>
            <w:rFonts w:ascii="Raleway" w:hAnsi="Raleway"/>
            <w:i/>
            <w:sz w:val="15"/>
            <w:szCs w:val="15"/>
            <w:lang w:val="en-GB"/>
          </w:rPr>
          <w:t>Oxford Advanced Learner’s Dictionary</w:t>
        </w:r>
      </w:hyperlink>
      <w:r w:rsidRPr="00B479B2">
        <w:rPr>
          <w:rFonts w:ascii="Raleway" w:hAnsi="Raleway"/>
          <w:sz w:val="15"/>
          <w:szCs w:val="15"/>
          <w:lang w:val="en-GB"/>
        </w:rPr>
        <w:t>.</w:t>
      </w:r>
      <w:r w:rsidR="00E6549D">
        <w:rPr>
          <w:rFonts w:ascii="Raleway" w:hAnsi="Raleway"/>
          <w:sz w:val="15"/>
          <w:szCs w:val="15"/>
          <w:lang w:val="en-GB"/>
        </w:rPr>
        <w:t xml:space="preserve"> </w:t>
      </w:r>
    </w:p>
  </w:footnote>
  <w:footnote w:id="6">
    <w:p w14:paraId="3015B384" w14:textId="52E336E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Pr>
          <w:rFonts w:ascii="Raleway" w:hAnsi="Raleway"/>
          <w:sz w:val="15"/>
          <w:szCs w:val="15"/>
        </w:rPr>
        <w:t xml:space="preserve"> </w:t>
      </w:r>
      <w:r>
        <w:rPr>
          <w:rFonts w:ascii="Raleway" w:hAnsi="Raleway"/>
          <w:sz w:val="15"/>
          <w:szCs w:val="15"/>
        </w:rPr>
        <w:tab/>
      </w:r>
      <w:r w:rsidRPr="001E3DBF">
        <w:rPr>
          <w:rFonts w:ascii="Raleway" w:hAnsi="Raleway"/>
          <w:sz w:val="15"/>
          <w:szCs w:val="15"/>
        </w:rPr>
        <w:t xml:space="preserve">HCCH, </w:t>
      </w:r>
      <w:hyperlink r:id="rId5" w:history="1">
        <w:r w:rsidRPr="006323D9">
          <w:rPr>
            <w:rStyle w:val="Hyperlink"/>
            <w:rFonts w:ascii="Raleway" w:hAnsi="Raleway"/>
            <w:i/>
            <w:sz w:val="15"/>
            <w:szCs w:val="15"/>
          </w:rPr>
          <w:t>Guide de bonnes pratiques No 2 – L</w:t>
        </w:r>
        <w:r>
          <w:rPr>
            <w:rStyle w:val="Hyperlink"/>
            <w:rFonts w:ascii="Raleway" w:hAnsi="Raleway"/>
            <w:i/>
            <w:sz w:val="15"/>
            <w:szCs w:val="15"/>
          </w:rPr>
          <w:t>’</w:t>
        </w:r>
        <w:r w:rsidRPr="006323D9">
          <w:rPr>
            <w:rStyle w:val="Hyperlink"/>
            <w:rFonts w:ascii="Raleway" w:hAnsi="Raleway"/>
            <w:i/>
            <w:sz w:val="15"/>
            <w:szCs w:val="15"/>
          </w:rPr>
          <w:t>agrément et les organismes agréés en matière d</w:t>
        </w:r>
        <w:r>
          <w:rPr>
            <w:rStyle w:val="Hyperlink"/>
            <w:rFonts w:ascii="Raleway" w:hAnsi="Raleway"/>
            <w:i/>
            <w:sz w:val="15"/>
            <w:szCs w:val="15"/>
          </w:rPr>
          <w:t>’</w:t>
        </w:r>
        <w:r w:rsidRPr="006323D9">
          <w:rPr>
            <w:rStyle w:val="Hyperlink"/>
            <w:rFonts w:ascii="Raleway" w:hAnsi="Raleway"/>
            <w:i/>
            <w:sz w:val="15"/>
            <w:szCs w:val="15"/>
          </w:rPr>
          <w:t>adoption</w:t>
        </w:r>
      </w:hyperlink>
      <w:r w:rsidRPr="001E3DBF">
        <w:rPr>
          <w:rFonts w:ascii="Raleway" w:hAnsi="Raleway"/>
          <w:sz w:val="15"/>
          <w:szCs w:val="15"/>
        </w:rPr>
        <w:t>, Family law, Jordan Publishing Ltd, Bristol, 2012, (</w:t>
      </w:r>
      <w:r>
        <w:rPr>
          <w:rFonts w:ascii="Raleway" w:hAnsi="Raleway"/>
          <w:sz w:val="15"/>
          <w:szCs w:val="15"/>
        </w:rPr>
        <w:t>Guide de bonnes pratiques No 2</w:t>
      </w:r>
      <w:r w:rsidRPr="001E3DBF">
        <w:rPr>
          <w:rFonts w:ascii="Raleway" w:hAnsi="Raleway"/>
          <w:sz w:val="15"/>
          <w:szCs w:val="15"/>
        </w:rPr>
        <w:t xml:space="preserve">), chapitre 8,6. </w:t>
      </w:r>
    </w:p>
  </w:footnote>
  <w:footnote w:id="7">
    <w:p w14:paraId="7D8075B7" w14:textId="589707E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Dans la présente Note, sauf mention contraire, tout ce qui concerne les OAA vaut également pour les personnes autorisées (non agréées) (art. 22(2) de la Convention). Veuillez noter que cette Note se concentre sur tout ce qui a trait aux activités des autorités et des OAA, et non sur les personnes et organismes autorisés (non agréés), dans la mesure où il n</w:t>
      </w:r>
      <w:r>
        <w:rPr>
          <w:rFonts w:ascii="Raleway" w:hAnsi="Raleway"/>
          <w:sz w:val="15"/>
          <w:szCs w:val="15"/>
        </w:rPr>
        <w:t>’</w:t>
      </w:r>
      <w:r w:rsidRPr="001E3DBF">
        <w:rPr>
          <w:rFonts w:ascii="Raleway" w:hAnsi="Raleway"/>
          <w:sz w:val="15"/>
          <w:szCs w:val="15"/>
        </w:rPr>
        <w:t>y est pas souvent fait recours pour les adoptions réalisées en application de la Convention Adoption de 1993. Une « personne autorisée (non agréée) » est une personne (ou un organisme) qui a été désignée conformément à l</w:t>
      </w:r>
      <w:r>
        <w:rPr>
          <w:rFonts w:ascii="Raleway" w:hAnsi="Raleway"/>
          <w:sz w:val="15"/>
          <w:szCs w:val="15"/>
        </w:rPr>
        <w:t>’</w:t>
      </w:r>
      <w:r w:rsidRPr="001E3DBF">
        <w:rPr>
          <w:rFonts w:ascii="Raleway" w:hAnsi="Raleway"/>
          <w:sz w:val="15"/>
          <w:szCs w:val="15"/>
        </w:rPr>
        <w:t>art</w:t>
      </w:r>
      <w:r>
        <w:rPr>
          <w:rFonts w:ascii="Raleway" w:hAnsi="Raleway"/>
          <w:sz w:val="15"/>
          <w:szCs w:val="15"/>
        </w:rPr>
        <w:t>icle</w:t>
      </w:r>
      <w:r w:rsidRPr="001E3DBF">
        <w:rPr>
          <w:rFonts w:ascii="Raleway" w:hAnsi="Raleway"/>
          <w:sz w:val="15"/>
          <w:szCs w:val="15"/>
        </w:rPr>
        <w:t> 22(2) de la Convention pour</w:t>
      </w:r>
      <w:r>
        <w:rPr>
          <w:rFonts w:ascii="Raleway" w:hAnsi="Raleway"/>
          <w:sz w:val="15"/>
          <w:szCs w:val="15"/>
        </w:rPr>
        <w:t xml:space="preserve"> exercer certaines fonctions de l’Autorité centrale</w:t>
      </w:r>
      <w:r w:rsidRPr="001E3DBF">
        <w:rPr>
          <w:rFonts w:ascii="Raleway" w:hAnsi="Raleway"/>
          <w:sz w:val="15"/>
          <w:szCs w:val="15"/>
        </w:rPr>
        <w:t>. La personne ou l</w:t>
      </w:r>
      <w:r>
        <w:rPr>
          <w:rFonts w:ascii="Raleway" w:hAnsi="Raleway"/>
          <w:sz w:val="15"/>
          <w:szCs w:val="15"/>
        </w:rPr>
        <w:t>’</w:t>
      </w:r>
      <w:r w:rsidRPr="001E3DBF">
        <w:rPr>
          <w:rFonts w:ascii="Raleway" w:hAnsi="Raleway"/>
          <w:sz w:val="15"/>
          <w:szCs w:val="15"/>
        </w:rPr>
        <w:t>organisme n</w:t>
      </w:r>
      <w:r>
        <w:rPr>
          <w:rFonts w:ascii="Raleway" w:hAnsi="Raleway"/>
          <w:sz w:val="15"/>
          <w:szCs w:val="15"/>
        </w:rPr>
        <w:t>’est pas agréé au sens des articles</w:t>
      </w:r>
      <w:r w:rsidRPr="001E3DBF">
        <w:rPr>
          <w:rFonts w:ascii="Raleway" w:hAnsi="Raleway"/>
          <w:sz w:val="15"/>
          <w:szCs w:val="15"/>
        </w:rPr>
        <w:t xml:space="preserve"> 10 à 12 de la Convention, mais doit remplir les critères </w:t>
      </w:r>
      <w:r w:rsidR="00146EC1">
        <w:rPr>
          <w:rFonts w:ascii="Raleway" w:hAnsi="Raleway"/>
          <w:sz w:val="15"/>
          <w:szCs w:val="15"/>
        </w:rPr>
        <w:t>minimaux</w:t>
      </w:r>
      <w:r w:rsidR="00146EC1" w:rsidRPr="001E3DBF">
        <w:rPr>
          <w:rFonts w:ascii="Raleway" w:hAnsi="Raleway"/>
          <w:sz w:val="15"/>
          <w:szCs w:val="15"/>
        </w:rPr>
        <w:t xml:space="preserve"> </w:t>
      </w:r>
      <w:r w:rsidRPr="001E3DBF">
        <w:rPr>
          <w:rFonts w:ascii="Raleway" w:hAnsi="Raleway"/>
          <w:sz w:val="15"/>
          <w:szCs w:val="15"/>
        </w:rPr>
        <w:t>fixés par son art</w:t>
      </w:r>
      <w:r>
        <w:rPr>
          <w:rFonts w:ascii="Raleway" w:hAnsi="Raleway"/>
          <w:sz w:val="15"/>
          <w:szCs w:val="15"/>
        </w:rPr>
        <w:t>icle</w:t>
      </w:r>
      <w:r w:rsidRPr="001E3DBF">
        <w:rPr>
          <w:rFonts w:ascii="Raleway" w:hAnsi="Raleway"/>
          <w:sz w:val="15"/>
          <w:szCs w:val="15"/>
        </w:rPr>
        <w:t xml:space="preserve"> 22(2). Voir Guide de bonnes pratiques No 1,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xml:space="preserve">, glossaire et chapitre 4,4 et Guide de bonnes pratiques No 2,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 13.</w:t>
      </w:r>
    </w:p>
  </w:footnote>
  <w:footnote w:id="8">
    <w:p w14:paraId="58820F99" w14:textId="288A770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para. 225.</w:t>
      </w:r>
    </w:p>
  </w:footnote>
  <w:footnote w:id="9">
    <w:p w14:paraId="6C7FC024" w14:textId="5FF8646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 Parra-Aranguren, </w:t>
      </w:r>
      <w:hyperlink r:id="rId6" w:history="1">
        <w:r w:rsidRPr="001E3DBF">
          <w:rPr>
            <w:rStyle w:val="Hyperlink"/>
            <w:rFonts w:ascii="Raleway" w:hAnsi="Raleway"/>
            <w:i/>
            <w:sz w:val="15"/>
            <w:szCs w:val="15"/>
          </w:rPr>
          <w:t>Rapport explicatif sur la Convention Adoption de 1993</w:t>
        </w:r>
      </w:hyperlink>
      <w:r w:rsidRPr="001E3DBF">
        <w:rPr>
          <w:rFonts w:ascii="Raleway" w:hAnsi="Raleway"/>
          <w:sz w:val="15"/>
          <w:szCs w:val="15"/>
        </w:rPr>
        <w:t xml:space="preserve">, réimpression tirée des </w:t>
      </w:r>
      <w:r w:rsidRPr="001E3DBF">
        <w:rPr>
          <w:rFonts w:ascii="Raleway" w:hAnsi="Raleway"/>
          <w:i/>
          <w:iCs/>
          <w:sz w:val="15"/>
          <w:szCs w:val="15"/>
        </w:rPr>
        <w:t>Actes et Documents de la Dix-septième session (1993)</w:t>
      </w:r>
      <w:r w:rsidRPr="001E3DBF">
        <w:rPr>
          <w:rFonts w:ascii="Raleway" w:hAnsi="Raleway"/>
          <w:sz w:val="15"/>
          <w:szCs w:val="15"/>
        </w:rPr>
        <w:t xml:space="preserve">, La Haye, HCCH, 2022, (ci-après, le « Rapport explicatif »), para. 528. </w:t>
      </w:r>
    </w:p>
  </w:footnote>
  <w:footnote w:id="10">
    <w:p w14:paraId="70B74266" w14:textId="4C75D62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w:t>
      </w:r>
      <w:r>
        <w:rPr>
          <w:rFonts w:ascii="Raleway" w:hAnsi="Raleway"/>
          <w:sz w:val="15"/>
          <w:szCs w:val="15"/>
        </w:rPr>
        <w:t>’</w:t>
      </w:r>
      <w:r w:rsidRPr="001E3DBF">
        <w:rPr>
          <w:rFonts w:ascii="Raleway" w:hAnsi="Raleway"/>
          <w:sz w:val="15"/>
          <w:szCs w:val="15"/>
        </w:rPr>
        <w:t>expression « obtention d</w:t>
      </w:r>
      <w:r>
        <w:rPr>
          <w:rFonts w:ascii="Raleway" w:hAnsi="Raleway"/>
          <w:sz w:val="15"/>
          <w:szCs w:val="15"/>
        </w:rPr>
        <w:t>’</w:t>
      </w:r>
      <w:r w:rsidRPr="001E3DBF">
        <w:rPr>
          <w:rFonts w:ascii="Raleway" w:hAnsi="Raleway"/>
          <w:sz w:val="15"/>
          <w:szCs w:val="15"/>
        </w:rPr>
        <w:t>enfants aux fins de l</w:t>
      </w:r>
      <w:r>
        <w:rPr>
          <w:rFonts w:ascii="Raleway" w:hAnsi="Raleway"/>
          <w:sz w:val="15"/>
          <w:szCs w:val="15"/>
        </w:rPr>
        <w:t>’</w:t>
      </w:r>
      <w:r w:rsidRPr="001E3DBF">
        <w:rPr>
          <w:rFonts w:ascii="Raleway" w:hAnsi="Raleway"/>
          <w:sz w:val="15"/>
          <w:szCs w:val="15"/>
        </w:rPr>
        <w:t>adoption », employée dans cette Note, s</w:t>
      </w:r>
      <w:r>
        <w:rPr>
          <w:rFonts w:ascii="Raleway" w:hAnsi="Raleway"/>
          <w:sz w:val="15"/>
          <w:szCs w:val="15"/>
        </w:rPr>
        <w:t>’</w:t>
      </w:r>
      <w:r w:rsidRPr="001E3DBF">
        <w:rPr>
          <w:rFonts w:ascii="Raleway" w:hAnsi="Raleway"/>
          <w:sz w:val="15"/>
          <w:szCs w:val="15"/>
        </w:rPr>
        <w:t>applique à l</w:t>
      </w:r>
      <w:r>
        <w:rPr>
          <w:rFonts w:ascii="Raleway" w:hAnsi="Raleway"/>
          <w:sz w:val="15"/>
          <w:szCs w:val="15"/>
        </w:rPr>
        <w:t>’</w:t>
      </w:r>
      <w:r w:rsidRPr="001E3DBF">
        <w:rPr>
          <w:rFonts w:ascii="Raleway" w:hAnsi="Raleway"/>
          <w:sz w:val="15"/>
          <w:szCs w:val="15"/>
        </w:rPr>
        <w:t>ensemble des moyens, licites ou non, visant à rechercher activement des enfants pour l</w:t>
      </w:r>
      <w:r>
        <w:rPr>
          <w:rFonts w:ascii="Raleway" w:hAnsi="Raleway"/>
          <w:sz w:val="15"/>
          <w:szCs w:val="15"/>
        </w:rPr>
        <w:t>’</w:t>
      </w:r>
      <w:r w:rsidRPr="001E3DBF">
        <w:rPr>
          <w:rFonts w:ascii="Raleway" w:hAnsi="Raleway"/>
          <w:sz w:val="15"/>
          <w:szCs w:val="15"/>
        </w:rPr>
        <w:t xml:space="preserve">adoption internationale. Voir 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xml:space="preserve">, para. 75. </w:t>
      </w:r>
    </w:p>
  </w:footnote>
  <w:footnote w:id="11">
    <w:p w14:paraId="2F16F44D" w14:textId="0373586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ab/>
        <w:t>Belgique (communauté flamande) (</w:t>
      </w:r>
      <w:hyperlink r:id="rId7" w:history="1">
        <w:r w:rsidRPr="001E3DBF">
          <w:rPr>
            <w:rStyle w:val="Hyperlink"/>
            <w:rFonts w:ascii="Raleway" w:hAnsi="Raleway"/>
            <w:i/>
            <w:color w:val="024987"/>
            <w:sz w:val="15"/>
            <w:szCs w:val="15"/>
          </w:rPr>
          <w:t>Eindrapport</w:t>
        </w:r>
      </w:hyperlink>
      <w:r>
        <w:rPr>
          <w:rFonts w:ascii="Raleway" w:hAnsi="Raleway"/>
          <w:i/>
          <w:sz w:val="15"/>
          <w:szCs w:val="15"/>
        </w:rPr>
        <w:t>, E</w:t>
      </w:r>
      <w:r w:rsidRPr="001E3DBF">
        <w:rPr>
          <w:rFonts w:ascii="Raleway" w:hAnsi="Raleway"/>
          <w:i/>
          <w:sz w:val="15"/>
          <w:szCs w:val="15"/>
        </w:rPr>
        <w:t>xpertenpanel inzake interlandelijke adoptie</w:t>
      </w:r>
      <w:r w:rsidRPr="001E3DBF">
        <w:rPr>
          <w:rFonts w:ascii="Raleway" w:hAnsi="Raleway"/>
          <w:sz w:val="15"/>
          <w:szCs w:val="15"/>
        </w:rPr>
        <w:t xml:space="preserve"> (Rapport final du Groupe d</w:t>
      </w:r>
      <w:r>
        <w:rPr>
          <w:rFonts w:ascii="Raleway" w:hAnsi="Raleway"/>
          <w:sz w:val="15"/>
          <w:szCs w:val="15"/>
        </w:rPr>
        <w:t>’</w:t>
      </w:r>
      <w:r w:rsidRPr="001E3DBF">
        <w:rPr>
          <w:rFonts w:ascii="Raleway" w:hAnsi="Raleway"/>
          <w:sz w:val="15"/>
          <w:szCs w:val="15"/>
        </w:rPr>
        <w:t>experts sur l</w:t>
      </w:r>
      <w:r>
        <w:rPr>
          <w:rFonts w:ascii="Raleway" w:hAnsi="Raleway"/>
          <w:sz w:val="15"/>
          <w:szCs w:val="15"/>
        </w:rPr>
        <w:t>’</w:t>
      </w:r>
      <w:r w:rsidRPr="001E3DBF">
        <w:rPr>
          <w:rFonts w:ascii="Raleway" w:hAnsi="Raleway"/>
          <w:sz w:val="15"/>
          <w:szCs w:val="15"/>
        </w:rPr>
        <w:t xml:space="preserve">adoption internationale), 2021, p. 19 et 20, (ci-après, le « Rapport </w:t>
      </w:r>
      <w:r>
        <w:rPr>
          <w:rFonts w:ascii="Raleway" w:hAnsi="Raleway"/>
          <w:sz w:val="15"/>
          <w:szCs w:val="15"/>
        </w:rPr>
        <w:t>flamand</w:t>
      </w:r>
      <w:r w:rsidRPr="001E3DBF">
        <w:rPr>
          <w:rFonts w:ascii="Raleway" w:hAnsi="Raleway"/>
          <w:sz w:val="15"/>
          <w:szCs w:val="15"/>
        </w:rPr>
        <w:t> »)) ; France (</w:t>
      </w:r>
      <w:hyperlink r:id="rId8" w:history="1">
        <w:r w:rsidRPr="0053634A">
          <w:rPr>
            <w:rStyle w:val="Hyperlink"/>
            <w:rFonts w:ascii="Raleway" w:hAnsi="Raleway"/>
            <w:sz w:val="15"/>
            <w:szCs w:val="15"/>
          </w:rPr>
          <w:t>Rapport définitif</w:t>
        </w:r>
      </w:hyperlink>
      <w:r w:rsidRPr="0053634A">
        <w:rPr>
          <w:rFonts w:ascii="Raleway" w:hAnsi="Raleway"/>
          <w:sz w:val="15"/>
          <w:szCs w:val="15"/>
        </w:rPr>
        <w:t xml:space="preserve"> – Mission interministérielle relative aux pratiques illicites dans l</w:t>
      </w:r>
      <w:r>
        <w:rPr>
          <w:rFonts w:ascii="Raleway" w:hAnsi="Raleway"/>
          <w:sz w:val="15"/>
          <w:szCs w:val="15"/>
        </w:rPr>
        <w:t>’</w:t>
      </w:r>
      <w:r w:rsidRPr="0053634A">
        <w:rPr>
          <w:rFonts w:ascii="Raleway" w:hAnsi="Raleway"/>
          <w:sz w:val="15"/>
          <w:szCs w:val="15"/>
        </w:rPr>
        <w:t>adoption internationale en France</w:t>
      </w:r>
      <w:r w:rsidRPr="001E3DBF">
        <w:rPr>
          <w:rFonts w:ascii="Raleway" w:hAnsi="Raleway"/>
          <w:sz w:val="15"/>
          <w:szCs w:val="15"/>
        </w:rPr>
        <w:t>, 2023, p. 66 à 74, (ci-après, le « Rapport</w:t>
      </w:r>
      <w:r>
        <w:rPr>
          <w:rFonts w:ascii="Raleway" w:hAnsi="Raleway"/>
          <w:sz w:val="15"/>
          <w:szCs w:val="15"/>
        </w:rPr>
        <w:t xml:space="preserve"> français </w:t>
      </w:r>
      <w:r w:rsidRPr="001E3DBF">
        <w:rPr>
          <w:rFonts w:ascii="Raleway" w:hAnsi="Raleway"/>
          <w:sz w:val="15"/>
          <w:szCs w:val="15"/>
        </w:rPr>
        <w:t>»)) ; Pays-Bas (</w:t>
      </w:r>
      <w:hyperlink r:id="rId9" w:history="1">
        <w:r w:rsidRPr="001E3DBF">
          <w:rPr>
            <w:rStyle w:val="Hyperlink"/>
            <w:rFonts w:ascii="Raleway" w:hAnsi="Raleway"/>
            <w:i/>
            <w:color w:val="024987"/>
            <w:sz w:val="15"/>
            <w:szCs w:val="15"/>
          </w:rPr>
          <w:t>Rapport</w:t>
        </w:r>
      </w:hyperlink>
      <w:r w:rsidRPr="001E3DBF">
        <w:rPr>
          <w:rFonts w:ascii="Raleway" w:hAnsi="Raleway"/>
          <w:i/>
          <w:sz w:val="15"/>
          <w:szCs w:val="15"/>
        </w:rPr>
        <w:t>, Commissie onderzoek interlandelijke adoptie</w:t>
      </w:r>
      <w:r w:rsidRPr="001E3DBF">
        <w:rPr>
          <w:rFonts w:ascii="Raleway" w:hAnsi="Raleway"/>
          <w:sz w:val="15"/>
          <w:szCs w:val="15"/>
        </w:rPr>
        <w:t xml:space="preserve"> (Rapport du Comité d</w:t>
      </w:r>
      <w:r>
        <w:rPr>
          <w:rFonts w:ascii="Raleway" w:hAnsi="Raleway"/>
          <w:sz w:val="15"/>
          <w:szCs w:val="15"/>
        </w:rPr>
        <w:t>’</w:t>
      </w:r>
      <w:r w:rsidRPr="001E3DBF">
        <w:rPr>
          <w:rFonts w:ascii="Raleway" w:hAnsi="Raleway"/>
          <w:sz w:val="15"/>
          <w:szCs w:val="15"/>
        </w:rPr>
        <w:t>enquête sur l</w:t>
      </w:r>
      <w:r>
        <w:rPr>
          <w:rFonts w:ascii="Raleway" w:hAnsi="Raleway"/>
          <w:sz w:val="15"/>
          <w:szCs w:val="15"/>
        </w:rPr>
        <w:t>’</w:t>
      </w:r>
      <w:r w:rsidRPr="001E3DBF">
        <w:rPr>
          <w:rFonts w:ascii="Raleway" w:hAnsi="Raleway"/>
          <w:sz w:val="15"/>
          <w:szCs w:val="15"/>
        </w:rPr>
        <w:t xml:space="preserve">adoption internationale), 2021, p. 5, 57, 123 et 124, (ci-après, le « Rapport </w:t>
      </w:r>
      <w:r>
        <w:rPr>
          <w:rFonts w:ascii="Raleway" w:hAnsi="Raleway"/>
          <w:sz w:val="15"/>
          <w:szCs w:val="15"/>
        </w:rPr>
        <w:t>néerlandais </w:t>
      </w:r>
      <w:r w:rsidRPr="001E3DBF">
        <w:rPr>
          <w:rFonts w:ascii="Raleway" w:hAnsi="Raleway"/>
          <w:sz w:val="15"/>
          <w:szCs w:val="15"/>
        </w:rPr>
        <w:t>»)) ; Suède (</w:t>
      </w:r>
      <w:hyperlink r:id="rId10" w:history="1">
        <w:r w:rsidRPr="001E3DBF">
          <w:rPr>
            <w:rStyle w:val="Hyperlink"/>
            <w:rFonts w:ascii="Raleway" w:hAnsi="Raleway"/>
            <w:i/>
            <w:color w:val="024987"/>
            <w:sz w:val="15"/>
            <w:szCs w:val="15"/>
          </w:rPr>
          <w:t>Sveriges internationella adoptionsverksamhet</w:t>
        </w:r>
      </w:hyperlink>
      <w:r w:rsidRPr="001E3DBF">
        <w:rPr>
          <w:rFonts w:ascii="Raleway" w:hAnsi="Raleway"/>
          <w:i/>
          <w:sz w:val="15"/>
          <w:szCs w:val="15"/>
        </w:rPr>
        <w:t>– lärdomar och vägen framåt, Sveriges regering</w:t>
      </w:r>
      <w:r>
        <w:rPr>
          <w:rFonts w:ascii="Raleway" w:hAnsi="Raleway"/>
          <w:sz w:val="15"/>
          <w:szCs w:val="15"/>
        </w:rPr>
        <w:t>, 2025, p. 325 à 489, (ci</w:t>
      </w:r>
      <w:r>
        <w:rPr>
          <w:rFonts w:ascii="Raleway" w:hAnsi="Raleway"/>
          <w:sz w:val="15"/>
          <w:szCs w:val="15"/>
        </w:rPr>
        <w:noBreakHyphen/>
      </w:r>
      <w:r w:rsidRPr="001E3DBF">
        <w:rPr>
          <w:rFonts w:ascii="Raleway" w:hAnsi="Raleway"/>
          <w:sz w:val="15"/>
          <w:szCs w:val="15"/>
        </w:rPr>
        <w:t xml:space="preserve">après, le « Rapport </w:t>
      </w:r>
      <w:r>
        <w:rPr>
          <w:rFonts w:ascii="Raleway" w:hAnsi="Raleway"/>
          <w:sz w:val="15"/>
          <w:szCs w:val="15"/>
        </w:rPr>
        <w:t>suédois </w:t>
      </w:r>
      <w:r w:rsidRPr="001E3DBF">
        <w:rPr>
          <w:rFonts w:ascii="Raleway" w:hAnsi="Raleway"/>
          <w:sz w:val="15"/>
          <w:szCs w:val="15"/>
        </w:rPr>
        <w:t>»)) ; Suisse (</w:t>
      </w:r>
      <w:hyperlink r:id="rId11" w:anchor=":~:text=On%2011%20December%202020%2C%20the,of%202026%20(press%20release)." w:history="1">
        <w:r w:rsidRPr="0053634A">
          <w:rPr>
            <w:rStyle w:val="Hyperlink"/>
            <w:rFonts w:ascii="Raleway" w:hAnsi="Raleway"/>
            <w:color w:val="024987"/>
            <w:sz w:val="15"/>
            <w:szCs w:val="15"/>
          </w:rPr>
          <w:t>Rapport final</w:t>
        </w:r>
      </w:hyperlink>
      <w:r w:rsidRPr="0053634A">
        <w:rPr>
          <w:rFonts w:ascii="Raleway" w:hAnsi="Raleway"/>
          <w:sz w:val="15"/>
          <w:szCs w:val="15"/>
        </w:rPr>
        <w:t xml:space="preserve"> – Groupe d</w:t>
      </w:r>
      <w:r>
        <w:rPr>
          <w:rFonts w:ascii="Raleway" w:hAnsi="Raleway"/>
          <w:sz w:val="15"/>
          <w:szCs w:val="15"/>
        </w:rPr>
        <w:t>’</w:t>
      </w:r>
      <w:r w:rsidRPr="0053634A">
        <w:rPr>
          <w:rFonts w:ascii="Raleway" w:hAnsi="Raleway"/>
          <w:sz w:val="15"/>
          <w:szCs w:val="15"/>
        </w:rPr>
        <w:t>experts « Adoption internationale »,</w:t>
      </w:r>
      <w:r w:rsidRPr="001E3DBF">
        <w:rPr>
          <w:rFonts w:ascii="Raleway" w:hAnsi="Raleway"/>
          <w:sz w:val="15"/>
          <w:szCs w:val="15"/>
        </w:rPr>
        <w:t xml:space="preserve"> 2024, p. 44 à 51 (ci-après, le « Rapport </w:t>
      </w:r>
      <w:r>
        <w:rPr>
          <w:rFonts w:ascii="Raleway" w:hAnsi="Raleway"/>
          <w:sz w:val="15"/>
          <w:szCs w:val="15"/>
        </w:rPr>
        <w:t>s</w:t>
      </w:r>
      <w:r w:rsidRPr="001E3DBF">
        <w:rPr>
          <w:rFonts w:ascii="Raleway" w:hAnsi="Raleway"/>
          <w:sz w:val="15"/>
          <w:szCs w:val="15"/>
        </w:rPr>
        <w:t>uisse »)</w:t>
      </w:r>
      <w:r w:rsidR="002750BB">
        <w:rPr>
          <w:rFonts w:ascii="Raleway" w:hAnsi="Raleway"/>
          <w:sz w:val="15"/>
          <w:szCs w:val="15"/>
        </w:rPr>
        <w:t>. V</w:t>
      </w:r>
      <w:r w:rsidRPr="001E3DBF">
        <w:rPr>
          <w:rFonts w:ascii="Raleway" w:hAnsi="Raleway"/>
          <w:sz w:val="15"/>
          <w:szCs w:val="15"/>
        </w:rPr>
        <w:t xml:space="preserve">oir aussi Rapporteuse spéciale </w:t>
      </w:r>
      <w:r w:rsidR="00DB7BEA">
        <w:rPr>
          <w:rFonts w:ascii="Raleway" w:hAnsi="Raleway"/>
          <w:sz w:val="15"/>
          <w:szCs w:val="15"/>
        </w:rPr>
        <w:t xml:space="preserve">des Nations Unies </w:t>
      </w:r>
      <w:r w:rsidRPr="001E3DBF">
        <w:rPr>
          <w:rFonts w:ascii="Raleway" w:hAnsi="Raleway"/>
          <w:sz w:val="15"/>
          <w:szCs w:val="15"/>
        </w:rPr>
        <w:t>sur la vente d</w:t>
      </w:r>
      <w:r>
        <w:rPr>
          <w:rFonts w:ascii="Raleway" w:hAnsi="Raleway"/>
          <w:sz w:val="15"/>
          <w:szCs w:val="15"/>
        </w:rPr>
        <w:t>’</w:t>
      </w:r>
      <w:r w:rsidRPr="001E3DBF">
        <w:rPr>
          <w:rFonts w:ascii="Raleway" w:hAnsi="Raleway"/>
          <w:sz w:val="15"/>
          <w:szCs w:val="15"/>
        </w:rPr>
        <w:t>enfants, la prostitution des enfants et la pornographie mettant en scène des enfants (</w:t>
      </w:r>
      <w:hyperlink r:id="rId12" w:history="1">
        <w:r w:rsidRPr="001E3DBF">
          <w:rPr>
            <w:rStyle w:val="Hyperlink"/>
            <w:rFonts w:ascii="Raleway" w:hAnsi="Raleway"/>
            <w:color w:val="024987"/>
            <w:sz w:val="15"/>
            <w:szCs w:val="15"/>
          </w:rPr>
          <w:t>Rapport</w:t>
        </w:r>
      </w:hyperlink>
      <w:r w:rsidRPr="001E3DBF">
        <w:rPr>
          <w:rFonts w:ascii="Raleway" w:hAnsi="Raleway"/>
          <w:sz w:val="15"/>
          <w:szCs w:val="15"/>
        </w:rPr>
        <w:t>), Doc N° A/HRC/34/55 (2016).</w:t>
      </w:r>
    </w:p>
  </w:footnote>
  <w:footnote w:id="12">
    <w:p w14:paraId="541BE6C3" w14:textId="71CB068C"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 xml:space="preserve">Voir </w:t>
      </w:r>
      <w:r w:rsidRPr="00DD2894">
        <w:rPr>
          <w:rFonts w:ascii="Raleway" w:hAnsi="Raleway"/>
          <w:i/>
          <w:sz w:val="15"/>
          <w:szCs w:val="15"/>
          <w:lang w:val="pt-PT"/>
        </w:rPr>
        <w:t xml:space="preserve">infra </w:t>
      </w:r>
      <w:r w:rsidRPr="00DD2894">
        <w:rPr>
          <w:rFonts w:ascii="Raleway" w:hAnsi="Raleway"/>
          <w:sz w:val="15"/>
          <w:szCs w:val="15"/>
          <w:lang w:val="pt-PT"/>
        </w:rPr>
        <w:t>para. </w:t>
      </w:r>
      <w:r w:rsidRPr="001E3DBF">
        <w:rPr>
          <w:rFonts w:ascii="Raleway" w:hAnsi="Raleway"/>
          <w:sz w:val="15"/>
          <w:szCs w:val="15"/>
        </w:rPr>
        <w:fldChar w:fldCharType="begin"/>
      </w:r>
      <w:r w:rsidRPr="00DD2894">
        <w:rPr>
          <w:rFonts w:ascii="Raleway" w:hAnsi="Raleway"/>
          <w:sz w:val="15"/>
          <w:szCs w:val="15"/>
          <w:lang w:val="pt-PT"/>
        </w:rPr>
        <w:instrText xml:space="preserve"> REF _Ref202957870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lang w:val="pt-PT"/>
        </w:rPr>
        <w:t>41</w:t>
      </w:r>
      <w:r w:rsidRPr="001E3DBF">
        <w:rPr>
          <w:rFonts w:ascii="Raleway" w:hAnsi="Raleway"/>
          <w:sz w:val="15"/>
          <w:szCs w:val="15"/>
        </w:rPr>
        <w:fldChar w:fldCharType="end"/>
      </w:r>
      <w:r w:rsidRPr="00DD2894">
        <w:rPr>
          <w:rFonts w:ascii="Raleway" w:hAnsi="Raleway"/>
          <w:sz w:val="15"/>
          <w:szCs w:val="15"/>
          <w:lang w:val="pt-PT"/>
        </w:rPr>
        <w:t>.</w:t>
      </w:r>
    </w:p>
  </w:footnote>
  <w:footnote w:id="13">
    <w:p w14:paraId="39406DBB" w14:textId="35EF8E76"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 xml:space="preserve">Voir </w:t>
      </w:r>
      <w:r w:rsidRPr="00DD2894">
        <w:rPr>
          <w:rFonts w:ascii="Raleway" w:hAnsi="Raleway"/>
          <w:i/>
          <w:sz w:val="15"/>
          <w:szCs w:val="15"/>
          <w:lang w:val="pt-PT"/>
        </w:rPr>
        <w:t xml:space="preserve">infra </w:t>
      </w:r>
      <w:r w:rsidRPr="00DD2894">
        <w:rPr>
          <w:rFonts w:ascii="Raleway" w:hAnsi="Raleway"/>
          <w:sz w:val="15"/>
          <w:szCs w:val="15"/>
          <w:lang w:val="pt-PT"/>
        </w:rPr>
        <w:t>para. </w:t>
      </w:r>
      <w:r w:rsidRPr="001E3DBF">
        <w:rPr>
          <w:rFonts w:ascii="Raleway" w:hAnsi="Raleway"/>
          <w:sz w:val="15"/>
          <w:szCs w:val="15"/>
        </w:rPr>
        <w:fldChar w:fldCharType="begin"/>
      </w:r>
      <w:r w:rsidRPr="00DD2894">
        <w:rPr>
          <w:rFonts w:ascii="Raleway" w:hAnsi="Raleway"/>
          <w:sz w:val="15"/>
          <w:szCs w:val="15"/>
          <w:lang w:val="pt-PT"/>
        </w:rPr>
        <w:instrText xml:space="preserve"> REF _Ref174367963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lang w:val="pt-PT"/>
        </w:rPr>
        <w:t>12</w:t>
      </w:r>
      <w:r w:rsidRPr="001E3DBF">
        <w:rPr>
          <w:rFonts w:ascii="Raleway" w:hAnsi="Raleway"/>
          <w:sz w:val="15"/>
          <w:szCs w:val="15"/>
        </w:rPr>
        <w:fldChar w:fldCharType="end"/>
      </w:r>
      <w:r w:rsidRPr="00DD2894">
        <w:rPr>
          <w:rFonts w:ascii="Raleway" w:hAnsi="Raleway"/>
          <w:sz w:val="15"/>
          <w:szCs w:val="15"/>
          <w:lang w:val="pt-PT"/>
        </w:rPr>
        <w:t>.</w:t>
      </w:r>
    </w:p>
  </w:footnote>
  <w:footnote w:id="14">
    <w:p w14:paraId="6EBEB7F8" w14:textId="61C10CBD"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ab/>
        <w:t xml:space="preserve">CAGP de 2011, C&amp;R No 25. </w:t>
      </w:r>
    </w:p>
  </w:footnote>
  <w:footnote w:id="15">
    <w:p w14:paraId="36BE4122" w14:textId="23A72CC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Par ex., les réponses aux questions Nos 11(3) et 11(6) du « Questionnaire sur le fonctionnement </w:t>
      </w:r>
      <w:r>
        <w:rPr>
          <w:rFonts w:ascii="Raleway" w:hAnsi="Raleway"/>
          <w:sz w:val="15"/>
          <w:szCs w:val="15"/>
        </w:rPr>
        <w:t>pratique de la Convention de La </w:t>
      </w:r>
      <w:r w:rsidRPr="001E3DBF">
        <w:rPr>
          <w:rFonts w:ascii="Raleway" w:hAnsi="Raleway"/>
          <w:sz w:val="15"/>
          <w:szCs w:val="15"/>
        </w:rPr>
        <w:t>Haye du 29</w:t>
      </w:r>
      <w:r>
        <w:rPr>
          <w:rFonts w:ascii="Raleway" w:hAnsi="Raleway"/>
          <w:sz w:val="15"/>
          <w:szCs w:val="15"/>
        </w:rPr>
        <w:t> mai </w:t>
      </w:r>
      <w:r w:rsidRPr="001E3DBF">
        <w:rPr>
          <w:rFonts w:ascii="Raleway" w:hAnsi="Raleway"/>
          <w:sz w:val="15"/>
          <w:szCs w:val="15"/>
        </w:rPr>
        <w:t>1993 sur la protection des enfants et la coopération en matière d</w:t>
      </w:r>
      <w:r>
        <w:rPr>
          <w:rFonts w:ascii="Raleway" w:hAnsi="Raleway"/>
          <w:sz w:val="15"/>
          <w:szCs w:val="15"/>
        </w:rPr>
        <w:t>’</w:t>
      </w:r>
      <w:r w:rsidRPr="001E3DBF">
        <w:rPr>
          <w:rFonts w:ascii="Raleway" w:hAnsi="Raleway"/>
          <w:sz w:val="15"/>
          <w:szCs w:val="15"/>
        </w:rPr>
        <w:t>adoption internationale », établi par le BP, Doc.</w:t>
      </w:r>
      <w:r w:rsidRPr="001E3DBF">
        <w:rPr>
          <w:rFonts w:ascii="Raleway" w:hAnsi="Raleway"/>
          <w:color w:val="010101"/>
          <w:sz w:val="15"/>
          <w:szCs w:val="15"/>
        </w:rPr>
        <w:t xml:space="preserve"> prél. </w:t>
      </w:r>
      <w:r w:rsidRPr="001E3DBF">
        <w:rPr>
          <w:rFonts w:ascii="Raleway" w:hAnsi="Raleway"/>
          <w:sz w:val="15"/>
          <w:szCs w:val="15"/>
        </w:rPr>
        <w:t>No 1 de mars 2005</w:t>
      </w:r>
      <w:r w:rsidRPr="001E3DBF">
        <w:rPr>
          <w:rFonts w:ascii="Raleway" w:hAnsi="Raleway"/>
          <w:color w:val="010101"/>
          <w:sz w:val="15"/>
          <w:szCs w:val="15"/>
        </w:rPr>
        <w:t xml:space="preserve"> à l</w:t>
      </w:r>
      <w:r>
        <w:rPr>
          <w:rFonts w:ascii="Raleway" w:hAnsi="Raleway"/>
          <w:color w:val="010101"/>
          <w:sz w:val="15"/>
          <w:szCs w:val="15"/>
        </w:rPr>
        <w:t>’</w:t>
      </w:r>
      <w:r w:rsidRPr="001E3DBF">
        <w:rPr>
          <w:rFonts w:ascii="Raleway" w:hAnsi="Raleway"/>
          <w:color w:val="010101"/>
          <w:sz w:val="15"/>
          <w:szCs w:val="15"/>
        </w:rPr>
        <w:t>intention de la CS de septembre 2005</w:t>
      </w:r>
      <w:r>
        <w:rPr>
          <w:rFonts w:ascii="Raleway" w:hAnsi="Raleway"/>
          <w:sz w:val="15"/>
          <w:szCs w:val="15"/>
        </w:rPr>
        <w:t xml:space="preserve"> et question No </w:t>
      </w:r>
      <w:r w:rsidRPr="001E3DBF">
        <w:rPr>
          <w:rFonts w:ascii="Raleway" w:hAnsi="Raleway"/>
          <w:sz w:val="15"/>
          <w:szCs w:val="15"/>
        </w:rPr>
        <w:t>55 du « Questionnaire sur les OAA dans le cadre de la Convention Adoption de 1993 », établi par le BP, Doc. prél. No 1 d</w:t>
      </w:r>
      <w:r>
        <w:rPr>
          <w:rFonts w:ascii="Raleway" w:hAnsi="Raleway"/>
          <w:sz w:val="15"/>
          <w:szCs w:val="15"/>
        </w:rPr>
        <w:t>’</w:t>
      </w:r>
      <w:r w:rsidRPr="001E3DBF">
        <w:rPr>
          <w:rFonts w:ascii="Raleway" w:hAnsi="Raleway"/>
          <w:sz w:val="15"/>
          <w:szCs w:val="15"/>
        </w:rPr>
        <w:t>août 2009 à l</w:t>
      </w:r>
      <w:r>
        <w:rPr>
          <w:rFonts w:ascii="Raleway" w:hAnsi="Raleway"/>
          <w:sz w:val="15"/>
          <w:szCs w:val="15"/>
        </w:rPr>
        <w:t>’</w:t>
      </w:r>
      <w:r w:rsidRPr="001E3DBF">
        <w:rPr>
          <w:rFonts w:ascii="Raleway" w:hAnsi="Raleway"/>
          <w:sz w:val="15"/>
          <w:szCs w:val="15"/>
        </w:rPr>
        <w:t>intention de la CS de juin 2010 (ci-après, le « Questionnaire de 2009 »).</w:t>
      </w:r>
      <w:r w:rsidRPr="001E3DBF">
        <w:rPr>
          <w:rFonts w:ascii="Raleway" w:hAnsi="Raleway"/>
          <w:color w:val="010101"/>
          <w:sz w:val="15"/>
          <w:szCs w:val="15"/>
        </w:rPr>
        <w:t xml:space="preserve"> </w:t>
      </w:r>
    </w:p>
  </w:footnote>
  <w:footnote w:id="16">
    <w:p w14:paraId="03C704C4" w14:textId="0B0E72F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C&amp;R de la réunion du Groupe d</w:t>
      </w:r>
      <w:r>
        <w:rPr>
          <w:rFonts w:ascii="Raleway" w:hAnsi="Raleway"/>
          <w:sz w:val="15"/>
          <w:szCs w:val="15"/>
        </w:rPr>
        <w:t>’</w:t>
      </w:r>
      <w:r w:rsidRPr="001E3DBF">
        <w:rPr>
          <w:rFonts w:ascii="Raleway" w:hAnsi="Raleway"/>
          <w:sz w:val="15"/>
          <w:szCs w:val="15"/>
        </w:rPr>
        <w:t>experts sur les aspects financiers de l</w:t>
      </w:r>
      <w:r>
        <w:rPr>
          <w:rFonts w:ascii="Raleway" w:hAnsi="Raleway"/>
          <w:sz w:val="15"/>
          <w:szCs w:val="15"/>
        </w:rPr>
        <w:t>’</w:t>
      </w:r>
      <w:r w:rsidRPr="001E3DBF">
        <w:rPr>
          <w:rFonts w:ascii="Raleway" w:hAnsi="Raleway"/>
          <w:sz w:val="15"/>
          <w:szCs w:val="15"/>
        </w:rPr>
        <w:t>adoption internationale (8 et 9 octobre 2012). Le Groupe était composé d</w:t>
      </w:r>
      <w:r>
        <w:rPr>
          <w:rFonts w:ascii="Raleway" w:hAnsi="Raleway"/>
          <w:sz w:val="15"/>
          <w:szCs w:val="15"/>
        </w:rPr>
        <w:t>’</w:t>
      </w:r>
      <w:r w:rsidRPr="001E3DBF">
        <w:rPr>
          <w:rFonts w:ascii="Raleway" w:hAnsi="Raleway"/>
          <w:sz w:val="15"/>
          <w:szCs w:val="15"/>
        </w:rPr>
        <w:t>experts d</w:t>
      </w:r>
      <w:r>
        <w:rPr>
          <w:rFonts w:ascii="Raleway" w:hAnsi="Raleway"/>
          <w:sz w:val="15"/>
          <w:szCs w:val="15"/>
        </w:rPr>
        <w:t>’</w:t>
      </w:r>
      <w:r w:rsidRPr="001E3DBF">
        <w:rPr>
          <w:rFonts w:ascii="Raleway" w:hAnsi="Raleway"/>
          <w:sz w:val="15"/>
          <w:szCs w:val="15"/>
        </w:rPr>
        <w:t>Autorités centrales d</w:t>
      </w:r>
      <w:r>
        <w:rPr>
          <w:rFonts w:ascii="Raleway" w:hAnsi="Raleway"/>
          <w:sz w:val="15"/>
          <w:szCs w:val="15"/>
        </w:rPr>
        <w:t>’</w:t>
      </w:r>
      <w:r w:rsidRPr="001E3DBF">
        <w:rPr>
          <w:rFonts w:ascii="Raleway" w:hAnsi="Raleway"/>
          <w:sz w:val="15"/>
          <w:szCs w:val="15"/>
        </w:rPr>
        <w:t>États d</w:t>
      </w:r>
      <w:r>
        <w:rPr>
          <w:rFonts w:ascii="Raleway" w:hAnsi="Raleway"/>
          <w:sz w:val="15"/>
          <w:szCs w:val="15"/>
        </w:rPr>
        <w:t>’</w:t>
      </w:r>
      <w:r w:rsidRPr="001E3DBF">
        <w:rPr>
          <w:rFonts w:ascii="Raleway" w:hAnsi="Raleway"/>
          <w:sz w:val="15"/>
          <w:szCs w:val="15"/>
        </w:rPr>
        <w:t>origine et d</w:t>
      </w:r>
      <w:r>
        <w:rPr>
          <w:rFonts w:ascii="Raleway" w:hAnsi="Raleway"/>
          <w:sz w:val="15"/>
          <w:szCs w:val="15"/>
        </w:rPr>
        <w:t>’</w:t>
      </w:r>
      <w:r w:rsidRPr="001E3DBF">
        <w:rPr>
          <w:rFonts w:ascii="Raleway" w:hAnsi="Raleway"/>
          <w:sz w:val="15"/>
          <w:szCs w:val="15"/>
        </w:rPr>
        <w:t>États d</w:t>
      </w:r>
      <w:r>
        <w:rPr>
          <w:rFonts w:ascii="Raleway" w:hAnsi="Raleway"/>
          <w:sz w:val="15"/>
          <w:szCs w:val="15"/>
        </w:rPr>
        <w:t>’</w:t>
      </w:r>
      <w:r w:rsidRPr="001E3DBF">
        <w:rPr>
          <w:rFonts w:ascii="Raleway" w:hAnsi="Raleway"/>
          <w:sz w:val="15"/>
          <w:szCs w:val="15"/>
        </w:rPr>
        <w:t>accueil de diverses zones géographiques et de systèmes juridiques différents : Afrique du Sud, Allemagne, Australie, Brésil, Canada, Chine, États-Unis d</w:t>
      </w:r>
      <w:r>
        <w:rPr>
          <w:rFonts w:ascii="Raleway" w:hAnsi="Raleway"/>
          <w:sz w:val="15"/>
          <w:szCs w:val="15"/>
        </w:rPr>
        <w:t>’</w:t>
      </w:r>
      <w:r w:rsidRPr="001E3DBF">
        <w:rPr>
          <w:rFonts w:ascii="Raleway" w:hAnsi="Raleway"/>
          <w:sz w:val="15"/>
          <w:szCs w:val="15"/>
        </w:rPr>
        <w:t>Amérique, France, Italie, Kenya, Lituanie, Pays-Bas, Philippines, République dominicaine, Suède et Suisse. Le Comité africain d</w:t>
      </w:r>
      <w:r>
        <w:rPr>
          <w:rFonts w:ascii="Raleway" w:hAnsi="Raleway"/>
          <w:sz w:val="15"/>
          <w:szCs w:val="15"/>
        </w:rPr>
        <w:t>’</w:t>
      </w:r>
      <w:r w:rsidRPr="001E3DBF">
        <w:rPr>
          <w:rFonts w:ascii="Raleway" w:hAnsi="Raleway"/>
          <w:sz w:val="15"/>
          <w:szCs w:val="15"/>
        </w:rPr>
        <w:t>experts sur les droits et le bien-être de l</w:t>
      </w:r>
      <w:r>
        <w:rPr>
          <w:rFonts w:ascii="Raleway" w:hAnsi="Raleway"/>
          <w:sz w:val="15"/>
          <w:szCs w:val="15"/>
        </w:rPr>
        <w:t>’</w:t>
      </w:r>
      <w:r w:rsidRPr="001E3DBF">
        <w:rPr>
          <w:rFonts w:ascii="Raleway" w:hAnsi="Raleway"/>
          <w:sz w:val="15"/>
          <w:szCs w:val="15"/>
        </w:rPr>
        <w:t>enfant, l</w:t>
      </w:r>
      <w:r>
        <w:rPr>
          <w:rFonts w:ascii="Raleway" w:hAnsi="Raleway"/>
          <w:sz w:val="15"/>
          <w:szCs w:val="15"/>
        </w:rPr>
        <w:t>’</w:t>
      </w:r>
      <w:r w:rsidRPr="001E3DBF">
        <w:rPr>
          <w:rFonts w:ascii="Raleway" w:hAnsi="Raleway"/>
          <w:sz w:val="15"/>
          <w:szCs w:val="15"/>
        </w:rPr>
        <w:t xml:space="preserve">Unicef, le Service social international (SSI), EurAdopt et plusieurs experts indépendants ont également été invités à faire partie du Groupe. </w:t>
      </w:r>
    </w:p>
  </w:footnote>
  <w:footnote w:id="17">
    <w:p w14:paraId="2E46316E" w14:textId="48700AA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Autorité centrale australienne / HCCH, </w:t>
      </w:r>
      <w:hyperlink r:id="rId13" w:history="1">
        <w:r w:rsidRPr="001E3DBF">
          <w:rPr>
            <w:rStyle w:val="Hyperlink"/>
            <w:rFonts w:ascii="Raleway" w:hAnsi="Raleway"/>
            <w:i/>
            <w:color w:val="024987"/>
            <w:sz w:val="15"/>
            <w:szCs w:val="15"/>
          </w:rPr>
          <w:t>Document de réflexion</w:t>
        </w:r>
      </w:hyperlink>
      <w:r w:rsidRPr="001E3DBF">
        <w:rPr>
          <w:rFonts w:ascii="Raleway" w:hAnsi="Raleway"/>
          <w:sz w:val="15"/>
          <w:szCs w:val="15"/>
        </w:rPr>
        <w:t xml:space="preserve"> : </w:t>
      </w:r>
      <w:r w:rsidRPr="001E3DBF">
        <w:rPr>
          <w:rFonts w:ascii="Raleway" w:hAnsi="Raleway"/>
          <w:i/>
          <w:iCs/>
          <w:sz w:val="15"/>
          <w:szCs w:val="15"/>
        </w:rPr>
        <w:t>Coopération entre les Autorités centrales afin de développer une approche commune en vue de prévenir et de remédier aux pratiques illicites en matière d</w:t>
      </w:r>
      <w:r>
        <w:rPr>
          <w:rFonts w:ascii="Raleway" w:hAnsi="Raleway"/>
          <w:i/>
          <w:iCs/>
          <w:sz w:val="15"/>
          <w:szCs w:val="15"/>
        </w:rPr>
        <w:t>’</w:t>
      </w:r>
      <w:r w:rsidRPr="001E3DBF">
        <w:rPr>
          <w:rFonts w:ascii="Raleway" w:hAnsi="Raleway"/>
          <w:i/>
          <w:iCs/>
          <w:sz w:val="15"/>
          <w:szCs w:val="15"/>
        </w:rPr>
        <w:t>adoption</w:t>
      </w:r>
      <w:r w:rsidRPr="001E3DBF">
        <w:rPr>
          <w:rFonts w:ascii="Raleway" w:hAnsi="Raleway"/>
          <w:sz w:val="15"/>
          <w:szCs w:val="15"/>
        </w:rPr>
        <w:t>, 2012.</w:t>
      </w:r>
    </w:p>
  </w:footnote>
  <w:footnote w:id="18">
    <w:p w14:paraId="51AFAB9A" w14:textId="46129F34"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 xml:space="preserve">CAGP de 2014, C&amp;R No 18(a). </w:t>
      </w:r>
    </w:p>
  </w:footnote>
  <w:footnote w:id="19">
    <w:p w14:paraId="677413D8" w14:textId="537260FC"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ab/>
        <w:t>CS de 2015, C&amp;R Nos 41 et 43.</w:t>
      </w:r>
    </w:p>
  </w:footnote>
  <w:footnote w:id="20">
    <w:p w14:paraId="0A5663E7" w14:textId="21FF629C"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ab/>
        <w:t>CAGP de 2016, C&amp;R No 31.</w:t>
      </w:r>
    </w:p>
  </w:footnote>
  <w:footnote w:id="21">
    <w:p w14:paraId="0BF7777A" w14:textId="17705D2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HCCH,</w:t>
      </w:r>
      <w:r w:rsidRPr="001E3DBF">
        <w:rPr>
          <w:rFonts w:ascii="Raleway" w:hAnsi="Raleway"/>
          <w:i/>
          <w:color w:val="024987"/>
          <w:sz w:val="15"/>
          <w:szCs w:val="15"/>
        </w:rPr>
        <w:t xml:space="preserve"> </w:t>
      </w:r>
      <w:hyperlink r:id="rId14" w:history="1">
        <w:r w:rsidRPr="001E3DBF">
          <w:rPr>
            <w:rStyle w:val="Hyperlink"/>
            <w:rFonts w:ascii="Raleway" w:hAnsi="Raleway"/>
            <w:i/>
            <w:color w:val="024987"/>
            <w:sz w:val="15"/>
            <w:szCs w:val="15"/>
          </w:rPr>
          <w:t>Boîte à outils visant à prévenir les pratiques illicites en matière d</w:t>
        </w:r>
        <w:r>
          <w:rPr>
            <w:rStyle w:val="Hyperlink"/>
            <w:rFonts w:ascii="Raleway" w:hAnsi="Raleway"/>
            <w:i/>
            <w:color w:val="024987"/>
            <w:sz w:val="15"/>
            <w:szCs w:val="15"/>
          </w:rPr>
          <w:t>’</w:t>
        </w:r>
        <w:r w:rsidRPr="001E3DBF">
          <w:rPr>
            <w:rStyle w:val="Hyperlink"/>
            <w:rFonts w:ascii="Raleway" w:hAnsi="Raleway"/>
            <w:i/>
            <w:color w:val="024987"/>
            <w:sz w:val="15"/>
            <w:szCs w:val="15"/>
          </w:rPr>
          <w:t>adoption internationale et à y remédier</w:t>
        </w:r>
      </w:hyperlink>
      <w:r w:rsidRPr="001E3DBF">
        <w:rPr>
          <w:rFonts w:ascii="Raleway" w:hAnsi="Raleway"/>
          <w:i/>
          <w:sz w:val="15"/>
          <w:szCs w:val="15"/>
        </w:rPr>
        <w:t>,</w:t>
      </w:r>
      <w:r>
        <w:rPr>
          <w:rFonts w:ascii="Raleway" w:hAnsi="Raleway"/>
          <w:sz w:val="15"/>
          <w:szCs w:val="15"/>
        </w:rPr>
        <w:t xml:space="preserve"> 2023.</w:t>
      </w:r>
    </w:p>
  </w:footnote>
  <w:footnote w:id="22">
    <w:p w14:paraId="5DDAA3B2" w14:textId="6F133DA8"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CAGP de 2023, C&amp;D No 23 ; CS de 2022, C&amp;R No 4.</w:t>
      </w:r>
    </w:p>
  </w:footnote>
  <w:footnote w:id="23">
    <w:p w14:paraId="12CC574A" w14:textId="73674FE3" w:rsidR="00974DA5" w:rsidRPr="00C32232"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CAGP de 2023, C&amp;D No 25.</w:t>
      </w:r>
    </w:p>
  </w:footnote>
  <w:footnote w:id="24">
    <w:p w14:paraId="38A98F49" w14:textId="3100598B" w:rsidR="00820206"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De nombreux experts ont pris part aux travaux du Groupe de travail sur les aspects financiers de l</w:t>
      </w:r>
      <w:r>
        <w:rPr>
          <w:rFonts w:ascii="Raleway" w:hAnsi="Raleway"/>
          <w:sz w:val="15"/>
          <w:szCs w:val="15"/>
        </w:rPr>
        <w:t>’</w:t>
      </w:r>
      <w:r w:rsidRPr="001E3DBF">
        <w:rPr>
          <w:rFonts w:ascii="Raleway" w:hAnsi="Raleway"/>
          <w:sz w:val="15"/>
          <w:szCs w:val="15"/>
        </w:rPr>
        <w:t>adoption internationale qui a actualisé la présente Note entre 2023 et 2026. Les experts suivants ont participé à deux réunions du Groupe de travail au moins et / ou ont joué un rôle actif dans les discussions et la rédaction de la Note</w:t>
      </w:r>
      <w:r w:rsidR="00820206">
        <w:rPr>
          <w:rFonts w:ascii="Raleway" w:hAnsi="Raleway"/>
          <w:sz w:val="15"/>
          <w:szCs w:val="15"/>
        </w:rPr>
        <w:t> :</w:t>
      </w:r>
      <w:r w:rsidRPr="001E3DBF">
        <w:rPr>
          <w:rFonts w:ascii="Raleway" w:hAnsi="Raleway"/>
          <w:sz w:val="15"/>
          <w:szCs w:val="15"/>
        </w:rPr>
        <w:t xml:space="preserve"> </w:t>
      </w:r>
    </w:p>
    <w:p w14:paraId="4906CFAF" w14:textId="717F9AD9" w:rsidR="00974DA5" w:rsidRPr="001E3DBF" w:rsidRDefault="00974DA5" w:rsidP="00820206">
      <w:pPr>
        <w:pStyle w:val="FootnoteText"/>
        <w:ind w:left="284" w:firstLine="0"/>
        <w:rPr>
          <w:rFonts w:ascii="Raleway" w:hAnsi="Raleway"/>
          <w:sz w:val="15"/>
          <w:szCs w:val="15"/>
        </w:rPr>
      </w:pPr>
      <w:r w:rsidRPr="00B42F36">
        <w:rPr>
          <w:rFonts w:ascii="Raleway" w:hAnsi="Raleway"/>
          <w:sz w:val="15"/>
          <w:szCs w:val="15"/>
          <w:u w:val="single"/>
        </w:rPr>
        <w:t>Parties contractantes membres de la HCCH</w:t>
      </w:r>
      <w:r w:rsidRPr="001E3DBF">
        <w:rPr>
          <w:rFonts w:ascii="Raleway" w:hAnsi="Raleway"/>
          <w:sz w:val="15"/>
          <w:szCs w:val="15"/>
        </w:rPr>
        <w:t> : Australie (Mme Sarah</w:t>
      </w:r>
      <w:r w:rsidR="00807E3B">
        <w:rPr>
          <w:rFonts w:ascii="Raleway" w:hAnsi="Raleway"/>
          <w:sz w:val="15"/>
          <w:szCs w:val="15"/>
        </w:rPr>
        <w:t xml:space="preserve"> </w:t>
      </w:r>
      <w:r w:rsidRPr="001E3DBF">
        <w:rPr>
          <w:rFonts w:ascii="Raleway" w:hAnsi="Raleway"/>
          <w:sz w:val="15"/>
          <w:szCs w:val="15"/>
        </w:rPr>
        <w:t>Healy, Mme Hayley</w:t>
      </w:r>
      <w:r w:rsidR="00807E3B">
        <w:rPr>
          <w:rFonts w:ascii="Raleway" w:hAnsi="Raleway"/>
          <w:sz w:val="15"/>
          <w:szCs w:val="15"/>
        </w:rPr>
        <w:t xml:space="preserve"> </w:t>
      </w:r>
      <w:r w:rsidRPr="001E3DBF">
        <w:rPr>
          <w:rFonts w:ascii="Raleway" w:hAnsi="Raleway"/>
          <w:sz w:val="15"/>
          <w:szCs w:val="15"/>
        </w:rPr>
        <w:t>Svenson, M. Brendan</w:t>
      </w:r>
      <w:r w:rsidR="00807E3B">
        <w:rPr>
          <w:rFonts w:ascii="Raleway" w:hAnsi="Raleway"/>
          <w:sz w:val="15"/>
          <w:szCs w:val="15"/>
        </w:rPr>
        <w:t xml:space="preserve"> </w:t>
      </w:r>
      <w:r w:rsidRPr="001E3DBF">
        <w:rPr>
          <w:rFonts w:ascii="Raleway" w:hAnsi="Raleway"/>
          <w:sz w:val="15"/>
          <w:szCs w:val="15"/>
        </w:rPr>
        <w:t>Tunks) ; Belgique (Mme Ariane</w:t>
      </w:r>
      <w:r w:rsidR="00807E3B">
        <w:rPr>
          <w:rFonts w:ascii="Raleway" w:hAnsi="Raleway"/>
          <w:sz w:val="15"/>
          <w:szCs w:val="15"/>
        </w:rPr>
        <w:t xml:space="preserve"> </w:t>
      </w:r>
      <w:r w:rsidRPr="001E3DBF">
        <w:rPr>
          <w:rFonts w:ascii="Raleway" w:hAnsi="Raleway"/>
          <w:sz w:val="15"/>
          <w:szCs w:val="15"/>
        </w:rPr>
        <w:t>van den Berghe, Mme Marian</w:t>
      </w:r>
      <w:r w:rsidR="00807E3B">
        <w:rPr>
          <w:rFonts w:ascii="Raleway" w:hAnsi="Raleway"/>
          <w:sz w:val="15"/>
          <w:szCs w:val="15"/>
        </w:rPr>
        <w:t xml:space="preserve"> </w:t>
      </w:r>
      <w:r w:rsidRPr="001E3DBF">
        <w:rPr>
          <w:rFonts w:ascii="Raleway" w:hAnsi="Raleway"/>
          <w:sz w:val="15"/>
          <w:szCs w:val="15"/>
        </w:rPr>
        <w:t>Haspeslagh, M. Steven</w:t>
      </w:r>
      <w:r w:rsidR="00807E3B">
        <w:rPr>
          <w:rFonts w:ascii="Raleway" w:hAnsi="Raleway"/>
          <w:sz w:val="15"/>
          <w:szCs w:val="15"/>
        </w:rPr>
        <w:t xml:space="preserve"> </w:t>
      </w:r>
      <w:r w:rsidRPr="001E3DBF">
        <w:rPr>
          <w:rFonts w:ascii="Raleway" w:hAnsi="Raleway"/>
          <w:sz w:val="15"/>
          <w:szCs w:val="15"/>
        </w:rPr>
        <w:t>Valckx) ; Brésil (Mme Michelle</w:t>
      </w:r>
      <w:r w:rsidR="00A95246">
        <w:rPr>
          <w:rFonts w:ascii="Raleway" w:hAnsi="Raleway"/>
          <w:sz w:val="15"/>
          <w:szCs w:val="15"/>
        </w:rPr>
        <w:t xml:space="preserve"> </w:t>
      </w:r>
      <w:r w:rsidRPr="001E3DBF">
        <w:rPr>
          <w:rFonts w:ascii="Raleway" w:hAnsi="Raleway"/>
          <w:sz w:val="15"/>
          <w:szCs w:val="15"/>
        </w:rPr>
        <w:t>Aparecida Silva) ; Canada (Mme Josée-Anne</w:t>
      </w:r>
      <w:r w:rsidR="00A95246">
        <w:rPr>
          <w:rFonts w:ascii="Raleway" w:hAnsi="Raleway"/>
          <w:sz w:val="15"/>
          <w:szCs w:val="15"/>
        </w:rPr>
        <w:t xml:space="preserve"> </w:t>
      </w:r>
      <w:r w:rsidRPr="001E3DBF">
        <w:rPr>
          <w:rFonts w:ascii="Raleway" w:hAnsi="Raleway"/>
          <w:sz w:val="15"/>
          <w:szCs w:val="15"/>
        </w:rPr>
        <w:t>Goupil, Mme Heather</w:t>
      </w:r>
      <w:r w:rsidR="00A95246">
        <w:rPr>
          <w:rFonts w:ascii="Raleway" w:hAnsi="Raleway"/>
          <w:sz w:val="15"/>
          <w:szCs w:val="15"/>
        </w:rPr>
        <w:t xml:space="preserve"> </w:t>
      </w:r>
      <w:r w:rsidRPr="001E3DBF">
        <w:rPr>
          <w:rFonts w:ascii="Raleway" w:hAnsi="Raleway"/>
          <w:sz w:val="15"/>
          <w:szCs w:val="15"/>
        </w:rPr>
        <w:t>Hilo, Mme Amy</w:t>
      </w:r>
      <w:r w:rsidR="00A95246">
        <w:rPr>
          <w:rFonts w:ascii="Raleway" w:hAnsi="Raleway"/>
          <w:sz w:val="15"/>
          <w:szCs w:val="15"/>
        </w:rPr>
        <w:t xml:space="preserve"> </w:t>
      </w:r>
      <w:r w:rsidRPr="001E3DBF">
        <w:rPr>
          <w:rFonts w:ascii="Raleway" w:hAnsi="Raleway"/>
          <w:sz w:val="15"/>
          <w:szCs w:val="15"/>
        </w:rPr>
        <w:t>Hislop, Mme Marie-Luc</w:t>
      </w:r>
      <w:r w:rsidR="00A95246">
        <w:rPr>
          <w:rFonts w:ascii="Raleway" w:hAnsi="Raleway"/>
          <w:sz w:val="15"/>
          <w:szCs w:val="15"/>
        </w:rPr>
        <w:t xml:space="preserve"> </w:t>
      </w:r>
      <w:r w:rsidRPr="001E3DBF">
        <w:rPr>
          <w:rFonts w:ascii="Raleway" w:hAnsi="Raleway"/>
          <w:sz w:val="15"/>
          <w:szCs w:val="15"/>
        </w:rPr>
        <w:t>Lemay, Mme Danielle</w:t>
      </w:r>
      <w:r w:rsidR="00A95246">
        <w:rPr>
          <w:rFonts w:ascii="Raleway" w:hAnsi="Raleway"/>
          <w:sz w:val="15"/>
          <w:szCs w:val="15"/>
        </w:rPr>
        <w:t xml:space="preserve"> </w:t>
      </w:r>
      <w:r w:rsidRPr="001E3DBF">
        <w:rPr>
          <w:rFonts w:ascii="Raleway" w:hAnsi="Raleway"/>
          <w:sz w:val="15"/>
          <w:szCs w:val="15"/>
        </w:rPr>
        <w:t>Unsworth) ; Chypre (Mme Chrysovalando</w:t>
      </w:r>
      <w:r w:rsidR="00A95246">
        <w:rPr>
          <w:rFonts w:ascii="Raleway" w:hAnsi="Raleway"/>
          <w:sz w:val="15"/>
          <w:szCs w:val="15"/>
        </w:rPr>
        <w:t xml:space="preserve"> </w:t>
      </w:r>
      <w:r w:rsidRPr="001E3DBF">
        <w:rPr>
          <w:rFonts w:ascii="Raleway" w:hAnsi="Raleway"/>
          <w:sz w:val="15"/>
          <w:szCs w:val="15"/>
        </w:rPr>
        <w:t>Psoma) ; Finlande (Mme Irene</w:t>
      </w:r>
      <w:r w:rsidR="00A95246">
        <w:rPr>
          <w:rFonts w:ascii="Raleway" w:hAnsi="Raleway"/>
          <w:sz w:val="15"/>
          <w:szCs w:val="15"/>
        </w:rPr>
        <w:t xml:space="preserve"> </w:t>
      </w:r>
      <w:r w:rsidRPr="001E3DBF">
        <w:rPr>
          <w:rFonts w:ascii="Raleway" w:hAnsi="Raleway"/>
          <w:sz w:val="15"/>
          <w:szCs w:val="15"/>
        </w:rPr>
        <w:t>Pärssinen-Hentula) ; Espagne (M. Antonio</w:t>
      </w:r>
      <w:r w:rsidR="00A95246">
        <w:rPr>
          <w:rFonts w:ascii="Raleway" w:hAnsi="Raleway"/>
          <w:sz w:val="15"/>
          <w:szCs w:val="15"/>
        </w:rPr>
        <w:t xml:space="preserve"> </w:t>
      </w:r>
      <w:r w:rsidRPr="001E3DBF">
        <w:rPr>
          <w:rFonts w:ascii="Raleway" w:hAnsi="Raleway"/>
          <w:sz w:val="15"/>
          <w:szCs w:val="15"/>
        </w:rPr>
        <w:t>Ferrandis Torres) ; États-Unis (Mme Marisa</w:t>
      </w:r>
      <w:r w:rsidR="00A95246">
        <w:rPr>
          <w:rFonts w:ascii="Raleway" w:hAnsi="Raleway"/>
          <w:sz w:val="15"/>
          <w:szCs w:val="15"/>
        </w:rPr>
        <w:t xml:space="preserve"> </w:t>
      </w:r>
      <w:r w:rsidRPr="001E3DBF">
        <w:rPr>
          <w:rFonts w:ascii="Raleway" w:hAnsi="Raleway"/>
          <w:sz w:val="15"/>
          <w:szCs w:val="15"/>
        </w:rPr>
        <w:t>Light, Mme Carine</w:t>
      </w:r>
      <w:r w:rsidR="00A95246">
        <w:rPr>
          <w:rFonts w:ascii="Raleway" w:hAnsi="Raleway"/>
          <w:sz w:val="15"/>
          <w:szCs w:val="15"/>
        </w:rPr>
        <w:t xml:space="preserve"> </w:t>
      </w:r>
      <w:r w:rsidRPr="001E3DBF">
        <w:rPr>
          <w:rFonts w:ascii="Raleway" w:hAnsi="Raleway"/>
          <w:sz w:val="15"/>
          <w:szCs w:val="15"/>
        </w:rPr>
        <w:t>Rosalia) ; France (Mme Floriane</w:t>
      </w:r>
      <w:r w:rsidR="00A95246">
        <w:rPr>
          <w:rFonts w:ascii="Raleway" w:hAnsi="Raleway"/>
          <w:sz w:val="15"/>
          <w:szCs w:val="15"/>
        </w:rPr>
        <w:t xml:space="preserve"> </w:t>
      </w:r>
      <w:r w:rsidRPr="001E3DBF">
        <w:rPr>
          <w:rFonts w:ascii="Raleway" w:hAnsi="Raleway"/>
          <w:sz w:val="15"/>
          <w:szCs w:val="15"/>
        </w:rPr>
        <w:t>Choplain, Mme Marion</w:t>
      </w:r>
      <w:r w:rsidR="00A95246">
        <w:rPr>
          <w:rFonts w:ascii="Raleway" w:hAnsi="Raleway"/>
          <w:sz w:val="15"/>
          <w:szCs w:val="15"/>
        </w:rPr>
        <w:t xml:space="preserve"> </w:t>
      </w:r>
      <w:r w:rsidRPr="001E3DBF">
        <w:rPr>
          <w:rFonts w:ascii="Raleway" w:hAnsi="Raleway"/>
          <w:sz w:val="15"/>
          <w:szCs w:val="15"/>
        </w:rPr>
        <w:t>Dehais, M. Yves</w:t>
      </w:r>
      <w:r w:rsidR="00A95246">
        <w:rPr>
          <w:rFonts w:ascii="Raleway" w:hAnsi="Raleway"/>
          <w:sz w:val="15"/>
          <w:szCs w:val="15"/>
        </w:rPr>
        <w:t xml:space="preserve"> </w:t>
      </w:r>
      <w:r w:rsidRPr="001E3DBF">
        <w:rPr>
          <w:rFonts w:ascii="Raleway" w:hAnsi="Raleway"/>
          <w:sz w:val="15"/>
          <w:szCs w:val="15"/>
        </w:rPr>
        <w:t>Teyssier</w:t>
      </w:r>
      <w:r w:rsidR="00A95246">
        <w:rPr>
          <w:rFonts w:ascii="Raleway" w:hAnsi="Raleway"/>
          <w:sz w:val="15"/>
          <w:szCs w:val="15"/>
        </w:rPr>
        <w:t xml:space="preserve"> </w:t>
      </w:r>
      <w:r w:rsidRPr="001E3DBF">
        <w:rPr>
          <w:rFonts w:ascii="Raleway" w:hAnsi="Raleway"/>
          <w:sz w:val="15"/>
          <w:szCs w:val="15"/>
        </w:rPr>
        <w:t>d</w:t>
      </w:r>
      <w:r>
        <w:rPr>
          <w:rFonts w:ascii="Raleway" w:hAnsi="Raleway"/>
          <w:sz w:val="15"/>
          <w:szCs w:val="15"/>
        </w:rPr>
        <w:t>’</w:t>
      </w:r>
      <w:r w:rsidRPr="001E3DBF">
        <w:rPr>
          <w:rFonts w:ascii="Raleway" w:hAnsi="Raleway"/>
          <w:sz w:val="15"/>
          <w:szCs w:val="15"/>
        </w:rPr>
        <w:t>Orfeuil) ; Italie (Mme Daniela</w:t>
      </w:r>
      <w:r w:rsidR="00A95246">
        <w:rPr>
          <w:rFonts w:ascii="Raleway" w:hAnsi="Raleway"/>
          <w:sz w:val="15"/>
          <w:szCs w:val="15"/>
        </w:rPr>
        <w:t xml:space="preserve"> </w:t>
      </w:r>
      <w:r w:rsidRPr="001E3DBF">
        <w:rPr>
          <w:rFonts w:ascii="Raleway" w:hAnsi="Raleway"/>
          <w:sz w:val="15"/>
          <w:szCs w:val="15"/>
        </w:rPr>
        <w:t>Bucci, Mme Filomena</w:t>
      </w:r>
      <w:r w:rsidR="00A95246">
        <w:rPr>
          <w:rFonts w:ascii="Raleway" w:hAnsi="Raleway"/>
          <w:sz w:val="15"/>
          <w:szCs w:val="15"/>
        </w:rPr>
        <w:t xml:space="preserve"> </w:t>
      </w:r>
      <w:r w:rsidRPr="001E3DBF">
        <w:rPr>
          <w:rFonts w:ascii="Raleway" w:hAnsi="Raleway"/>
          <w:sz w:val="15"/>
          <w:szCs w:val="15"/>
        </w:rPr>
        <w:t>Menna) ; Maurice (Mme Mouksinah</w:t>
      </w:r>
      <w:r w:rsidR="00A95246">
        <w:rPr>
          <w:rFonts w:ascii="Raleway" w:hAnsi="Raleway"/>
          <w:sz w:val="15"/>
          <w:szCs w:val="15"/>
        </w:rPr>
        <w:t xml:space="preserve"> </w:t>
      </w:r>
      <w:r w:rsidRPr="001E3DBF">
        <w:rPr>
          <w:rFonts w:ascii="Raleway" w:hAnsi="Raleway"/>
          <w:sz w:val="15"/>
          <w:szCs w:val="15"/>
        </w:rPr>
        <w:t>Nujeebhun, M. Afzal</w:t>
      </w:r>
      <w:r w:rsidR="00A95246">
        <w:rPr>
          <w:rFonts w:ascii="Raleway" w:hAnsi="Raleway"/>
          <w:sz w:val="15"/>
          <w:szCs w:val="15"/>
        </w:rPr>
        <w:t xml:space="preserve"> </w:t>
      </w:r>
      <w:r w:rsidRPr="001E3DBF">
        <w:rPr>
          <w:rFonts w:ascii="Raleway" w:hAnsi="Raleway"/>
          <w:sz w:val="15"/>
          <w:szCs w:val="15"/>
        </w:rPr>
        <w:t>Pirbacosse) ; Mexique (Mme Maxwel</w:t>
      </w:r>
      <w:r w:rsidR="00A95246">
        <w:rPr>
          <w:rFonts w:ascii="Raleway" w:hAnsi="Raleway"/>
          <w:sz w:val="15"/>
          <w:szCs w:val="15"/>
        </w:rPr>
        <w:t xml:space="preserve"> </w:t>
      </w:r>
      <w:r w:rsidRPr="001E3DBF">
        <w:rPr>
          <w:rFonts w:ascii="Raleway" w:hAnsi="Raleway"/>
          <w:sz w:val="15"/>
          <w:szCs w:val="15"/>
        </w:rPr>
        <w:t>Flores Rico, M. Uriel</w:t>
      </w:r>
      <w:r w:rsidR="00A95246">
        <w:rPr>
          <w:rFonts w:ascii="Raleway" w:hAnsi="Raleway"/>
          <w:sz w:val="15"/>
          <w:szCs w:val="15"/>
        </w:rPr>
        <w:t xml:space="preserve"> </w:t>
      </w:r>
      <w:r w:rsidRPr="001E3DBF">
        <w:rPr>
          <w:rFonts w:ascii="Raleway" w:hAnsi="Raleway"/>
          <w:sz w:val="15"/>
          <w:szCs w:val="15"/>
        </w:rPr>
        <w:t>González</w:t>
      </w:r>
      <w:r w:rsidR="00A95246">
        <w:rPr>
          <w:rFonts w:ascii="Raleway" w:hAnsi="Raleway"/>
          <w:sz w:val="15"/>
          <w:szCs w:val="15"/>
        </w:rPr>
        <w:t xml:space="preserve"> </w:t>
      </w:r>
      <w:r w:rsidRPr="001E3DBF">
        <w:rPr>
          <w:rFonts w:ascii="Raleway" w:hAnsi="Raleway"/>
          <w:sz w:val="15"/>
          <w:szCs w:val="15"/>
        </w:rPr>
        <w:t>Ramos, Mme Dulce</w:t>
      </w:r>
      <w:r w:rsidR="00A95246">
        <w:rPr>
          <w:rFonts w:ascii="Raleway" w:hAnsi="Raleway"/>
          <w:sz w:val="15"/>
          <w:szCs w:val="15"/>
        </w:rPr>
        <w:t xml:space="preserve"> </w:t>
      </w:r>
      <w:r w:rsidRPr="001E3DBF">
        <w:rPr>
          <w:rFonts w:ascii="Raleway" w:hAnsi="Raleway"/>
          <w:sz w:val="15"/>
          <w:szCs w:val="15"/>
        </w:rPr>
        <w:t>Mejía</w:t>
      </w:r>
      <w:r w:rsidR="00A95246">
        <w:rPr>
          <w:rFonts w:ascii="Raleway" w:hAnsi="Raleway"/>
          <w:sz w:val="15"/>
          <w:szCs w:val="15"/>
        </w:rPr>
        <w:t xml:space="preserve"> </w:t>
      </w:r>
      <w:r w:rsidRPr="001E3DBF">
        <w:rPr>
          <w:rFonts w:ascii="Raleway" w:hAnsi="Raleway"/>
          <w:sz w:val="15"/>
          <w:szCs w:val="15"/>
        </w:rPr>
        <w:t>Cortés) ; Philippines (Mme Janella</w:t>
      </w:r>
      <w:r w:rsidR="00A95246">
        <w:rPr>
          <w:rFonts w:ascii="Raleway" w:hAnsi="Raleway"/>
          <w:sz w:val="15"/>
          <w:szCs w:val="15"/>
        </w:rPr>
        <w:t xml:space="preserve"> </w:t>
      </w:r>
      <w:r w:rsidRPr="001E3DBF">
        <w:rPr>
          <w:rFonts w:ascii="Raleway" w:hAnsi="Raleway"/>
          <w:sz w:val="15"/>
          <w:szCs w:val="15"/>
        </w:rPr>
        <w:t>Ejercito</w:t>
      </w:r>
      <w:r w:rsidR="00A95246">
        <w:rPr>
          <w:rFonts w:ascii="Raleway" w:hAnsi="Raleway"/>
          <w:sz w:val="15"/>
          <w:szCs w:val="15"/>
        </w:rPr>
        <w:t xml:space="preserve"> </w:t>
      </w:r>
      <w:r w:rsidRPr="001E3DBF">
        <w:rPr>
          <w:rFonts w:ascii="Raleway" w:hAnsi="Raleway"/>
          <w:sz w:val="15"/>
          <w:szCs w:val="15"/>
        </w:rPr>
        <w:t>Estrada, Mme Irene</w:t>
      </w:r>
      <w:r w:rsidR="00A95246">
        <w:rPr>
          <w:rFonts w:ascii="Raleway" w:hAnsi="Raleway"/>
          <w:sz w:val="15"/>
          <w:szCs w:val="15"/>
        </w:rPr>
        <w:t xml:space="preserve"> </w:t>
      </w:r>
      <w:r w:rsidRPr="001E3DBF">
        <w:rPr>
          <w:rFonts w:ascii="Raleway" w:hAnsi="Raleway"/>
          <w:sz w:val="15"/>
          <w:szCs w:val="15"/>
        </w:rPr>
        <w:t>Fagayan, Mme Rowena</w:t>
      </w:r>
      <w:r w:rsidR="00A95246">
        <w:rPr>
          <w:rFonts w:ascii="Raleway" w:hAnsi="Raleway"/>
          <w:sz w:val="15"/>
          <w:szCs w:val="15"/>
        </w:rPr>
        <w:t xml:space="preserve"> </w:t>
      </w:r>
      <w:r w:rsidRPr="001E3DBF">
        <w:rPr>
          <w:rFonts w:ascii="Raleway" w:hAnsi="Raleway"/>
          <w:sz w:val="15"/>
          <w:szCs w:val="15"/>
        </w:rPr>
        <w:t>Macalintal, Mme Imelda</w:t>
      </w:r>
      <w:r w:rsidR="00A95246">
        <w:rPr>
          <w:rFonts w:ascii="Raleway" w:hAnsi="Raleway"/>
          <w:sz w:val="15"/>
          <w:szCs w:val="15"/>
        </w:rPr>
        <w:t xml:space="preserve"> </w:t>
      </w:r>
      <w:r w:rsidRPr="001E3DBF">
        <w:rPr>
          <w:rFonts w:ascii="Raleway" w:hAnsi="Raleway"/>
          <w:sz w:val="15"/>
          <w:szCs w:val="15"/>
        </w:rPr>
        <w:t>Ronda) ; Portugal (Mme Eliana</w:t>
      </w:r>
      <w:r w:rsidR="00A95246">
        <w:rPr>
          <w:rFonts w:ascii="Raleway" w:hAnsi="Raleway"/>
          <w:sz w:val="15"/>
          <w:szCs w:val="15"/>
        </w:rPr>
        <w:t xml:space="preserve"> </w:t>
      </w:r>
      <w:r w:rsidRPr="001E3DBF">
        <w:rPr>
          <w:rFonts w:ascii="Raleway" w:hAnsi="Raleway"/>
          <w:sz w:val="15"/>
          <w:szCs w:val="15"/>
        </w:rPr>
        <w:t>Santos, Mme Susana</w:t>
      </w:r>
      <w:r w:rsidR="00A95246">
        <w:rPr>
          <w:rFonts w:ascii="Raleway" w:hAnsi="Raleway"/>
          <w:sz w:val="15"/>
          <w:szCs w:val="15"/>
        </w:rPr>
        <w:t xml:space="preserve"> </w:t>
      </w:r>
      <w:r w:rsidRPr="001E3DBF">
        <w:rPr>
          <w:rFonts w:ascii="Raleway" w:hAnsi="Raleway"/>
          <w:sz w:val="15"/>
          <w:szCs w:val="15"/>
        </w:rPr>
        <w:t>Lúcio, Mme Ana</w:t>
      </w:r>
      <w:r w:rsidR="00A95246">
        <w:rPr>
          <w:rFonts w:ascii="Raleway" w:hAnsi="Raleway"/>
          <w:sz w:val="15"/>
          <w:szCs w:val="15"/>
        </w:rPr>
        <w:t xml:space="preserve"> </w:t>
      </w:r>
      <w:r w:rsidRPr="001E3DBF">
        <w:rPr>
          <w:rFonts w:ascii="Raleway" w:hAnsi="Raleway"/>
          <w:sz w:val="15"/>
          <w:szCs w:val="15"/>
        </w:rPr>
        <w:t>Teresa</w:t>
      </w:r>
      <w:r w:rsidR="00A95246">
        <w:rPr>
          <w:rFonts w:ascii="Raleway" w:hAnsi="Raleway"/>
          <w:sz w:val="15"/>
          <w:szCs w:val="15"/>
        </w:rPr>
        <w:t xml:space="preserve"> </w:t>
      </w:r>
      <w:r w:rsidRPr="001E3DBF">
        <w:rPr>
          <w:rFonts w:ascii="Raleway" w:hAnsi="Raleway"/>
          <w:sz w:val="15"/>
          <w:szCs w:val="15"/>
        </w:rPr>
        <w:t>Sousa); Suisse (Mme Maryse</w:t>
      </w:r>
      <w:r w:rsidR="00A95246">
        <w:rPr>
          <w:rFonts w:ascii="Raleway" w:hAnsi="Raleway"/>
          <w:sz w:val="15"/>
          <w:szCs w:val="15"/>
        </w:rPr>
        <w:t xml:space="preserve"> </w:t>
      </w:r>
      <w:r w:rsidRPr="001E3DBF">
        <w:rPr>
          <w:rFonts w:ascii="Raleway" w:hAnsi="Raleway"/>
          <w:sz w:val="15"/>
          <w:szCs w:val="15"/>
        </w:rPr>
        <w:t>Javaux</w:t>
      </w:r>
      <w:r w:rsidR="00A95246">
        <w:rPr>
          <w:rFonts w:ascii="Raleway" w:hAnsi="Raleway"/>
          <w:sz w:val="15"/>
          <w:szCs w:val="15"/>
        </w:rPr>
        <w:t xml:space="preserve"> </w:t>
      </w:r>
      <w:r w:rsidRPr="001E3DBF">
        <w:rPr>
          <w:rFonts w:ascii="Raleway" w:hAnsi="Raleway"/>
          <w:sz w:val="15"/>
          <w:szCs w:val="15"/>
        </w:rPr>
        <w:t>Vena, Mme Joëlle</w:t>
      </w:r>
      <w:r w:rsidR="00A95246">
        <w:rPr>
          <w:rFonts w:ascii="Raleway" w:hAnsi="Raleway"/>
          <w:sz w:val="15"/>
          <w:szCs w:val="15"/>
        </w:rPr>
        <w:t xml:space="preserve"> </w:t>
      </w:r>
      <w:r w:rsidRPr="001E3DBF">
        <w:rPr>
          <w:rFonts w:ascii="Raleway" w:hAnsi="Raleway"/>
          <w:sz w:val="15"/>
          <w:szCs w:val="15"/>
        </w:rPr>
        <w:t>Schickel-Küng) ; Viet Nam (Mme Minh</w:t>
      </w:r>
      <w:r w:rsidR="00A95246">
        <w:rPr>
          <w:rFonts w:ascii="Raleway" w:hAnsi="Raleway"/>
          <w:sz w:val="15"/>
          <w:szCs w:val="15"/>
        </w:rPr>
        <w:t xml:space="preserve"> </w:t>
      </w:r>
      <w:r w:rsidRPr="001E3DBF">
        <w:rPr>
          <w:rFonts w:ascii="Raleway" w:hAnsi="Raleway"/>
          <w:sz w:val="15"/>
          <w:szCs w:val="15"/>
        </w:rPr>
        <w:t>Phuong</w:t>
      </w:r>
      <w:r w:rsidR="00A95246">
        <w:rPr>
          <w:rFonts w:ascii="Raleway" w:hAnsi="Raleway"/>
          <w:sz w:val="15"/>
          <w:szCs w:val="15"/>
        </w:rPr>
        <w:t xml:space="preserve"> </w:t>
      </w:r>
      <w:r w:rsidRPr="001E3DBF">
        <w:rPr>
          <w:rFonts w:ascii="Raleway" w:hAnsi="Raleway"/>
          <w:sz w:val="15"/>
          <w:szCs w:val="15"/>
        </w:rPr>
        <w:t>N</w:t>
      </w:r>
      <w:r>
        <w:rPr>
          <w:rFonts w:ascii="Raleway" w:hAnsi="Raleway"/>
          <w:sz w:val="15"/>
          <w:szCs w:val="15"/>
        </w:rPr>
        <w:t>guyen, Mme Thi</w:t>
      </w:r>
      <w:r w:rsidR="00A95246">
        <w:rPr>
          <w:rFonts w:ascii="Raleway" w:hAnsi="Raleway"/>
          <w:sz w:val="15"/>
          <w:szCs w:val="15"/>
        </w:rPr>
        <w:t xml:space="preserve"> </w:t>
      </w:r>
      <w:r>
        <w:rPr>
          <w:rFonts w:ascii="Raleway" w:hAnsi="Raleway"/>
          <w:sz w:val="15"/>
          <w:szCs w:val="15"/>
        </w:rPr>
        <w:t>Kim</w:t>
      </w:r>
      <w:r w:rsidR="00A95246">
        <w:rPr>
          <w:rFonts w:ascii="Raleway" w:hAnsi="Raleway"/>
          <w:sz w:val="15"/>
          <w:szCs w:val="15"/>
        </w:rPr>
        <w:t xml:space="preserve"> </w:t>
      </w:r>
      <w:r>
        <w:rPr>
          <w:rFonts w:ascii="Raleway" w:hAnsi="Raleway"/>
          <w:sz w:val="15"/>
          <w:szCs w:val="15"/>
        </w:rPr>
        <w:t>Anh</w:t>
      </w:r>
      <w:r w:rsidR="00A95246">
        <w:rPr>
          <w:rFonts w:ascii="Raleway" w:hAnsi="Raleway"/>
          <w:sz w:val="15"/>
          <w:szCs w:val="15"/>
        </w:rPr>
        <w:t xml:space="preserve"> </w:t>
      </w:r>
      <w:r>
        <w:rPr>
          <w:rFonts w:ascii="Raleway" w:hAnsi="Raleway"/>
          <w:sz w:val="15"/>
          <w:szCs w:val="15"/>
        </w:rPr>
        <w:t>Pham).</w:t>
      </w:r>
      <w:r>
        <w:rPr>
          <w:rFonts w:ascii="Raleway" w:hAnsi="Raleway"/>
          <w:sz w:val="15"/>
          <w:szCs w:val="15"/>
        </w:rPr>
        <w:cr/>
      </w:r>
      <w:r w:rsidRPr="00B42F36">
        <w:rPr>
          <w:rFonts w:ascii="Raleway" w:hAnsi="Raleway"/>
          <w:sz w:val="15"/>
          <w:szCs w:val="15"/>
          <w:u w:val="single"/>
        </w:rPr>
        <w:t>Parties contractantes non-membres observatrices</w:t>
      </w:r>
      <w:r w:rsidRPr="001E3DBF">
        <w:rPr>
          <w:rFonts w:ascii="Raleway" w:hAnsi="Raleway"/>
          <w:sz w:val="15"/>
          <w:szCs w:val="15"/>
        </w:rPr>
        <w:t> : Cabo Verde (Mme Cátia</w:t>
      </w:r>
      <w:r w:rsidR="00231AFE">
        <w:rPr>
          <w:rFonts w:ascii="Raleway" w:hAnsi="Raleway"/>
          <w:sz w:val="15"/>
          <w:szCs w:val="15"/>
        </w:rPr>
        <w:t xml:space="preserve"> </w:t>
      </w:r>
      <w:r w:rsidRPr="001E3DBF">
        <w:rPr>
          <w:rFonts w:ascii="Raleway" w:hAnsi="Raleway"/>
          <w:sz w:val="15"/>
          <w:szCs w:val="15"/>
        </w:rPr>
        <w:t>Cardoso, Mme Dulcelina</w:t>
      </w:r>
      <w:r w:rsidR="00231AFE">
        <w:rPr>
          <w:rFonts w:ascii="Raleway" w:hAnsi="Raleway"/>
          <w:sz w:val="15"/>
          <w:szCs w:val="15"/>
        </w:rPr>
        <w:t xml:space="preserve"> </w:t>
      </w:r>
      <w:r w:rsidRPr="001E3DBF">
        <w:rPr>
          <w:rFonts w:ascii="Raleway" w:hAnsi="Raleway"/>
          <w:sz w:val="15"/>
          <w:szCs w:val="15"/>
        </w:rPr>
        <w:t>Rocha, Mme Isolina</w:t>
      </w:r>
      <w:r w:rsidR="00231AFE">
        <w:rPr>
          <w:rFonts w:ascii="Raleway" w:hAnsi="Raleway"/>
          <w:sz w:val="15"/>
          <w:szCs w:val="15"/>
        </w:rPr>
        <w:t xml:space="preserve"> </w:t>
      </w:r>
      <w:r w:rsidRPr="001E3DBF">
        <w:rPr>
          <w:rFonts w:ascii="Raleway" w:hAnsi="Raleway"/>
          <w:sz w:val="15"/>
          <w:szCs w:val="15"/>
        </w:rPr>
        <w:t>Teixeira</w:t>
      </w:r>
      <w:r w:rsidR="00231AFE">
        <w:rPr>
          <w:rFonts w:ascii="Raleway" w:hAnsi="Raleway"/>
          <w:sz w:val="15"/>
          <w:szCs w:val="15"/>
        </w:rPr>
        <w:t xml:space="preserve"> </w:t>
      </w:r>
      <w:r w:rsidRPr="001E3DBF">
        <w:rPr>
          <w:rFonts w:ascii="Raleway" w:hAnsi="Raleway"/>
          <w:sz w:val="15"/>
          <w:szCs w:val="15"/>
        </w:rPr>
        <w:t>Almeida) ; Côte d</w:t>
      </w:r>
      <w:r>
        <w:rPr>
          <w:rFonts w:ascii="Raleway" w:hAnsi="Raleway"/>
          <w:sz w:val="15"/>
          <w:szCs w:val="15"/>
        </w:rPr>
        <w:t>’</w:t>
      </w:r>
      <w:r w:rsidRPr="001E3DBF">
        <w:rPr>
          <w:rFonts w:ascii="Raleway" w:hAnsi="Raleway"/>
          <w:sz w:val="15"/>
          <w:szCs w:val="15"/>
        </w:rPr>
        <w:t>Ivoire (M. Guy</w:t>
      </w:r>
      <w:r w:rsidR="00231AFE">
        <w:rPr>
          <w:rFonts w:ascii="Raleway" w:hAnsi="Raleway"/>
          <w:sz w:val="15"/>
          <w:szCs w:val="15"/>
        </w:rPr>
        <w:t xml:space="preserve"> </w:t>
      </w:r>
      <w:r w:rsidRPr="001E3DBF">
        <w:rPr>
          <w:rFonts w:ascii="Raleway" w:hAnsi="Raleway"/>
          <w:sz w:val="15"/>
          <w:szCs w:val="15"/>
        </w:rPr>
        <w:t>Gouin, Mme Sabine</w:t>
      </w:r>
      <w:r w:rsidR="00231AFE">
        <w:rPr>
          <w:rFonts w:ascii="Raleway" w:hAnsi="Raleway"/>
          <w:sz w:val="15"/>
          <w:szCs w:val="15"/>
        </w:rPr>
        <w:t xml:space="preserve"> </w:t>
      </w:r>
      <w:r w:rsidRPr="001E3DBF">
        <w:rPr>
          <w:rFonts w:ascii="Raleway" w:hAnsi="Raleway"/>
          <w:sz w:val="15"/>
          <w:szCs w:val="15"/>
        </w:rPr>
        <w:t>Kobena, Mme Mony</w:t>
      </w:r>
      <w:r w:rsidR="00231AFE">
        <w:rPr>
          <w:rFonts w:ascii="Raleway" w:hAnsi="Raleway"/>
          <w:sz w:val="15"/>
          <w:szCs w:val="15"/>
        </w:rPr>
        <w:t xml:space="preserve"> </w:t>
      </w:r>
      <w:r w:rsidRPr="001E3DBF">
        <w:rPr>
          <w:rFonts w:ascii="Raleway" w:hAnsi="Raleway"/>
          <w:sz w:val="15"/>
          <w:szCs w:val="15"/>
        </w:rPr>
        <w:t>Kokor</w:t>
      </w:r>
      <w:r>
        <w:rPr>
          <w:rFonts w:ascii="Raleway" w:hAnsi="Raleway"/>
          <w:sz w:val="15"/>
          <w:szCs w:val="15"/>
        </w:rPr>
        <w:t>a, M. Issa</w:t>
      </w:r>
      <w:r w:rsidR="00231AFE">
        <w:rPr>
          <w:rFonts w:ascii="Raleway" w:hAnsi="Raleway"/>
          <w:sz w:val="15"/>
          <w:szCs w:val="15"/>
        </w:rPr>
        <w:t xml:space="preserve"> </w:t>
      </w:r>
      <w:r>
        <w:rPr>
          <w:rFonts w:ascii="Raleway" w:hAnsi="Raleway"/>
          <w:sz w:val="15"/>
          <w:szCs w:val="15"/>
        </w:rPr>
        <w:t>Kone) ; Togo (M. Abd-</w:t>
      </w:r>
      <w:r w:rsidRPr="001E3DBF">
        <w:rPr>
          <w:rFonts w:ascii="Raleway" w:hAnsi="Raleway"/>
          <w:sz w:val="15"/>
          <w:szCs w:val="15"/>
        </w:rPr>
        <w:t>Nafiou</w:t>
      </w:r>
      <w:r w:rsidR="00231AFE">
        <w:rPr>
          <w:rFonts w:ascii="Raleway" w:hAnsi="Raleway"/>
          <w:sz w:val="15"/>
          <w:szCs w:val="15"/>
        </w:rPr>
        <w:t xml:space="preserve"> </w:t>
      </w:r>
      <w:r w:rsidRPr="001E3DBF">
        <w:rPr>
          <w:rFonts w:ascii="Raleway" w:hAnsi="Raleway"/>
          <w:sz w:val="15"/>
          <w:szCs w:val="15"/>
        </w:rPr>
        <w:t>Mamanh).</w:t>
      </w:r>
      <w:r w:rsidRPr="001E3DBF">
        <w:rPr>
          <w:rFonts w:ascii="Raleway" w:hAnsi="Raleway"/>
          <w:sz w:val="15"/>
          <w:szCs w:val="15"/>
        </w:rPr>
        <w:cr/>
      </w:r>
      <w:r w:rsidRPr="00B42F36">
        <w:rPr>
          <w:rFonts w:ascii="Raleway" w:hAnsi="Raleway"/>
          <w:sz w:val="15"/>
          <w:szCs w:val="15"/>
          <w:u w:val="single"/>
        </w:rPr>
        <w:t>Organisations internationales observatrices</w:t>
      </w:r>
      <w:r w:rsidRPr="001E3DBF">
        <w:rPr>
          <w:rFonts w:ascii="Raleway" w:hAnsi="Raleway"/>
          <w:sz w:val="15"/>
          <w:szCs w:val="15"/>
        </w:rPr>
        <w:t> : U</w:t>
      </w:r>
      <w:r>
        <w:rPr>
          <w:rFonts w:ascii="Raleway" w:hAnsi="Raleway"/>
          <w:sz w:val="15"/>
          <w:szCs w:val="15"/>
        </w:rPr>
        <w:t>nicef</w:t>
      </w:r>
      <w:r w:rsidRPr="001E3DBF">
        <w:rPr>
          <w:rFonts w:ascii="Raleway" w:hAnsi="Raleway"/>
          <w:sz w:val="15"/>
          <w:szCs w:val="15"/>
        </w:rPr>
        <w:t xml:space="preserve"> (M. Nigel Cantwell) ; Intercountry Adoptee Voices (ICAV) (Mme Bina</w:t>
      </w:r>
      <w:r w:rsidR="00231AFE">
        <w:rPr>
          <w:rFonts w:ascii="Raleway" w:hAnsi="Raleway"/>
          <w:sz w:val="15"/>
          <w:szCs w:val="15"/>
        </w:rPr>
        <w:t xml:space="preserve"> </w:t>
      </w:r>
      <w:r w:rsidRPr="001E3DBF">
        <w:rPr>
          <w:rFonts w:ascii="Raleway" w:hAnsi="Raleway"/>
          <w:sz w:val="15"/>
          <w:szCs w:val="15"/>
        </w:rPr>
        <w:t>de Boer, Mme Lynelle</w:t>
      </w:r>
      <w:r w:rsidR="00231AFE">
        <w:rPr>
          <w:rFonts w:ascii="Raleway" w:hAnsi="Raleway"/>
          <w:sz w:val="15"/>
          <w:szCs w:val="15"/>
        </w:rPr>
        <w:t xml:space="preserve"> </w:t>
      </w:r>
      <w:r w:rsidRPr="001E3DBF">
        <w:rPr>
          <w:rFonts w:ascii="Raleway" w:hAnsi="Raleway"/>
          <w:sz w:val="15"/>
          <w:szCs w:val="15"/>
        </w:rPr>
        <w:t>Long, M. Peter</w:t>
      </w:r>
      <w:r w:rsidR="00231AFE">
        <w:rPr>
          <w:rFonts w:ascii="Raleway" w:hAnsi="Raleway"/>
          <w:sz w:val="15"/>
          <w:szCs w:val="15"/>
        </w:rPr>
        <w:t xml:space="preserve"> </w:t>
      </w:r>
      <w:r w:rsidRPr="001E3DBF">
        <w:rPr>
          <w:rFonts w:ascii="Raleway" w:hAnsi="Raleway"/>
          <w:sz w:val="15"/>
          <w:szCs w:val="15"/>
        </w:rPr>
        <w:t>Møller) ; Nordic Adoption Council (NAC) (Mme Elísabet</w:t>
      </w:r>
      <w:r w:rsidR="00231AFE">
        <w:rPr>
          <w:rFonts w:ascii="Raleway" w:hAnsi="Raleway"/>
          <w:sz w:val="15"/>
          <w:szCs w:val="15"/>
        </w:rPr>
        <w:t xml:space="preserve"> </w:t>
      </w:r>
      <w:r w:rsidRPr="001E3DBF">
        <w:rPr>
          <w:rFonts w:ascii="Raleway" w:hAnsi="Raleway"/>
          <w:sz w:val="15"/>
          <w:szCs w:val="15"/>
        </w:rPr>
        <w:t>Hrund</w:t>
      </w:r>
      <w:r w:rsidR="00231AFE">
        <w:rPr>
          <w:rFonts w:ascii="Raleway" w:hAnsi="Raleway"/>
          <w:sz w:val="15"/>
          <w:szCs w:val="15"/>
        </w:rPr>
        <w:t xml:space="preserve"> </w:t>
      </w:r>
      <w:r w:rsidRPr="001E3DBF">
        <w:rPr>
          <w:rFonts w:ascii="Raleway" w:hAnsi="Raleway"/>
          <w:sz w:val="15"/>
          <w:szCs w:val="15"/>
        </w:rPr>
        <w:t>Salvarsdóttir).</w:t>
      </w:r>
    </w:p>
  </w:footnote>
  <w:footnote w:id="25">
    <w:p w14:paraId="2717E28E" w14:textId="4764771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SSI, </w:t>
      </w:r>
      <w:r w:rsidRPr="001E3DBF">
        <w:rPr>
          <w:rFonts w:ascii="Raleway" w:hAnsi="Raleway"/>
          <w:i/>
          <w:sz w:val="15"/>
          <w:szCs w:val="15"/>
        </w:rPr>
        <w:t xml:space="preserve">Intercountry Adoption – </w:t>
      </w:r>
      <w:hyperlink r:id="rId15" w:history="1">
        <w:r w:rsidRPr="001E3DBF">
          <w:rPr>
            <w:rStyle w:val="Hyperlink"/>
            <w:rFonts w:ascii="Raleway" w:hAnsi="Raleway"/>
            <w:i/>
            <w:sz w:val="15"/>
            <w:szCs w:val="15"/>
          </w:rPr>
          <w:t>the Financial Aspects</w:t>
        </w:r>
      </w:hyperlink>
      <w:r>
        <w:rPr>
          <w:rStyle w:val="Hyperlink"/>
          <w:rFonts w:ascii="Raleway" w:hAnsi="Raleway"/>
          <w:i/>
          <w:sz w:val="15"/>
          <w:szCs w:val="15"/>
        </w:rPr>
        <w:t xml:space="preserve"> </w:t>
      </w:r>
      <w:r w:rsidRPr="001E3DBF">
        <w:rPr>
          <w:rFonts w:ascii="Raleway" w:hAnsi="Raleway"/>
          <w:sz w:val="15"/>
          <w:szCs w:val="15"/>
        </w:rPr>
        <w:t xml:space="preserve">(Adoption internationale : les aspects financiers), Fiche thématique No 47, 2007 (en anglais uniquement) ; N. Cantwell, </w:t>
      </w:r>
      <w:hyperlink r:id="rId16" w:history="1">
        <w:r w:rsidRPr="001E3DBF">
          <w:rPr>
            <w:rStyle w:val="Hyperlink"/>
            <w:rFonts w:ascii="Raleway" w:hAnsi="Raleway"/>
            <w:i/>
            <w:sz w:val="15"/>
            <w:szCs w:val="15"/>
          </w:rPr>
          <w:t>Adoption and Children: A Human Rights Perspective</w:t>
        </w:r>
      </w:hyperlink>
      <w:r w:rsidRPr="001E3DBF">
        <w:rPr>
          <w:rFonts w:ascii="Raleway" w:hAnsi="Raleway"/>
          <w:sz w:val="15"/>
          <w:szCs w:val="15"/>
        </w:rPr>
        <w:t xml:space="preserve"> (Adoption et enfants sous l</w:t>
      </w:r>
      <w:r>
        <w:rPr>
          <w:rFonts w:ascii="Raleway" w:hAnsi="Raleway"/>
          <w:sz w:val="15"/>
          <w:szCs w:val="15"/>
        </w:rPr>
        <w:t>’</w:t>
      </w:r>
      <w:r w:rsidRPr="001E3DBF">
        <w:rPr>
          <w:rFonts w:ascii="Raleway" w:hAnsi="Raleway"/>
          <w:sz w:val="15"/>
          <w:szCs w:val="15"/>
        </w:rPr>
        <w:t>angle des droits humains)</w:t>
      </w:r>
      <w:r w:rsidRPr="001E3DBF">
        <w:rPr>
          <w:rFonts w:ascii="Raleway" w:hAnsi="Raleway"/>
          <w:i/>
          <w:sz w:val="15"/>
          <w:szCs w:val="15"/>
        </w:rPr>
        <w:t xml:space="preserve">, </w:t>
      </w:r>
      <w:r w:rsidRPr="001E3DBF">
        <w:rPr>
          <w:rFonts w:ascii="Raleway" w:hAnsi="Raleway"/>
          <w:sz w:val="15"/>
          <w:szCs w:val="15"/>
        </w:rPr>
        <w:t>Commissaire aux droits de l</w:t>
      </w:r>
      <w:r>
        <w:rPr>
          <w:rFonts w:ascii="Raleway" w:hAnsi="Raleway"/>
          <w:sz w:val="15"/>
          <w:szCs w:val="15"/>
        </w:rPr>
        <w:t>’</w:t>
      </w:r>
      <w:r w:rsidRPr="001E3DBF">
        <w:rPr>
          <w:rFonts w:ascii="Raleway" w:hAnsi="Raleway"/>
          <w:sz w:val="15"/>
          <w:szCs w:val="15"/>
        </w:rPr>
        <w:t>homme, Conseil de l</w:t>
      </w:r>
      <w:r>
        <w:rPr>
          <w:rFonts w:ascii="Raleway" w:hAnsi="Raleway"/>
          <w:sz w:val="15"/>
          <w:szCs w:val="15"/>
        </w:rPr>
        <w:t>’</w:t>
      </w:r>
      <w:r w:rsidRPr="001E3DBF">
        <w:rPr>
          <w:rFonts w:ascii="Raleway" w:hAnsi="Raleway"/>
          <w:sz w:val="15"/>
          <w:szCs w:val="15"/>
        </w:rPr>
        <w:t xml:space="preserve">Europe, 2010, p. 20 (en anglais uniquement) ; et African Child Policy Forum (ACPF), </w:t>
      </w:r>
      <w:hyperlink r:id="rId17" w:history="1">
        <w:r w:rsidRPr="001E3DBF">
          <w:rPr>
            <w:rStyle w:val="Hyperlink"/>
            <w:rFonts w:ascii="Raleway" w:hAnsi="Raleway"/>
            <w:i/>
            <w:sz w:val="15"/>
            <w:szCs w:val="15"/>
          </w:rPr>
          <w:t>L</w:t>
        </w:r>
        <w:r>
          <w:rPr>
            <w:rStyle w:val="Hyperlink"/>
            <w:rFonts w:ascii="Raleway" w:hAnsi="Raleway"/>
            <w:i/>
            <w:sz w:val="15"/>
            <w:szCs w:val="15"/>
          </w:rPr>
          <w:t>’</w:t>
        </w:r>
        <w:r w:rsidRPr="001E3DBF">
          <w:rPr>
            <w:rStyle w:val="Hyperlink"/>
            <w:rFonts w:ascii="Raleway" w:hAnsi="Raleway"/>
            <w:i/>
            <w:sz w:val="15"/>
            <w:szCs w:val="15"/>
          </w:rPr>
          <w:t>Adoption internationale du point de vue Africain</w:t>
        </w:r>
      </w:hyperlink>
      <w:r w:rsidRPr="001E3DBF">
        <w:rPr>
          <w:rFonts w:ascii="Raleway" w:hAnsi="Raleway"/>
          <w:sz w:val="15"/>
          <w:szCs w:val="15"/>
        </w:rPr>
        <w:t xml:space="preserve">, 2012, p. 20. </w:t>
      </w:r>
    </w:p>
  </w:footnote>
  <w:footnote w:id="26">
    <w:p w14:paraId="0C8A4DFE" w14:textId="7AEBB7E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w:t>
      </w:r>
      <w:r>
        <w:rPr>
          <w:rFonts w:ascii="Raleway" w:hAnsi="Raleway"/>
          <w:sz w:val="15"/>
          <w:szCs w:val="15"/>
        </w:rPr>
        <w:t>’</w:t>
      </w:r>
      <w:r w:rsidRPr="001E3DBF">
        <w:rPr>
          <w:rFonts w:ascii="Raleway" w:hAnsi="Raleway"/>
          <w:sz w:val="15"/>
          <w:szCs w:val="15"/>
        </w:rPr>
        <w:t>attribution des responsabilités serait basée sur les fonctions et responsabilités générales indiquées dans la Convention et sur des caractéristiques essentielles comme les suivantes :</w:t>
      </w:r>
    </w:p>
    <w:p w14:paraId="30DEC285" w14:textId="5C96B59F" w:rsidR="00974DA5" w:rsidRPr="001E3DBF" w:rsidRDefault="00974DA5" w:rsidP="00D31904">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Autorités centrales : il revient par ex</w:t>
      </w:r>
      <w:r>
        <w:rPr>
          <w:rFonts w:ascii="Raleway" w:hAnsi="Raleway"/>
          <w:sz w:val="15"/>
          <w:szCs w:val="15"/>
        </w:rPr>
        <w:t>.</w:t>
      </w:r>
      <w:r w:rsidRPr="001E3DBF">
        <w:rPr>
          <w:rFonts w:ascii="Raleway" w:hAnsi="Raleway"/>
          <w:sz w:val="15"/>
          <w:szCs w:val="15"/>
        </w:rPr>
        <w:t xml:space="preserve"> aux Autorités centrales de prendre toutes les mesures appropriées pour prévenir les gains matériels indus dans le cadre d</w:t>
      </w:r>
      <w:r>
        <w:rPr>
          <w:rFonts w:ascii="Raleway" w:hAnsi="Raleway"/>
          <w:sz w:val="15"/>
          <w:szCs w:val="15"/>
        </w:rPr>
        <w:t>’</w:t>
      </w:r>
      <w:r w:rsidRPr="001E3DBF">
        <w:rPr>
          <w:rFonts w:ascii="Raleway" w:hAnsi="Raleway"/>
          <w:sz w:val="15"/>
          <w:szCs w:val="15"/>
        </w:rPr>
        <w:t>une adoption et de décourager toutes les pratiques contraires aux objectifs de la Convention. Les Autorités centrales des États d</w:t>
      </w:r>
      <w:r>
        <w:rPr>
          <w:rFonts w:ascii="Raleway" w:hAnsi="Raleway"/>
          <w:sz w:val="15"/>
          <w:szCs w:val="15"/>
        </w:rPr>
        <w:t>’</w:t>
      </w:r>
      <w:r w:rsidRPr="001E3DBF">
        <w:rPr>
          <w:rFonts w:ascii="Raleway" w:hAnsi="Raleway"/>
          <w:sz w:val="15"/>
          <w:szCs w:val="15"/>
        </w:rPr>
        <w:t>accueil devraient réglementer les frais des OAA qui fournissent des services aux FPA (comme la préparation de la demande d</w:t>
      </w:r>
      <w:r>
        <w:rPr>
          <w:rFonts w:ascii="Raleway" w:hAnsi="Raleway"/>
          <w:sz w:val="15"/>
          <w:szCs w:val="15"/>
        </w:rPr>
        <w:t>’</w:t>
      </w:r>
      <w:r w:rsidRPr="001E3DBF">
        <w:rPr>
          <w:rFonts w:ascii="Raleway" w:hAnsi="Raleway"/>
          <w:sz w:val="15"/>
          <w:szCs w:val="15"/>
        </w:rPr>
        <w:t>adoption, y compris l</w:t>
      </w:r>
      <w:r>
        <w:rPr>
          <w:rFonts w:ascii="Raleway" w:hAnsi="Raleway"/>
          <w:sz w:val="15"/>
          <w:szCs w:val="15"/>
        </w:rPr>
        <w:t>’</w:t>
      </w:r>
      <w:r w:rsidRPr="001E3DBF">
        <w:rPr>
          <w:rFonts w:ascii="Raleway" w:hAnsi="Raleway"/>
          <w:sz w:val="15"/>
          <w:szCs w:val="15"/>
        </w:rPr>
        <w:t>étude du foyer), tandis que les Autorités centrales des États d</w:t>
      </w:r>
      <w:r>
        <w:rPr>
          <w:rFonts w:ascii="Raleway" w:hAnsi="Raleway"/>
          <w:sz w:val="15"/>
          <w:szCs w:val="15"/>
        </w:rPr>
        <w:t>’</w:t>
      </w:r>
      <w:r w:rsidRPr="001E3DBF">
        <w:rPr>
          <w:rFonts w:ascii="Raleway" w:hAnsi="Raleway"/>
          <w:sz w:val="15"/>
          <w:szCs w:val="15"/>
        </w:rPr>
        <w:t xml:space="preserve">origine devraient surveiller les pratiques des institutions pour enfants en matière de gains matériels indus ; </w:t>
      </w:r>
    </w:p>
    <w:p w14:paraId="6CD93976" w14:textId="31110422" w:rsidR="00974DA5" w:rsidRPr="001E3DBF" w:rsidRDefault="00974DA5" w:rsidP="00D31904">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les autorités compétentes autres que les Autorités centrales peuvent être chargées de fonctions liées à des aspects financiers particuliers de l</w:t>
      </w:r>
      <w:r>
        <w:rPr>
          <w:rFonts w:ascii="Raleway" w:hAnsi="Raleway"/>
          <w:sz w:val="15"/>
          <w:szCs w:val="15"/>
        </w:rPr>
        <w:t>’</w:t>
      </w:r>
      <w:r w:rsidRPr="001E3DBF">
        <w:rPr>
          <w:rFonts w:ascii="Raleway" w:hAnsi="Raleway"/>
          <w:sz w:val="15"/>
          <w:szCs w:val="15"/>
        </w:rPr>
        <w:t>adoption internationale, comme la poursuite des personnes corrompues et la délivrance de licences aux avocats spécialistes de l</w:t>
      </w:r>
      <w:r>
        <w:rPr>
          <w:rFonts w:ascii="Raleway" w:hAnsi="Raleway"/>
          <w:sz w:val="15"/>
          <w:szCs w:val="15"/>
        </w:rPr>
        <w:t>’</w:t>
      </w:r>
      <w:r w:rsidRPr="001E3DBF">
        <w:rPr>
          <w:rFonts w:ascii="Raleway" w:hAnsi="Raleway"/>
          <w:sz w:val="15"/>
          <w:szCs w:val="15"/>
        </w:rPr>
        <w:t xml:space="preserve">adoption ; </w:t>
      </w:r>
    </w:p>
    <w:p w14:paraId="647E5934" w14:textId="29010393" w:rsidR="00974DA5" w:rsidRPr="001E3DBF" w:rsidRDefault="00974DA5" w:rsidP="00D31904">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les OAA peuvent, entre autres, informer et conseiller les FPA quant aux aspects financiers de la procédure afin de les sensibiliser et d</w:t>
      </w:r>
      <w:r>
        <w:rPr>
          <w:rFonts w:ascii="Raleway" w:hAnsi="Raleway"/>
          <w:sz w:val="15"/>
          <w:szCs w:val="15"/>
        </w:rPr>
        <w:t>’</w:t>
      </w:r>
      <w:r w:rsidRPr="001E3DBF">
        <w:rPr>
          <w:rFonts w:ascii="Raleway" w:hAnsi="Raleway"/>
          <w:sz w:val="15"/>
          <w:szCs w:val="15"/>
        </w:rPr>
        <w:t>accroître leur vigilance. Ils devraient facturer des frais raisonnables et tous les publier.</w:t>
      </w:r>
    </w:p>
  </w:footnote>
  <w:footnote w:id="27">
    <w:p w14:paraId="2454E5D2" w14:textId="49D6025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CNUDE, art. 21(d) : « Les États parties qui admettent et / ou autorisent l</w:t>
      </w:r>
      <w:r>
        <w:rPr>
          <w:rFonts w:ascii="Raleway" w:hAnsi="Raleway"/>
          <w:sz w:val="15"/>
          <w:szCs w:val="15"/>
        </w:rPr>
        <w:t>’</w:t>
      </w:r>
      <w:r w:rsidRPr="001E3DBF">
        <w:rPr>
          <w:rFonts w:ascii="Raleway" w:hAnsi="Raleway"/>
          <w:sz w:val="15"/>
          <w:szCs w:val="15"/>
        </w:rPr>
        <w:t>adoption s</w:t>
      </w:r>
      <w:r>
        <w:rPr>
          <w:rFonts w:ascii="Raleway" w:hAnsi="Raleway"/>
          <w:sz w:val="15"/>
          <w:szCs w:val="15"/>
        </w:rPr>
        <w:t>’</w:t>
      </w:r>
      <w:r w:rsidRPr="001E3DBF">
        <w:rPr>
          <w:rFonts w:ascii="Raleway" w:hAnsi="Raleway"/>
          <w:sz w:val="15"/>
          <w:szCs w:val="15"/>
        </w:rPr>
        <w:t>assurent que l</w:t>
      </w:r>
      <w:r>
        <w:rPr>
          <w:rFonts w:ascii="Raleway" w:hAnsi="Raleway"/>
          <w:sz w:val="15"/>
          <w:szCs w:val="15"/>
        </w:rPr>
        <w:t>’</w:t>
      </w:r>
      <w:r w:rsidRPr="001E3DBF">
        <w:rPr>
          <w:rFonts w:ascii="Raleway" w:hAnsi="Raleway"/>
          <w:sz w:val="15"/>
          <w:szCs w:val="15"/>
        </w:rPr>
        <w:t>intérêt supérieur de l</w:t>
      </w:r>
      <w:r>
        <w:rPr>
          <w:rFonts w:ascii="Raleway" w:hAnsi="Raleway"/>
          <w:sz w:val="15"/>
          <w:szCs w:val="15"/>
        </w:rPr>
        <w:t>’</w:t>
      </w:r>
      <w:r w:rsidRPr="001E3DBF">
        <w:rPr>
          <w:rFonts w:ascii="Raleway" w:hAnsi="Raleway"/>
          <w:sz w:val="15"/>
          <w:szCs w:val="15"/>
        </w:rPr>
        <w:t>enfant est la considération primordi</w:t>
      </w:r>
      <w:r>
        <w:rPr>
          <w:rFonts w:ascii="Raleway" w:hAnsi="Raleway"/>
          <w:sz w:val="15"/>
          <w:szCs w:val="15"/>
        </w:rPr>
        <w:t>ale en la matière, et : […] d) [p]</w:t>
      </w:r>
      <w:r w:rsidRPr="001E3DBF">
        <w:rPr>
          <w:rFonts w:ascii="Raleway" w:hAnsi="Raleway"/>
          <w:sz w:val="15"/>
          <w:szCs w:val="15"/>
        </w:rPr>
        <w:t>rennent toutes les mesures appropriées pour veiller à ce que, en cas d</w:t>
      </w:r>
      <w:r>
        <w:rPr>
          <w:rFonts w:ascii="Raleway" w:hAnsi="Raleway"/>
          <w:sz w:val="15"/>
          <w:szCs w:val="15"/>
        </w:rPr>
        <w:t>’</w:t>
      </w:r>
      <w:r w:rsidRPr="001E3DBF">
        <w:rPr>
          <w:rFonts w:ascii="Raleway" w:hAnsi="Raleway"/>
          <w:sz w:val="15"/>
          <w:szCs w:val="15"/>
        </w:rPr>
        <w:t>adoption à l</w:t>
      </w:r>
      <w:r>
        <w:rPr>
          <w:rFonts w:ascii="Raleway" w:hAnsi="Raleway"/>
          <w:sz w:val="15"/>
          <w:szCs w:val="15"/>
        </w:rPr>
        <w:t>’</w:t>
      </w:r>
      <w:r w:rsidRPr="001E3DBF">
        <w:rPr>
          <w:rFonts w:ascii="Raleway" w:hAnsi="Raleway"/>
          <w:sz w:val="15"/>
          <w:szCs w:val="15"/>
        </w:rPr>
        <w:t>étranger, le placement de l</w:t>
      </w:r>
      <w:r>
        <w:rPr>
          <w:rFonts w:ascii="Raleway" w:hAnsi="Raleway"/>
          <w:sz w:val="15"/>
          <w:szCs w:val="15"/>
        </w:rPr>
        <w:t>’</w:t>
      </w:r>
      <w:r w:rsidRPr="001E3DBF">
        <w:rPr>
          <w:rFonts w:ascii="Raleway" w:hAnsi="Raleway"/>
          <w:sz w:val="15"/>
          <w:szCs w:val="15"/>
        </w:rPr>
        <w:t>enfant ne se traduise pas par un profit matériel indu pour les per</w:t>
      </w:r>
      <w:r>
        <w:rPr>
          <w:rFonts w:ascii="Raleway" w:hAnsi="Raleway"/>
          <w:sz w:val="15"/>
          <w:szCs w:val="15"/>
        </w:rPr>
        <w:t>sonnes qui en sont responsables</w:t>
      </w:r>
      <w:r w:rsidRPr="001E3DBF">
        <w:rPr>
          <w:rFonts w:ascii="Raleway" w:hAnsi="Raleway"/>
          <w:sz w:val="15"/>
          <w:szCs w:val="15"/>
        </w:rPr>
        <w:t> »</w:t>
      </w:r>
      <w:r>
        <w:rPr>
          <w:rFonts w:ascii="Raleway" w:hAnsi="Raleway"/>
          <w:sz w:val="15"/>
          <w:szCs w:val="15"/>
        </w:rPr>
        <w:t>.</w:t>
      </w:r>
    </w:p>
  </w:footnote>
  <w:footnote w:id="28">
    <w:p w14:paraId="01C99274" w14:textId="23E5FCB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hyperlink r:id="rId18" w:history="1">
        <w:r w:rsidRPr="001E3DBF">
          <w:rPr>
            <w:rStyle w:val="Hyperlink"/>
            <w:rFonts w:ascii="Raleway" w:hAnsi="Raleway"/>
            <w:sz w:val="15"/>
            <w:szCs w:val="15"/>
          </w:rPr>
          <w:t>Protocole facultatif à la CNUDE concernant la vente d</w:t>
        </w:r>
        <w:r>
          <w:rPr>
            <w:rStyle w:val="Hyperlink"/>
            <w:rFonts w:ascii="Raleway" w:hAnsi="Raleway"/>
            <w:sz w:val="15"/>
            <w:szCs w:val="15"/>
          </w:rPr>
          <w:t>’</w:t>
        </w:r>
        <w:r w:rsidRPr="001E3DBF">
          <w:rPr>
            <w:rStyle w:val="Hyperlink"/>
            <w:rFonts w:ascii="Raleway" w:hAnsi="Raleway"/>
            <w:sz w:val="15"/>
            <w:szCs w:val="15"/>
          </w:rPr>
          <w:t>enfants, la prostitution des enfants et la pornographie mettant en scène des enfants</w:t>
        </w:r>
      </w:hyperlink>
      <w:r w:rsidRPr="001E3DBF">
        <w:rPr>
          <w:rFonts w:ascii="Raleway" w:hAnsi="Raleway"/>
          <w:sz w:val="15"/>
          <w:szCs w:val="15"/>
        </w:rPr>
        <w:t xml:space="preserve">, </w:t>
      </w:r>
      <w:r>
        <w:rPr>
          <w:rFonts w:ascii="Raleway" w:hAnsi="Raleway"/>
          <w:sz w:val="15"/>
          <w:szCs w:val="15"/>
        </w:rPr>
        <w:t xml:space="preserve">2000, </w:t>
      </w:r>
      <w:r w:rsidRPr="001E3DBF">
        <w:rPr>
          <w:rFonts w:ascii="Raleway" w:hAnsi="Raleway"/>
          <w:sz w:val="15"/>
          <w:szCs w:val="15"/>
        </w:rPr>
        <w:t>a</w:t>
      </w:r>
      <w:r>
        <w:rPr>
          <w:rFonts w:ascii="Raleway" w:hAnsi="Raleway"/>
          <w:sz w:val="15"/>
          <w:szCs w:val="15"/>
        </w:rPr>
        <w:t>rt. 3(1)(a) ii. Voir aussi art. 3</w:t>
      </w:r>
      <w:r w:rsidRPr="001E3DBF">
        <w:rPr>
          <w:rFonts w:ascii="Raleway" w:hAnsi="Raleway"/>
          <w:sz w:val="15"/>
          <w:szCs w:val="15"/>
        </w:rPr>
        <w:t xml:space="preserve">(5) du Protocole et le Guide de bonnes pratiques No 1, </w:t>
      </w:r>
      <w:r w:rsidRPr="001E3DBF">
        <w:rPr>
          <w:rFonts w:ascii="Raleway" w:hAnsi="Raleway"/>
          <w:i/>
          <w:sz w:val="15"/>
          <w:szCs w:val="15"/>
        </w:rPr>
        <w:t>supra</w:t>
      </w:r>
      <w:r w:rsidRPr="001E3DBF">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_Ref142551987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2</w:t>
      </w:r>
      <w:r>
        <w:rPr>
          <w:rFonts w:ascii="Raleway" w:hAnsi="Raleway"/>
          <w:sz w:val="15"/>
          <w:szCs w:val="15"/>
        </w:rPr>
        <w:fldChar w:fldCharType="end"/>
      </w:r>
      <w:r w:rsidRPr="001E3DBF">
        <w:rPr>
          <w:rFonts w:ascii="Raleway" w:hAnsi="Raleway"/>
          <w:sz w:val="15"/>
          <w:szCs w:val="15"/>
        </w:rPr>
        <w:t xml:space="preserve">, para. 87. </w:t>
      </w:r>
    </w:p>
  </w:footnote>
  <w:footnote w:id="29">
    <w:p w14:paraId="751F0A99" w14:textId="053E64D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para. 20.</w:t>
      </w:r>
    </w:p>
  </w:footnote>
  <w:footnote w:id="30">
    <w:p w14:paraId="536BD247" w14:textId="5A6F976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Rapport explicatif,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_Ref142552392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8</w:t>
      </w:r>
      <w:r w:rsidRPr="001E3DBF">
        <w:rPr>
          <w:rFonts w:ascii="Raleway" w:hAnsi="Raleway"/>
          <w:sz w:val="15"/>
          <w:szCs w:val="15"/>
        </w:rPr>
        <w:fldChar w:fldCharType="end"/>
      </w:r>
      <w:r w:rsidRPr="001E3DBF">
        <w:rPr>
          <w:rFonts w:ascii="Raleway" w:hAnsi="Raleway"/>
          <w:sz w:val="15"/>
          <w:szCs w:val="15"/>
        </w:rPr>
        <w:t>, para. 497 : Il conviendrait de faire le lien entre l</w:t>
      </w:r>
      <w:r>
        <w:rPr>
          <w:rFonts w:ascii="Raleway" w:hAnsi="Raleway"/>
          <w:sz w:val="15"/>
          <w:szCs w:val="15"/>
        </w:rPr>
        <w:t>’</w:t>
      </w:r>
      <w:r w:rsidRPr="001E3DBF">
        <w:rPr>
          <w:rFonts w:ascii="Raleway" w:hAnsi="Raleway"/>
          <w:sz w:val="15"/>
          <w:szCs w:val="15"/>
        </w:rPr>
        <w:t>article 4(c)(3) et 4(c)(4) et l</w:t>
      </w:r>
      <w:r>
        <w:rPr>
          <w:rFonts w:ascii="Raleway" w:hAnsi="Raleway"/>
          <w:sz w:val="15"/>
          <w:szCs w:val="15"/>
        </w:rPr>
        <w:t>’</w:t>
      </w:r>
      <w:r w:rsidRPr="001E3DBF">
        <w:rPr>
          <w:rFonts w:ascii="Raleway" w:hAnsi="Raleway"/>
          <w:sz w:val="15"/>
          <w:szCs w:val="15"/>
        </w:rPr>
        <w:t>article 29 qui interdit les contacts précoces entre les parties à l</w:t>
      </w:r>
      <w:r>
        <w:rPr>
          <w:rFonts w:ascii="Raleway" w:hAnsi="Raleway"/>
          <w:sz w:val="15"/>
          <w:szCs w:val="15"/>
        </w:rPr>
        <w:t>’</w:t>
      </w:r>
      <w:r w:rsidRPr="001E3DBF">
        <w:rPr>
          <w:rFonts w:ascii="Raleway" w:hAnsi="Raleway"/>
          <w:sz w:val="15"/>
          <w:szCs w:val="15"/>
        </w:rPr>
        <w:t>adoption internationale, en particulier pour « prévenir les situations dans lesquelles un paiement indu ou une compensation indue des consentements visés à l</w:t>
      </w:r>
      <w:r>
        <w:rPr>
          <w:rFonts w:ascii="Raleway" w:hAnsi="Raleway"/>
          <w:sz w:val="15"/>
          <w:szCs w:val="15"/>
        </w:rPr>
        <w:t>’</w:t>
      </w:r>
      <w:r w:rsidRPr="001E3DBF">
        <w:rPr>
          <w:rFonts w:ascii="Raleway" w:hAnsi="Raleway"/>
          <w:sz w:val="15"/>
          <w:szCs w:val="15"/>
        </w:rPr>
        <w:t>article 4[(c)] a le plus de chance de se produire ».</w:t>
      </w:r>
    </w:p>
  </w:footnote>
  <w:footnote w:id="31">
    <w:p w14:paraId="1D71801F" w14:textId="3B16DB6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 8.3.2.</w:t>
      </w:r>
    </w:p>
  </w:footnote>
  <w:footnote w:id="32">
    <w:p w14:paraId="22D8A85D" w14:textId="56910B9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para. 217 à 219 et</w:t>
      </w:r>
      <w:r>
        <w:rPr>
          <w:rFonts w:ascii="Raleway" w:hAnsi="Raleway"/>
          <w:i/>
          <w:sz w:val="15"/>
          <w:szCs w:val="15"/>
        </w:rPr>
        <w:t xml:space="preserve"> ibid.</w:t>
      </w:r>
      <w:r w:rsidRPr="001E3DBF">
        <w:rPr>
          <w:rFonts w:ascii="Raleway" w:hAnsi="Raleway"/>
          <w:sz w:val="15"/>
          <w:szCs w:val="15"/>
        </w:rPr>
        <w:t>, chapitre 13.</w:t>
      </w:r>
    </w:p>
  </w:footnote>
  <w:footnote w:id="33">
    <w:p w14:paraId="52F23B05" w14:textId="77777777" w:rsidR="00974DA5" w:rsidRPr="001E3DBF" w:rsidRDefault="00974DA5" w:rsidP="003468CB">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CS de 2000, rapport et C&amp;R Nos 6 à 10.</w:t>
      </w:r>
    </w:p>
  </w:footnote>
  <w:footnote w:id="34">
    <w:p w14:paraId="3E1FF580" w14:textId="3A012B94"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CS de 2005, C&amp;R Nos 2 et 5.</w:t>
      </w:r>
    </w:p>
  </w:footnote>
  <w:footnote w:id="35">
    <w:p w14:paraId="48DE9DDE" w14:textId="400564EB"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693752">
        <w:rPr>
          <w:rFonts w:ascii="Raleway" w:hAnsi="Raleway"/>
          <w:sz w:val="15"/>
          <w:szCs w:val="15"/>
          <w:lang w:val="pt-PT"/>
        </w:rPr>
        <w:t xml:space="preserve"> </w:t>
      </w:r>
      <w:r w:rsidRPr="00693752">
        <w:rPr>
          <w:rFonts w:ascii="Raleway" w:hAnsi="Raleway"/>
          <w:sz w:val="15"/>
          <w:szCs w:val="15"/>
          <w:lang w:val="pt-PT"/>
        </w:rPr>
        <w:tab/>
      </w:r>
      <w:r w:rsidRPr="00DD2894">
        <w:rPr>
          <w:rFonts w:ascii="Raleway" w:hAnsi="Raleway"/>
          <w:sz w:val="15"/>
          <w:szCs w:val="15"/>
          <w:lang w:val="pt-PT"/>
        </w:rPr>
        <w:t>CS de 2010, C&amp;R No 1.</w:t>
      </w:r>
    </w:p>
  </w:footnote>
  <w:footnote w:id="36">
    <w:p w14:paraId="6AE45353" w14:textId="02EE0E7A"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r w:rsidRPr="00DD2894">
        <w:rPr>
          <w:rFonts w:ascii="Raleway" w:hAnsi="Raleway"/>
          <w:sz w:val="15"/>
          <w:szCs w:val="15"/>
          <w:lang w:val="pt-PT"/>
        </w:rPr>
        <w:t xml:space="preserve">, C&amp;R No 4. </w:t>
      </w:r>
    </w:p>
  </w:footnote>
  <w:footnote w:id="37">
    <w:p w14:paraId="2CFE4358" w14:textId="2B620247"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r w:rsidRPr="00DD2894">
        <w:rPr>
          <w:rFonts w:ascii="Raleway" w:hAnsi="Raleway"/>
          <w:sz w:val="15"/>
          <w:szCs w:val="15"/>
          <w:lang w:val="pt-PT"/>
        </w:rPr>
        <w:t>, C&amp;R Nos 1(h) et 14.</w:t>
      </w:r>
    </w:p>
  </w:footnote>
  <w:footnote w:id="38">
    <w:p w14:paraId="65CE4A8A" w14:textId="1FC55571" w:rsidR="00974DA5" w:rsidRPr="00DD2894" w:rsidRDefault="00974DA5" w:rsidP="00CD1418">
      <w:pPr>
        <w:pStyle w:val="FootnoteText"/>
        <w:ind w:left="284" w:hanging="284"/>
        <w:rPr>
          <w:rFonts w:ascii="Raleway" w:hAnsi="Raleway"/>
          <w:sz w:val="15"/>
          <w:szCs w:val="15"/>
          <w:vertAlign w:val="superscript"/>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r w:rsidRPr="00DD2894">
        <w:rPr>
          <w:rFonts w:ascii="Raleway" w:hAnsi="Raleway"/>
          <w:sz w:val="15"/>
          <w:szCs w:val="15"/>
          <w:lang w:val="pt-PT"/>
        </w:rPr>
        <w:t>, C&amp;R Nos 36 et 37(e).</w:t>
      </w:r>
    </w:p>
  </w:footnote>
  <w:footnote w:id="39">
    <w:p w14:paraId="1EFA5E4E" w14:textId="7F942789"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CS de 2022, C&amp;R No 6.</w:t>
      </w:r>
    </w:p>
  </w:footnote>
  <w:footnote w:id="40">
    <w:p w14:paraId="4EDA92FA" w14:textId="12BEEC48" w:rsidR="00974DA5" w:rsidRPr="00DD2894" w:rsidRDefault="00974DA5" w:rsidP="00055A02">
      <w:pPr>
        <w:pStyle w:val="FootnoteText"/>
        <w:ind w:left="284" w:hanging="284"/>
        <w:rPr>
          <w:rFonts w:ascii="Raleway" w:hAnsi="Raleway"/>
          <w:sz w:val="15"/>
          <w:szCs w:val="15"/>
          <w:vertAlign w:val="superscript"/>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r w:rsidRPr="00DD2894">
        <w:rPr>
          <w:rFonts w:ascii="Raleway" w:hAnsi="Raleway"/>
          <w:sz w:val="15"/>
          <w:szCs w:val="15"/>
          <w:lang w:val="pt-PT"/>
        </w:rPr>
        <w:t>, C&amp;R No 8.</w:t>
      </w:r>
    </w:p>
  </w:footnote>
  <w:footnote w:id="41">
    <w:p w14:paraId="1671B917" w14:textId="744117F1" w:rsidR="00974DA5" w:rsidRPr="00DD2894" w:rsidRDefault="00974DA5" w:rsidP="002D7AD0">
      <w:pPr>
        <w:pStyle w:val="FootnoteText"/>
        <w:ind w:left="284" w:hanging="284"/>
        <w:rPr>
          <w:rFonts w:ascii="Raleway" w:hAnsi="Raleway"/>
          <w:sz w:val="15"/>
          <w:szCs w:val="15"/>
          <w:vertAlign w:val="superscript"/>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r w:rsidRPr="00DD2894">
        <w:rPr>
          <w:rFonts w:ascii="Raleway" w:hAnsi="Raleway"/>
          <w:sz w:val="15"/>
          <w:szCs w:val="15"/>
          <w:lang w:val="pt-PT"/>
        </w:rPr>
        <w:t>.</w:t>
      </w:r>
    </w:p>
  </w:footnote>
  <w:footnote w:id="42">
    <w:p w14:paraId="6B5DE756" w14:textId="3E83D84D" w:rsidR="00974DA5" w:rsidRPr="00DD2894" w:rsidRDefault="00974DA5" w:rsidP="002E16FD">
      <w:pPr>
        <w:pStyle w:val="FootnoteText"/>
        <w:ind w:left="284" w:hanging="284"/>
        <w:rPr>
          <w:rFonts w:ascii="Raleway" w:hAnsi="Raleway"/>
          <w:sz w:val="15"/>
          <w:szCs w:val="15"/>
          <w:vertAlign w:val="superscript"/>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r w:rsidRPr="00DD2894">
        <w:rPr>
          <w:rFonts w:ascii="Raleway" w:hAnsi="Raleway"/>
          <w:sz w:val="15"/>
          <w:szCs w:val="15"/>
          <w:lang w:val="pt-PT"/>
        </w:rPr>
        <w:t>, C&amp;R No 9.</w:t>
      </w:r>
    </w:p>
  </w:footnote>
  <w:footnote w:id="43">
    <w:p w14:paraId="2AE5E038" w14:textId="228630F7" w:rsidR="00974DA5" w:rsidRPr="00DD2894" w:rsidRDefault="00974DA5" w:rsidP="00BB5492">
      <w:pPr>
        <w:pStyle w:val="FootnoteText"/>
        <w:ind w:left="284" w:hanging="284"/>
        <w:rPr>
          <w:rFonts w:ascii="Raleway" w:hAnsi="Raleway"/>
          <w:sz w:val="15"/>
          <w:szCs w:val="15"/>
          <w:vertAlign w:val="superscript"/>
        </w:rPr>
      </w:pPr>
      <w:r w:rsidRPr="001E3DBF">
        <w:rPr>
          <w:rStyle w:val="FootnoteReference"/>
          <w:rFonts w:ascii="Raleway" w:hAnsi="Raleway"/>
          <w:sz w:val="15"/>
          <w:szCs w:val="15"/>
        </w:rPr>
        <w:footnoteRef/>
      </w:r>
      <w:r w:rsidRPr="00DD2894">
        <w:rPr>
          <w:rFonts w:ascii="Raleway" w:hAnsi="Raleway"/>
          <w:sz w:val="15"/>
          <w:szCs w:val="15"/>
        </w:rPr>
        <w:t xml:space="preserve"> </w:t>
      </w:r>
      <w:r w:rsidRPr="00DD2894">
        <w:rPr>
          <w:rFonts w:ascii="Raleway" w:hAnsi="Raleway"/>
          <w:sz w:val="15"/>
          <w:szCs w:val="15"/>
        </w:rPr>
        <w:tab/>
      </w:r>
      <w:r w:rsidRPr="00DD2894">
        <w:rPr>
          <w:rFonts w:ascii="Raleway" w:hAnsi="Raleway"/>
          <w:i/>
          <w:sz w:val="15"/>
          <w:szCs w:val="15"/>
        </w:rPr>
        <w:t>Ibid.</w:t>
      </w:r>
      <w:r w:rsidRPr="00DD2894">
        <w:rPr>
          <w:rFonts w:ascii="Raleway" w:hAnsi="Raleway"/>
          <w:sz w:val="15"/>
          <w:szCs w:val="15"/>
        </w:rPr>
        <w:t>, C&amp;R No 10.</w:t>
      </w:r>
    </w:p>
  </w:footnote>
  <w:footnote w:id="44">
    <w:p w14:paraId="655D04AC" w14:textId="5578FC5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Boîte à outils sur les pratiques illicites, </w:t>
      </w:r>
      <w:r w:rsidRPr="001E3DBF">
        <w:rPr>
          <w:rFonts w:ascii="Raleway" w:hAnsi="Raleway"/>
          <w:i/>
          <w:sz w:val="15"/>
          <w:szCs w:val="15"/>
        </w:rPr>
        <w:t xml:space="preserve">supra </w:t>
      </w:r>
      <w:r w:rsidRPr="001E3DBF">
        <w:rPr>
          <w:rFonts w:ascii="Raleway" w:hAnsi="Raleway"/>
          <w:sz w:val="15"/>
          <w:szCs w:val="15"/>
        </w:rPr>
        <w:t xml:space="preserve">note </w:t>
      </w:r>
      <w:r w:rsidRPr="001E3DBF">
        <w:rPr>
          <w:rFonts w:ascii="Raleway" w:hAnsi="Raleway"/>
          <w:sz w:val="15"/>
          <w:szCs w:val="15"/>
        </w:rPr>
        <w:fldChar w:fldCharType="begin"/>
      </w:r>
      <w:r w:rsidRPr="001E3DBF">
        <w:rPr>
          <w:rFonts w:ascii="Raleway" w:hAnsi="Raleway"/>
          <w:color w:val="00B0F0"/>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sidRP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xml:space="preserve">. </w:t>
      </w:r>
    </w:p>
  </w:footnote>
  <w:footnote w:id="45">
    <w:p w14:paraId="054740DD" w14:textId="32B5B78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xml:space="preserve">, chapitre 5 et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chapitres 8 et 9.</w:t>
      </w:r>
    </w:p>
  </w:footnote>
  <w:footnote w:id="46">
    <w:p w14:paraId="20F3EF44" w14:textId="114EBBA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hyperlink r:id="rId19" w:history="1">
        <w:r w:rsidRPr="00FB76F6">
          <w:rPr>
            <w:rStyle w:val="Hyperlink"/>
            <w:rFonts w:ascii="Raleway" w:hAnsi="Raleway"/>
            <w:i/>
            <w:sz w:val="15"/>
            <w:szCs w:val="15"/>
          </w:rPr>
          <w:t>Good Practice in Economic Matters in Intercountry Adoption</w:t>
        </w:r>
      </w:hyperlink>
      <w:r>
        <w:rPr>
          <w:rFonts w:ascii="Raleway" w:hAnsi="Raleway"/>
          <w:i/>
          <w:sz w:val="15"/>
          <w:szCs w:val="15"/>
        </w:rPr>
        <w:t xml:space="preserve"> – Work Document VI </w:t>
      </w:r>
      <w:r>
        <w:rPr>
          <w:rFonts w:ascii="Raleway" w:hAnsi="Raleway"/>
          <w:sz w:val="15"/>
          <w:szCs w:val="15"/>
        </w:rPr>
        <w:t>(</w:t>
      </w:r>
      <w:r w:rsidRPr="00FB76F6">
        <w:rPr>
          <w:rFonts w:ascii="Raleway" w:hAnsi="Raleway"/>
          <w:sz w:val="15"/>
          <w:szCs w:val="15"/>
        </w:rPr>
        <w:t>La bonne pratique en ce qui concerne les aspects économiques de l</w:t>
      </w:r>
      <w:r>
        <w:rPr>
          <w:rFonts w:ascii="Raleway" w:hAnsi="Raleway"/>
          <w:sz w:val="15"/>
          <w:szCs w:val="15"/>
        </w:rPr>
        <w:t>’</w:t>
      </w:r>
      <w:r w:rsidRPr="00FB76F6">
        <w:rPr>
          <w:rFonts w:ascii="Raleway" w:hAnsi="Raleway"/>
          <w:sz w:val="15"/>
          <w:szCs w:val="15"/>
        </w:rPr>
        <w:t>adoption internationale</w:t>
      </w:r>
      <w:r>
        <w:rPr>
          <w:rFonts w:ascii="Raleway" w:hAnsi="Raleway"/>
          <w:sz w:val="15"/>
          <w:szCs w:val="15"/>
        </w:rPr>
        <w:t>)</w:t>
      </w:r>
      <w:r w:rsidRPr="001E3DBF">
        <w:rPr>
          <w:rFonts w:ascii="Raleway" w:hAnsi="Raleway"/>
          <w:sz w:val="15"/>
          <w:szCs w:val="15"/>
        </w:rPr>
        <w:t xml:space="preserve">, Doc. info. No 1 de septembre 2025, présenté par EurAdopt et le </w:t>
      </w:r>
      <w:r w:rsidRPr="001E3DBF">
        <w:rPr>
          <w:rFonts w:ascii="Raleway" w:hAnsi="Raleway"/>
          <w:i/>
          <w:iCs/>
          <w:sz w:val="15"/>
          <w:szCs w:val="15"/>
        </w:rPr>
        <w:t>Nordic Adoption Council</w:t>
      </w:r>
      <w:r w:rsidRPr="001E3DBF">
        <w:rPr>
          <w:rFonts w:ascii="Raleway" w:hAnsi="Raleway"/>
          <w:sz w:val="15"/>
          <w:szCs w:val="15"/>
        </w:rPr>
        <w:t xml:space="preserve"> à l</w:t>
      </w:r>
      <w:r>
        <w:rPr>
          <w:rFonts w:ascii="Raleway" w:hAnsi="Raleway"/>
          <w:sz w:val="15"/>
          <w:szCs w:val="15"/>
        </w:rPr>
        <w:t>’</w:t>
      </w:r>
      <w:r w:rsidRPr="001E3DBF">
        <w:rPr>
          <w:rFonts w:ascii="Raleway" w:hAnsi="Raleway"/>
          <w:sz w:val="15"/>
          <w:szCs w:val="15"/>
        </w:rPr>
        <w:t>intention de la CS de 2005 (en anglais uniquement).</w:t>
      </w:r>
    </w:p>
  </w:footnote>
  <w:footnote w:id="47">
    <w:p w14:paraId="342A5F60" w14:textId="32B3637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Cinquième Conférence internationale sur l</w:t>
      </w:r>
      <w:r>
        <w:rPr>
          <w:rFonts w:ascii="Raleway" w:hAnsi="Raleway"/>
          <w:sz w:val="15"/>
          <w:szCs w:val="15"/>
        </w:rPr>
        <w:t>’</w:t>
      </w:r>
      <w:r w:rsidRPr="001E3DBF">
        <w:rPr>
          <w:rFonts w:ascii="Raleway" w:hAnsi="Raleway"/>
          <w:sz w:val="15"/>
          <w:szCs w:val="15"/>
        </w:rPr>
        <w:t xml:space="preserve">enfant africain, </w:t>
      </w:r>
      <w:hyperlink r:id="rId20" w:history="1">
        <w:r w:rsidRPr="0005602C">
          <w:rPr>
            <w:rStyle w:val="Hyperlink"/>
            <w:rFonts w:ascii="Raleway" w:hAnsi="Raleway"/>
            <w:i/>
            <w:iCs/>
            <w:sz w:val="15"/>
            <w:szCs w:val="15"/>
          </w:rPr>
          <w:t>Guidelines for Action on Intercountry Adoption of Children in Africa</w:t>
        </w:r>
      </w:hyperlink>
      <w:r>
        <w:rPr>
          <w:rFonts w:ascii="Raleway" w:hAnsi="Raleway"/>
          <w:i/>
          <w:iCs/>
          <w:sz w:val="15"/>
          <w:szCs w:val="15"/>
        </w:rPr>
        <w:t xml:space="preserve"> </w:t>
      </w:r>
      <w:r w:rsidRPr="001E3DBF">
        <w:rPr>
          <w:rFonts w:ascii="Raleway" w:hAnsi="Raleway"/>
          <w:sz w:val="15"/>
          <w:szCs w:val="15"/>
        </w:rPr>
        <w:t>(</w:t>
      </w:r>
      <w:r w:rsidRPr="0005602C">
        <w:rPr>
          <w:rFonts w:ascii="Raleway" w:hAnsi="Raleway"/>
          <w:i/>
          <w:sz w:val="15"/>
          <w:szCs w:val="15"/>
        </w:rPr>
        <w:t>Lignes directrices en matière d</w:t>
      </w:r>
      <w:r>
        <w:rPr>
          <w:rFonts w:ascii="Raleway" w:hAnsi="Raleway"/>
          <w:i/>
          <w:sz w:val="15"/>
          <w:szCs w:val="15"/>
        </w:rPr>
        <w:t>’</w:t>
      </w:r>
      <w:r w:rsidRPr="0005602C">
        <w:rPr>
          <w:rFonts w:ascii="Raleway" w:hAnsi="Raleway"/>
          <w:i/>
          <w:sz w:val="15"/>
          <w:szCs w:val="15"/>
        </w:rPr>
        <w:t>adoption internationale en Afrique</w:t>
      </w:r>
      <w:r w:rsidRPr="001E3DBF">
        <w:rPr>
          <w:rFonts w:ascii="Raleway" w:hAnsi="Raleway"/>
          <w:sz w:val="15"/>
          <w:szCs w:val="15"/>
        </w:rPr>
        <w:t>), Addis-Abeba, 29 et 30 mai 2012 (ci-après, les « Lignes directrices de la Conférence internationale sur l</w:t>
      </w:r>
      <w:r>
        <w:rPr>
          <w:rFonts w:ascii="Raleway" w:hAnsi="Raleway"/>
          <w:sz w:val="15"/>
          <w:szCs w:val="15"/>
        </w:rPr>
        <w:t>’</w:t>
      </w:r>
      <w:r w:rsidRPr="001E3DBF">
        <w:rPr>
          <w:rFonts w:ascii="Raleway" w:hAnsi="Raleway"/>
          <w:sz w:val="15"/>
          <w:szCs w:val="15"/>
        </w:rPr>
        <w:t>enfant africain »)</w:t>
      </w:r>
      <w:r>
        <w:rPr>
          <w:rFonts w:ascii="Raleway" w:hAnsi="Raleway"/>
          <w:sz w:val="15"/>
          <w:szCs w:val="15"/>
        </w:rPr>
        <w:t xml:space="preserve"> (en anglais uniquement)</w:t>
      </w:r>
      <w:r w:rsidRPr="001E3DBF">
        <w:rPr>
          <w:rFonts w:ascii="Raleway" w:hAnsi="Raleway"/>
          <w:sz w:val="15"/>
          <w:szCs w:val="15"/>
        </w:rPr>
        <w:t>.</w:t>
      </w:r>
    </w:p>
  </w:footnote>
  <w:footnote w:id="48">
    <w:p w14:paraId="4C81B67B" w14:textId="0D08EC82" w:rsidR="00974DA5" w:rsidRPr="001E3DBF" w:rsidRDefault="00974DA5" w:rsidP="00CD1418">
      <w:pPr>
        <w:pStyle w:val="FootnoteText"/>
        <w:ind w:left="284" w:hanging="284"/>
        <w:rPr>
          <w:rFonts w:ascii="Raleway" w:eastAsia="Aptos" w:hAnsi="Raleway" w:cs="Times New Roman"/>
          <w:kern w:val="2"/>
          <w:sz w:val="15"/>
          <w:szCs w:val="15"/>
          <w14:ligatures w14:val="standardContextual"/>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sz w:val="15"/>
          <w:szCs w:val="15"/>
        </w:rPr>
        <w:t>Belgique,</w:t>
      </w:r>
      <w:r w:rsidRPr="001E3DBF">
        <w:rPr>
          <w:rFonts w:ascii="Raleway" w:hAnsi="Raleway"/>
          <w:sz w:val="15"/>
          <w:szCs w:val="15"/>
        </w:rPr>
        <w:t xml:space="preserve"> Rapport </w:t>
      </w:r>
      <w:r>
        <w:rPr>
          <w:rFonts w:ascii="Raleway" w:hAnsi="Raleway"/>
          <w:sz w:val="15"/>
          <w:szCs w:val="15"/>
        </w:rPr>
        <w:t xml:space="preserve">flamand,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sidRPr="001E3DBF">
        <w:rPr>
          <w:rFonts w:ascii="Raleway" w:hAnsi="Raleway"/>
          <w:sz w:val="15"/>
          <w:szCs w:val="15"/>
        </w:rPr>
        <w:t> ; Danemark (</w:t>
      </w:r>
      <w:hyperlink r:id="rId21" w:history="1">
        <w:r w:rsidRPr="001E3DBF">
          <w:rPr>
            <w:rFonts w:ascii="Raleway" w:hAnsi="Raleway"/>
            <w:i/>
            <w:color w:val="024987"/>
            <w:sz w:val="15"/>
            <w:szCs w:val="15"/>
            <w:u w:val="single"/>
          </w:rPr>
          <w:t>Adoptionsformidlingen fra Sydkorea til Danmark i 1970</w:t>
        </w:r>
        <w:r>
          <w:rPr>
            <w:rFonts w:ascii="Raleway" w:hAnsi="Raleway"/>
            <w:i/>
            <w:color w:val="024987"/>
            <w:sz w:val="15"/>
            <w:szCs w:val="15"/>
            <w:u w:val="single"/>
          </w:rPr>
          <w:t>’</w:t>
        </w:r>
        <w:r w:rsidRPr="001E3DBF">
          <w:rPr>
            <w:rFonts w:ascii="Raleway" w:hAnsi="Raleway"/>
            <w:i/>
            <w:color w:val="024987"/>
            <w:sz w:val="15"/>
            <w:szCs w:val="15"/>
            <w:u w:val="single"/>
          </w:rPr>
          <w:t>erne og 1980</w:t>
        </w:r>
        <w:r>
          <w:rPr>
            <w:rFonts w:ascii="Raleway" w:hAnsi="Raleway"/>
            <w:i/>
            <w:color w:val="024987"/>
            <w:sz w:val="15"/>
            <w:szCs w:val="15"/>
            <w:u w:val="single"/>
          </w:rPr>
          <w:t>’</w:t>
        </w:r>
        <w:r w:rsidRPr="001E3DBF">
          <w:rPr>
            <w:rFonts w:ascii="Raleway" w:hAnsi="Raleway"/>
            <w:i/>
            <w:color w:val="024987"/>
            <w:sz w:val="15"/>
            <w:szCs w:val="15"/>
            <w:u w:val="single"/>
          </w:rPr>
          <w:t>erne</w:t>
        </w:r>
      </w:hyperlink>
      <w:r w:rsidRPr="001E3DBF">
        <w:rPr>
          <w:rFonts w:ascii="Raleway" w:hAnsi="Raleway"/>
          <w:sz w:val="15"/>
          <w:szCs w:val="15"/>
        </w:rPr>
        <w:t xml:space="preserve"> (L</w:t>
      </w:r>
      <w:r>
        <w:rPr>
          <w:rFonts w:ascii="Raleway" w:hAnsi="Raleway"/>
          <w:sz w:val="15"/>
          <w:szCs w:val="15"/>
        </w:rPr>
        <w:t>’</w:t>
      </w:r>
      <w:r w:rsidRPr="001E3DBF">
        <w:rPr>
          <w:rFonts w:ascii="Raleway" w:hAnsi="Raleway"/>
          <w:sz w:val="15"/>
          <w:szCs w:val="15"/>
        </w:rPr>
        <w:t xml:space="preserve">adoption entre la Corée du Sud et le Danemark dans les années 1970 et 1980), 2024) ; </w:t>
      </w:r>
      <w:r>
        <w:rPr>
          <w:rFonts w:ascii="Raleway" w:hAnsi="Raleway"/>
          <w:sz w:val="15"/>
          <w:szCs w:val="15"/>
        </w:rPr>
        <w:t>France,</w:t>
      </w:r>
      <w:r w:rsidRPr="001E3DBF">
        <w:rPr>
          <w:rFonts w:ascii="Raleway" w:hAnsi="Raleway"/>
          <w:sz w:val="15"/>
          <w:szCs w:val="15"/>
        </w:rPr>
        <w:t xml:space="preserve"> </w:t>
      </w:r>
      <w:r>
        <w:rPr>
          <w:rFonts w:ascii="Raleway" w:hAnsi="Raleway"/>
          <w:sz w:val="15"/>
          <w:szCs w:val="15"/>
        </w:rPr>
        <w:t xml:space="preserve">Rapport français,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sidRPr="001E3DBF">
        <w:rPr>
          <w:rFonts w:ascii="Raleway" w:hAnsi="Raleway"/>
          <w:sz w:val="15"/>
          <w:szCs w:val="15"/>
        </w:rPr>
        <w:t> ; Norvège (</w:t>
      </w:r>
      <w:hyperlink r:id="rId22" w:history="1">
        <w:r w:rsidRPr="001E3DBF">
          <w:rPr>
            <w:rFonts w:ascii="Raleway" w:hAnsi="Raleway"/>
            <w:i/>
            <w:color w:val="024987"/>
            <w:sz w:val="15"/>
            <w:szCs w:val="15"/>
            <w:u w:val="single"/>
          </w:rPr>
          <w:t>Vurdering av midlertidig stans av utenlandsadopsjon</w:t>
        </w:r>
      </w:hyperlink>
      <w:r w:rsidRPr="001E3DBF">
        <w:rPr>
          <w:rFonts w:ascii="Raleway" w:hAnsi="Raleway"/>
          <w:sz w:val="15"/>
          <w:szCs w:val="15"/>
        </w:rPr>
        <w:t xml:space="preserve"> (Évaluation d</w:t>
      </w:r>
      <w:r>
        <w:rPr>
          <w:rFonts w:ascii="Raleway" w:hAnsi="Raleway"/>
          <w:sz w:val="15"/>
          <w:szCs w:val="15"/>
        </w:rPr>
        <w:t>’</w:t>
      </w:r>
      <w:r w:rsidRPr="001E3DBF">
        <w:rPr>
          <w:rFonts w:ascii="Raleway" w:hAnsi="Raleway"/>
          <w:sz w:val="15"/>
          <w:szCs w:val="15"/>
        </w:rPr>
        <w:t>une suspension temporaire des adoptions internationales, Recommandation du ministère des Enfants et des Affaires familiales) (Bufdir), 2024) ; Norvège (</w:t>
      </w:r>
      <w:hyperlink r:id="rId23" w:history="1">
        <w:r w:rsidRPr="001E3DBF">
          <w:rPr>
            <w:rFonts w:ascii="Raleway" w:hAnsi="Raleway"/>
            <w:color w:val="024987"/>
            <w:sz w:val="15"/>
            <w:szCs w:val="15"/>
            <w:u w:val="single"/>
          </w:rPr>
          <w:t>Rapport</w:t>
        </w:r>
      </w:hyperlink>
      <w:r w:rsidRPr="001E3DBF">
        <w:rPr>
          <w:rFonts w:ascii="Raleway" w:hAnsi="Raleway"/>
          <w:sz w:val="15"/>
          <w:szCs w:val="15"/>
        </w:rPr>
        <w:t xml:space="preserve"> provisoire contenant des enquêtes préliminaires en matière d</w:t>
      </w:r>
      <w:r>
        <w:rPr>
          <w:rFonts w:ascii="Raleway" w:hAnsi="Raleway"/>
          <w:sz w:val="15"/>
          <w:szCs w:val="15"/>
        </w:rPr>
        <w:t>’</w:t>
      </w:r>
      <w:r w:rsidRPr="001E3DBF">
        <w:rPr>
          <w:rFonts w:ascii="Raleway" w:hAnsi="Raleway"/>
          <w:sz w:val="15"/>
          <w:szCs w:val="15"/>
        </w:rPr>
        <w:t>adoption depuis la Colombie et l</w:t>
      </w:r>
      <w:r>
        <w:rPr>
          <w:rFonts w:ascii="Raleway" w:hAnsi="Raleway"/>
          <w:sz w:val="15"/>
          <w:szCs w:val="15"/>
        </w:rPr>
        <w:t>’</w:t>
      </w:r>
      <w:r w:rsidRPr="001E3DBF">
        <w:rPr>
          <w:rFonts w:ascii="Raleway" w:hAnsi="Raleway"/>
          <w:sz w:val="15"/>
          <w:szCs w:val="15"/>
        </w:rPr>
        <w:t>Équateur, ministère norvégien des Enfants et des Familles, janvier 2025) ; Pays-Bas</w:t>
      </w:r>
      <w:r>
        <w:rPr>
          <w:rFonts w:ascii="Raleway" w:hAnsi="Raleway"/>
          <w:sz w:val="15"/>
          <w:szCs w:val="15"/>
        </w:rPr>
        <w:t xml:space="preserve">, Rapport néerlandais,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Pr>
          <w:rFonts w:ascii="Raleway" w:hAnsi="Raleway"/>
          <w:sz w:val="15"/>
          <w:szCs w:val="15"/>
        </w:rPr>
        <w:t> </w:t>
      </w:r>
      <w:r w:rsidRPr="001E3DBF">
        <w:rPr>
          <w:rFonts w:ascii="Raleway" w:hAnsi="Raleway"/>
          <w:sz w:val="15"/>
          <w:szCs w:val="15"/>
        </w:rPr>
        <w:t>; Suède</w:t>
      </w:r>
      <w:r>
        <w:rPr>
          <w:rFonts w:ascii="Raleway" w:hAnsi="Raleway"/>
          <w:sz w:val="15"/>
          <w:szCs w:val="15"/>
        </w:rPr>
        <w:t xml:space="preserve">, Rapport suédois,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Pr>
          <w:rFonts w:ascii="Raleway" w:hAnsi="Raleway"/>
          <w:sz w:val="15"/>
          <w:szCs w:val="15"/>
        </w:rPr>
        <w:t> </w:t>
      </w:r>
      <w:r w:rsidRPr="001E3DBF">
        <w:rPr>
          <w:rFonts w:ascii="Raleway" w:hAnsi="Raleway"/>
          <w:sz w:val="15"/>
          <w:szCs w:val="15"/>
        </w:rPr>
        <w:t>; Suisse</w:t>
      </w:r>
      <w:r>
        <w:rPr>
          <w:rFonts w:ascii="Raleway" w:hAnsi="Raleway"/>
          <w:sz w:val="15"/>
          <w:szCs w:val="15"/>
        </w:rPr>
        <w:t xml:space="preserve">, Rapport suisse,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Pr>
          <w:rFonts w:ascii="Raleway" w:hAnsi="Raleway"/>
          <w:sz w:val="15"/>
          <w:szCs w:val="15"/>
        </w:rPr>
        <w:t> </w:t>
      </w:r>
      <w:r w:rsidRPr="001E3DBF">
        <w:rPr>
          <w:rFonts w:ascii="Raleway" w:hAnsi="Raleway"/>
          <w:sz w:val="15"/>
          <w:szCs w:val="15"/>
        </w:rPr>
        <w:t xml:space="preserve">; Voir aussi </w:t>
      </w:r>
      <w:r>
        <w:rPr>
          <w:rFonts w:ascii="Raleway" w:hAnsi="Raleway"/>
          <w:sz w:val="15"/>
          <w:szCs w:val="15"/>
        </w:rPr>
        <w:t xml:space="preserve">Rapport de la </w:t>
      </w:r>
      <w:r w:rsidRPr="001E3DBF">
        <w:rPr>
          <w:rFonts w:ascii="Raleway" w:hAnsi="Raleway"/>
          <w:sz w:val="15"/>
          <w:szCs w:val="15"/>
        </w:rPr>
        <w:t>Rapporteuse spéciale sur la vente d</w:t>
      </w:r>
      <w:r>
        <w:rPr>
          <w:rFonts w:ascii="Raleway" w:hAnsi="Raleway"/>
          <w:sz w:val="15"/>
          <w:szCs w:val="15"/>
        </w:rPr>
        <w:t>’</w:t>
      </w:r>
      <w:r w:rsidRPr="001E3DBF">
        <w:rPr>
          <w:rFonts w:ascii="Raleway" w:hAnsi="Raleway"/>
          <w:sz w:val="15"/>
          <w:szCs w:val="15"/>
        </w:rPr>
        <w:t>enfants, la prostitution des enfants et la pornographie mettant en scène des enfants</w:t>
      </w:r>
      <w:r>
        <w:rPr>
          <w:rFonts w:ascii="Raleway" w:hAnsi="Raleway"/>
          <w:sz w:val="15"/>
          <w:szCs w:val="15"/>
        </w:rPr>
        <w:t xml:space="preserve">,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sidRPr="001E3DBF">
        <w:rPr>
          <w:rFonts w:ascii="Raleway" w:hAnsi="Raleway"/>
          <w:sz w:val="15"/>
          <w:szCs w:val="15"/>
        </w:rPr>
        <w:t>.</w:t>
      </w:r>
    </w:p>
  </w:footnote>
  <w:footnote w:id="49">
    <w:p w14:paraId="5A8A5084" w14:textId="2390859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J.H.A. van Loon, </w:t>
      </w:r>
      <w:hyperlink r:id="rId24" w:history="1">
        <w:r w:rsidRPr="001E3DBF">
          <w:rPr>
            <w:rStyle w:val="Hyperlink"/>
            <w:rFonts w:ascii="Raleway" w:hAnsi="Raleway"/>
            <w:i/>
            <w:sz w:val="15"/>
            <w:szCs w:val="15"/>
          </w:rPr>
          <w:t>Rapport sur l</w:t>
        </w:r>
        <w:r>
          <w:rPr>
            <w:rStyle w:val="Hyperlink"/>
            <w:rFonts w:ascii="Raleway" w:hAnsi="Raleway"/>
            <w:i/>
            <w:sz w:val="15"/>
            <w:szCs w:val="15"/>
          </w:rPr>
          <w:t>’</w:t>
        </w:r>
        <w:r w:rsidRPr="001E3DBF">
          <w:rPr>
            <w:rStyle w:val="Hyperlink"/>
            <w:rFonts w:ascii="Raleway" w:hAnsi="Raleway"/>
            <w:i/>
            <w:sz w:val="15"/>
            <w:szCs w:val="15"/>
          </w:rPr>
          <w:t>adoption d</w:t>
        </w:r>
        <w:r>
          <w:rPr>
            <w:rStyle w:val="Hyperlink"/>
            <w:rFonts w:ascii="Raleway" w:hAnsi="Raleway"/>
            <w:i/>
            <w:sz w:val="15"/>
            <w:szCs w:val="15"/>
          </w:rPr>
          <w:t>’</w:t>
        </w:r>
        <w:r w:rsidRPr="001E3DBF">
          <w:rPr>
            <w:rStyle w:val="Hyperlink"/>
            <w:rFonts w:ascii="Raleway" w:hAnsi="Raleway"/>
            <w:i/>
            <w:sz w:val="15"/>
            <w:szCs w:val="15"/>
          </w:rPr>
          <w:t>enfants originaires de l</w:t>
        </w:r>
        <w:r>
          <w:rPr>
            <w:rStyle w:val="Hyperlink"/>
            <w:rFonts w:ascii="Raleway" w:hAnsi="Raleway"/>
            <w:i/>
            <w:sz w:val="15"/>
            <w:szCs w:val="15"/>
          </w:rPr>
          <w:t>’</w:t>
        </w:r>
        <w:r w:rsidRPr="001E3DBF">
          <w:rPr>
            <w:rStyle w:val="Hyperlink"/>
            <w:rFonts w:ascii="Raleway" w:hAnsi="Raleway"/>
            <w:i/>
            <w:sz w:val="15"/>
            <w:szCs w:val="15"/>
          </w:rPr>
          <w:t>étranger de 1990</w:t>
        </w:r>
      </w:hyperlink>
      <w:r w:rsidRPr="001E3DBF">
        <w:rPr>
          <w:rFonts w:ascii="Raleway" w:hAnsi="Raleway"/>
          <w:sz w:val="15"/>
          <w:szCs w:val="15"/>
        </w:rPr>
        <w:t>, Doc. info. No 1 d</w:t>
      </w:r>
      <w:r>
        <w:rPr>
          <w:rFonts w:ascii="Raleway" w:hAnsi="Raleway"/>
          <w:sz w:val="15"/>
          <w:szCs w:val="15"/>
        </w:rPr>
        <w:t>’</w:t>
      </w:r>
      <w:r w:rsidRPr="001E3DBF">
        <w:rPr>
          <w:rFonts w:ascii="Raleway" w:hAnsi="Raleway"/>
          <w:sz w:val="15"/>
          <w:szCs w:val="15"/>
        </w:rPr>
        <w:t xml:space="preserve">avril 1990 in HCCH, </w:t>
      </w:r>
      <w:r w:rsidRPr="001E3DBF">
        <w:rPr>
          <w:rFonts w:ascii="Raleway" w:hAnsi="Raleway"/>
          <w:i/>
          <w:sz w:val="15"/>
          <w:szCs w:val="15"/>
        </w:rPr>
        <w:t>Actes et documents de la Dix-septième session</w:t>
      </w:r>
      <w:r w:rsidRPr="001E3DBF">
        <w:rPr>
          <w:rFonts w:ascii="Raleway" w:hAnsi="Raleway"/>
          <w:sz w:val="15"/>
          <w:szCs w:val="15"/>
        </w:rPr>
        <w:t xml:space="preserve">, 1993, Tome II, </w:t>
      </w:r>
      <w:r w:rsidRPr="001E3DBF">
        <w:rPr>
          <w:rFonts w:ascii="Raleway" w:hAnsi="Raleway"/>
          <w:i/>
          <w:sz w:val="15"/>
          <w:szCs w:val="15"/>
        </w:rPr>
        <w:t xml:space="preserve">Adoption </w:t>
      </w:r>
      <w:r>
        <w:rPr>
          <w:rFonts w:ascii="Raleway" w:hAnsi="Raleway"/>
          <w:i/>
          <w:sz w:val="15"/>
          <w:szCs w:val="15"/>
        </w:rPr>
        <w:t>–</w:t>
      </w:r>
      <w:r w:rsidRPr="001E3DBF">
        <w:rPr>
          <w:rFonts w:ascii="Raleway" w:hAnsi="Raleway"/>
          <w:i/>
          <w:sz w:val="15"/>
          <w:szCs w:val="15"/>
        </w:rPr>
        <w:t xml:space="preserve"> coopération</w:t>
      </w:r>
      <w:r w:rsidRPr="001E3DBF">
        <w:rPr>
          <w:rFonts w:ascii="Raleway" w:hAnsi="Raleway"/>
          <w:sz w:val="15"/>
          <w:szCs w:val="15"/>
        </w:rPr>
        <w:t xml:space="preserve">, </w:t>
      </w:r>
      <w:r>
        <w:rPr>
          <w:rFonts w:ascii="Raleway" w:hAnsi="Raleway"/>
          <w:sz w:val="15"/>
          <w:szCs w:val="15"/>
        </w:rPr>
        <w:t xml:space="preserve">(ci-après, « Rapport van Loon »), </w:t>
      </w:r>
      <w:r w:rsidRPr="001E3DBF">
        <w:rPr>
          <w:rFonts w:ascii="Raleway" w:hAnsi="Raleway"/>
          <w:sz w:val="15"/>
          <w:szCs w:val="15"/>
        </w:rPr>
        <w:t>para. 8</w:t>
      </w:r>
      <w:r>
        <w:rPr>
          <w:rFonts w:ascii="Raleway" w:hAnsi="Raleway"/>
          <w:sz w:val="15"/>
          <w:szCs w:val="15"/>
        </w:rPr>
        <w:t>1 dans lequel il est dit que « </w:t>
      </w:r>
      <w:r w:rsidRPr="001E3DBF">
        <w:rPr>
          <w:rFonts w:ascii="Raleway" w:hAnsi="Raleway"/>
          <w:sz w:val="15"/>
          <w:szCs w:val="15"/>
        </w:rPr>
        <w:t>[l]e trafic d</w:t>
      </w:r>
      <w:r>
        <w:rPr>
          <w:rFonts w:ascii="Raleway" w:hAnsi="Raleway"/>
          <w:sz w:val="15"/>
          <w:szCs w:val="15"/>
        </w:rPr>
        <w:t>’</w:t>
      </w:r>
      <w:r w:rsidRPr="001E3DBF">
        <w:rPr>
          <w:rFonts w:ascii="Raleway" w:hAnsi="Raleway"/>
          <w:sz w:val="15"/>
          <w:szCs w:val="15"/>
        </w:rPr>
        <w:t xml:space="preserve">enfants se traduit par un bénéfice pour les intermédiaires, littéralement aux dépens des parents </w:t>
      </w:r>
      <w:r w:rsidR="00CE0AA3">
        <w:rPr>
          <w:rFonts w:ascii="Raleway" w:hAnsi="Raleway"/>
          <w:sz w:val="15"/>
          <w:szCs w:val="15"/>
        </w:rPr>
        <w:t>[d’origine]</w:t>
      </w:r>
      <w:r w:rsidR="00CE0AA3" w:rsidRPr="001E3DBF">
        <w:rPr>
          <w:rFonts w:ascii="Raleway" w:hAnsi="Raleway"/>
          <w:sz w:val="15"/>
          <w:szCs w:val="15"/>
        </w:rPr>
        <w:t xml:space="preserve"> </w:t>
      </w:r>
      <w:r w:rsidRPr="001E3DBF">
        <w:rPr>
          <w:rFonts w:ascii="Raleway" w:hAnsi="Raleway"/>
          <w:sz w:val="15"/>
          <w:szCs w:val="15"/>
        </w:rPr>
        <w:t>et des adoptants (dans la mesure où ceux-ci agissent de bonne foi) et, dans un sens plus large, de l</w:t>
      </w:r>
      <w:r>
        <w:rPr>
          <w:rFonts w:ascii="Raleway" w:hAnsi="Raleway"/>
          <w:sz w:val="15"/>
          <w:szCs w:val="15"/>
        </w:rPr>
        <w:t>’</w:t>
      </w:r>
      <w:r w:rsidRPr="001E3DBF">
        <w:rPr>
          <w:rFonts w:ascii="Raleway" w:hAnsi="Raleway"/>
          <w:sz w:val="15"/>
          <w:szCs w:val="15"/>
        </w:rPr>
        <w:t>enfant également ». Ce rapport s</w:t>
      </w:r>
      <w:r>
        <w:rPr>
          <w:rFonts w:ascii="Raleway" w:hAnsi="Raleway"/>
          <w:sz w:val="15"/>
          <w:szCs w:val="15"/>
        </w:rPr>
        <w:t>’</w:t>
      </w:r>
      <w:r w:rsidRPr="001E3DBF">
        <w:rPr>
          <w:rFonts w:ascii="Raleway" w:hAnsi="Raleway"/>
          <w:sz w:val="15"/>
          <w:szCs w:val="15"/>
        </w:rPr>
        <w:t xml:space="preserve">est avéré indispensable aux travaux sur la Convention et ses garanties. Voir aussi le Rapport </w:t>
      </w:r>
      <w:r>
        <w:rPr>
          <w:rFonts w:ascii="Raleway" w:hAnsi="Raleway"/>
          <w:sz w:val="15"/>
          <w:szCs w:val="15"/>
        </w:rPr>
        <w:t>néerlandais</w:t>
      </w:r>
      <w:r w:rsidRPr="001E3DBF">
        <w:rPr>
          <w:rFonts w:ascii="Raleway" w:hAnsi="Raleway"/>
          <w:sz w:val="15"/>
          <w:szCs w:val="15"/>
        </w:rPr>
        <w:t xml:space="preserve"> de 2021,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128 à 130.</w:t>
      </w:r>
    </w:p>
  </w:footnote>
  <w:footnote w:id="50">
    <w:p w14:paraId="0B540D22" w14:textId="4245B96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Rapport van Loon,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_Ref142552859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48</w:t>
      </w:r>
      <w:r w:rsidRPr="001E3DBF">
        <w:rPr>
          <w:rFonts w:ascii="Raleway" w:hAnsi="Raleway"/>
          <w:sz w:val="15"/>
          <w:szCs w:val="15"/>
        </w:rPr>
        <w:fldChar w:fldCharType="end"/>
      </w:r>
      <w:r w:rsidRPr="001E3DBF">
        <w:rPr>
          <w:rFonts w:ascii="Raleway" w:hAnsi="Raleway"/>
          <w:sz w:val="15"/>
          <w:szCs w:val="15"/>
        </w:rPr>
        <w:t>, para. 79 : des considérations telles que « [l]a santé, le poid</w:t>
      </w:r>
      <w:r>
        <w:rPr>
          <w:rFonts w:ascii="Raleway" w:hAnsi="Raleway"/>
          <w:sz w:val="15"/>
          <w:szCs w:val="15"/>
        </w:rPr>
        <w:t>[</w:t>
      </w:r>
      <w:r w:rsidRPr="001E3DBF">
        <w:rPr>
          <w:rFonts w:ascii="Raleway" w:hAnsi="Raleway"/>
          <w:sz w:val="15"/>
          <w:szCs w:val="15"/>
        </w:rPr>
        <w:t>s</w:t>
      </w:r>
      <w:r>
        <w:rPr>
          <w:rFonts w:ascii="Raleway" w:hAnsi="Raleway"/>
          <w:sz w:val="15"/>
          <w:szCs w:val="15"/>
        </w:rPr>
        <w:t>]</w:t>
      </w:r>
      <w:r w:rsidRPr="001E3DBF">
        <w:rPr>
          <w:rFonts w:ascii="Raleway" w:hAnsi="Raleway"/>
          <w:sz w:val="15"/>
          <w:szCs w:val="15"/>
        </w:rPr>
        <w:t>, le sexe, la coule</w:t>
      </w:r>
      <w:r>
        <w:rPr>
          <w:rFonts w:ascii="Raleway" w:hAnsi="Raleway"/>
          <w:sz w:val="15"/>
          <w:szCs w:val="15"/>
        </w:rPr>
        <w:t>ur des yeux, l’origine sociale</w:t>
      </w:r>
      <w:r w:rsidRPr="001E3DBF">
        <w:rPr>
          <w:rFonts w:ascii="Raleway" w:hAnsi="Raleway"/>
          <w:sz w:val="15"/>
          <w:szCs w:val="15"/>
        </w:rPr>
        <w:t>, sont autant d</w:t>
      </w:r>
      <w:r>
        <w:rPr>
          <w:rFonts w:ascii="Raleway" w:hAnsi="Raleway"/>
          <w:sz w:val="15"/>
          <w:szCs w:val="15"/>
        </w:rPr>
        <w:t>’</w:t>
      </w:r>
      <w:r w:rsidRPr="001E3DBF">
        <w:rPr>
          <w:rFonts w:ascii="Raleway" w:hAnsi="Raleway"/>
          <w:sz w:val="15"/>
          <w:szCs w:val="15"/>
        </w:rPr>
        <w:t>éléments qui peuvent influer sur le prix de l</w:t>
      </w:r>
      <w:r>
        <w:rPr>
          <w:rFonts w:ascii="Raleway" w:hAnsi="Raleway"/>
          <w:sz w:val="15"/>
          <w:szCs w:val="15"/>
        </w:rPr>
        <w:t>’</w:t>
      </w:r>
      <w:r w:rsidRPr="001E3DBF">
        <w:rPr>
          <w:rFonts w:ascii="Raleway" w:hAnsi="Raleway"/>
          <w:sz w:val="15"/>
          <w:szCs w:val="15"/>
        </w:rPr>
        <w:t xml:space="preserve">enfant » ; voir les études mentionnées par M. Brehm, </w:t>
      </w:r>
      <w:r w:rsidRPr="001E3DBF">
        <w:rPr>
          <w:rFonts w:ascii="Raleway" w:hAnsi="Raleway"/>
          <w:i/>
          <w:iCs/>
          <w:sz w:val="15"/>
          <w:szCs w:val="15"/>
        </w:rPr>
        <w:t>The economics of adoption</w:t>
      </w:r>
      <w:r w:rsidRPr="001E3DBF">
        <w:rPr>
          <w:rFonts w:ascii="Raleway" w:hAnsi="Raleway"/>
          <w:sz w:val="15"/>
          <w:szCs w:val="15"/>
        </w:rPr>
        <w:t xml:space="preserve"> in </w:t>
      </w:r>
      <w:r w:rsidRPr="001E3DBF">
        <w:rPr>
          <w:rFonts w:ascii="Raleway" w:hAnsi="Raleway"/>
          <w:i/>
          <w:iCs/>
          <w:sz w:val="15"/>
          <w:szCs w:val="15"/>
        </w:rPr>
        <w:t>Research Handbook on Adoption Law</w:t>
      </w:r>
      <w:r w:rsidRPr="001E3DBF">
        <w:rPr>
          <w:rFonts w:ascii="Raleway" w:hAnsi="Raleway"/>
          <w:sz w:val="15"/>
          <w:szCs w:val="15"/>
        </w:rPr>
        <w:t>, 2023, p. 69.</w:t>
      </w:r>
      <w:r w:rsidR="00E6549D">
        <w:rPr>
          <w:rFonts w:ascii="Raleway" w:hAnsi="Raleway"/>
          <w:sz w:val="15"/>
          <w:szCs w:val="15"/>
        </w:rPr>
        <w:t xml:space="preserve"> </w:t>
      </w:r>
    </w:p>
  </w:footnote>
  <w:footnote w:id="51">
    <w:p w14:paraId="7DEDDE6E" w14:textId="50E1123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discussion entre E. Bartholet et D. Smolin, extrait de </w:t>
      </w:r>
      <w:r w:rsidRPr="001E3DBF">
        <w:rPr>
          <w:rFonts w:ascii="Raleway" w:hAnsi="Raleway"/>
          <w:i/>
          <w:sz w:val="15"/>
          <w:szCs w:val="15"/>
        </w:rPr>
        <w:t>Intercountry adoption: P</w:t>
      </w:r>
      <w:r>
        <w:rPr>
          <w:rFonts w:ascii="Raleway" w:hAnsi="Raleway"/>
          <w:i/>
          <w:sz w:val="15"/>
          <w:szCs w:val="15"/>
        </w:rPr>
        <w:t>olicies, Practices and Outcomes</w:t>
      </w:r>
      <w:r w:rsidRPr="001E3DBF">
        <w:rPr>
          <w:rFonts w:ascii="Raleway" w:hAnsi="Raleway"/>
          <w:sz w:val="15"/>
          <w:szCs w:val="15"/>
        </w:rPr>
        <w:t>, J.L.</w:t>
      </w:r>
      <w:r>
        <w:rPr>
          <w:rFonts w:ascii="Raleway" w:hAnsi="Raleway"/>
          <w:sz w:val="15"/>
          <w:szCs w:val="15"/>
        </w:rPr>
        <w:t> </w:t>
      </w:r>
      <w:r w:rsidRPr="001E3DBF">
        <w:rPr>
          <w:rFonts w:ascii="Raleway" w:hAnsi="Raleway"/>
          <w:sz w:val="15"/>
          <w:szCs w:val="15"/>
        </w:rPr>
        <w:t xml:space="preserve">Gibbons </w:t>
      </w:r>
      <w:r>
        <w:rPr>
          <w:rFonts w:ascii="Raleway" w:hAnsi="Raleway"/>
          <w:sz w:val="15"/>
          <w:szCs w:val="15"/>
        </w:rPr>
        <w:t>et</w:t>
      </w:r>
      <w:r w:rsidRPr="001E3DBF">
        <w:rPr>
          <w:rFonts w:ascii="Raleway" w:hAnsi="Raleway"/>
          <w:sz w:val="15"/>
          <w:szCs w:val="15"/>
        </w:rPr>
        <w:t xml:space="preserve"> K.</w:t>
      </w:r>
      <w:r>
        <w:rPr>
          <w:rFonts w:ascii="Raleway" w:hAnsi="Raleway"/>
          <w:sz w:val="15"/>
          <w:szCs w:val="15"/>
        </w:rPr>
        <w:t> </w:t>
      </w:r>
      <w:r w:rsidRPr="001E3DBF">
        <w:rPr>
          <w:rFonts w:ascii="Raleway" w:hAnsi="Raleway"/>
          <w:sz w:val="15"/>
          <w:szCs w:val="15"/>
        </w:rPr>
        <w:t xml:space="preserve">Rotabi, </w:t>
      </w:r>
      <w:r w:rsidRPr="001E3DBF">
        <w:rPr>
          <w:rFonts w:ascii="Raleway" w:hAnsi="Raleway"/>
          <w:i/>
          <w:iCs/>
          <w:sz w:val="15"/>
          <w:szCs w:val="15"/>
        </w:rPr>
        <w:t>Contemporary Social Work Studies</w:t>
      </w:r>
      <w:r w:rsidRPr="001E3DBF">
        <w:rPr>
          <w:rFonts w:ascii="Raleway" w:hAnsi="Raleway"/>
          <w:sz w:val="15"/>
          <w:szCs w:val="15"/>
        </w:rPr>
        <w:t xml:space="preserve">, juin 2012, p. 395 ; N. Cantwell, </w:t>
      </w:r>
      <w:hyperlink r:id="rId25" w:history="1">
        <w:r w:rsidRPr="001E3DBF">
          <w:rPr>
            <w:rStyle w:val="Hyperlink"/>
            <w:rFonts w:ascii="Raleway" w:hAnsi="Raleway"/>
            <w:i/>
            <w:sz w:val="15"/>
            <w:szCs w:val="15"/>
          </w:rPr>
          <w:t>The Best Interest of the Child in Intercountry Adoption</w:t>
        </w:r>
      </w:hyperlink>
      <w:r w:rsidRPr="001E3DBF">
        <w:rPr>
          <w:rFonts w:ascii="Raleway" w:hAnsi="Raleway"/>
          <w:sz w:val="15"/>
          <w:szCs w:val="15"/>
        </w:rPr>
        <w:t xml:space="preserve"> (L</w:t>
      </w:r>
      <w:r>
        <w:rPr>
          <w:rFonts w:ascii="Raleway" w:hAnsi="Raleway"/>
          <w:sz w:val="15"/>
          <w:szCs w:val="15"/>
        </w:rPr>
        <w:t>’</w:t>
      </w:r>
      <w:r w:rsidRPr="001E3DBF">
        <w:rPr>
          <w:rFonts w:ascii="Raleway" w:hAnsi="Raleway"/>
          <w:sz w:val="15"/>
          <w:szCs w:val="15"/>
        </w:rPr>
        <w:t>intérêt supérieur de l</w:t>
      </w:r>
      <w:r>
        <w:rPr>
          <w:rFonts w:ascii="Raleway" w:hAnsi="Raleway"/>
          <w:sz w:val="15"/>
          <w:szCs w:val="15"/>
        </w:rPr>
        <w:t>’</w:t>
      </w:r>
      <w:r w:rsidRPr="001E3DBF">
        <w:rPr>
          <w:rFonts w:ascii="Raleway" w:hAnsi="Raleway"/>
          <w:sz w:val="15"/>
          <w:szCs w:val="15"/>
        </w:rPr>
        <w:t>enfant dans le cadre de l</w:t>
      </w:r>
      <w:r>
        <w:rPr>
          <w:rFonts w:ascii="Raleway" w:hAnsi="Raleway"/>
          <w:sz w:val="15"/>
          <w:szCs w:val="15"/>
        </w:rPr>
        <w:t>’</w:t>
      </w:r>
      <w:r w:rsidRPr="001E3DBF">
        <w:rPr>
          <w:rFonts w:ascii="Raleway" w:hAnsi="Raleway"/>
          <w:sz w:val="15"/>
          <w:szCs w:val="15"/>
        </w:rPr>
        <w:t>adoption internationale), 2014, U</w:t>
      </w:r>
      <w:r>
        <w:rPr>
          <w:rFonts w:ascii="Raleway" w:hAnsi="Raleway"/>
          <w:sz w:val="15"/>
          <w:szCs w:val="15"/>
        </w:rPr>
        <w:t>nicef</w:t>
      </w:r>
      <w:r w:rsidRPr="001E3DBF">
        <w:rPr>
          <w:rFonts w:ascii="Raleway" w:hAnsi="Raleway"/>
          <w:sz w:val="15"/>
          <w:szCs w:val="15"/>
        </w:rPr>
        <w:t xml:space="preserve">, p. 77 et 78 ; N. Cantwell, </w:t>
      </w:r>
      <w:hyperlink r:id="rId26" w:history="1">
        <w:r w:rsidRPr="001E3DBF">
          <w:rPr>
            <w:rStyle w:val="Hyperlink"/>
            <w:rFonts w:ascii="Raleway" w:hAnsi="Raleway"/>
            <w:i/>
            <w:sz w:val="15"/>
            <w:szCs w:val="15"/>
          </w:rPr>
          <w:t>The Sale of Children and Illegal Adoption</w:t>
        </w:r>
      </w:hyperlink>
      <w:r w:rsidRPr="001E3DBF">
        <w:rPr>
          <w:rFonts w:ascii="Raleway" w:hAnsi="Raleway"/>
          <w:sz w:val="15"/>
          <w:szCs w:val="15"/>
        </w:rPr>
        <w:t xml:space="preserve"> (La vente des enfants et l</w:t>
      </w:r>
      <w:r>
        <w:rPr>
          <w:rFonts w:ascii="Raleway" w:hAnsi="Raleway"/>
          <w:sz w:val="15"/>
          <w:szCs w:val="15"/>
        </w:rPr>
        <w:t>’</w:t>
      </w:r>
      <w:r w:rsidRPr="001E3DBF">
        <w:rPr>
          <w:rFonts w:ascii="Raleway" w:hAnsi="Raleway"/>
          <w:sz w:val="15"/>
          <w:szCs w:val="15"/>
        </w:rPr>
        <w:t>adoption illégale), 2017, Defence for Children et Terre des Hommes, p. 44.</w:t>
      </w:r>
    </w:p>
  </w:footnote>
  <w:footnote w:id="52">
    <w:p w14:paraId="579439FB" w14:textId="7CC2027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SSI/CIR, </w:t>
      </w:r>
      <w:hyperlink r:id="rId27" w:history="1">
        <w:r w:rsidRPr="001E3DBF">
          <w:rPr>
            <w:rStyle w:val="Hyperlink"/>
            <w:rFonts w:ascii="Raleway" w:hAnsi="Raleway"/>
            <w:i/>
            <w:sz w:val="15"/>
            <w:szCs w:val="15"/>
          </w:rPr>
          <w:t>Soutien financier et autre aux pays d</w:t>
        </w:r>
        <w:r>
          <w:rPr>
            <w:rStyle w:val="Hyperlink"/>
            <w:rFonts w:ascii="Raleway" w:hAnsi="Raleway"/>
            <w:i/>
            <w:sz w:val="15"/>
            <w:szCs w:val="15"/>
          </w:rPr>
          <w:t>’</w:t>
        </w:r>
        <w:r w:rsidRPr="001E3DBF">
          <w:rPr>
            <w:rStyle w:val="Hyperlink"/>
            <w:rFonts w:ascii="Raleway" w:hAnsi="Raleway"/>
            <w:i/>
            <w:sz w:val="15"/>
            <w:szCs w:val="15"/>
          </w:rPr>
          <w:t>origine, dans le cadre de l</w:t>
        </w:r>
        <w:r>
          <w:rPr>
            <w:rStyle w:val="Hyperlink"/>
            <w:rFonts w:ascii="Raleway" w:hAnsi="Raleway"/>
            <w:i/>
            <w:sz w:val="15"/>
            <w:szCs w:val="15"/>
          </w:rPr>
          <w:t>’</w:t>
        </w:r>
        <w:r w:rsidRPr="001E3DBF">
          <w:rPr>
            <w:rStyle w:val="Hyperlink"/>
            <w:rFonts w:ascii="Raleway" w:hAnsi="Raleway"/>
            <w:i/>
            <w:sz w:val="15"/>
            <w:szCs w:val="15"/>
          </w:rPr>
          <w:t>adoption internationale : Guide à l</w:t>
        </w:r>
        <w:r>
          <w:rPr>
            <w:rStyle w:val="Hyperlink"/>
            <w:rFonts w:ascii="Raleway" w:hAnsi="Raleway"/>
            <w:i/>
            <w:sz w:val="15"/>
            <w:szCs w:val="15"/>
          </w:rPr>
          <w:t>’</w:t>
        </w:r>
        <w:r w:rsidRPr="001E3DBF">
          <w:rPr>
            <w:rStyle w:val="Hyperlink"/>
            <w:rFonts w:ascii="Raleway" w:hAnsi="Raleway"/>
            <w:i/>
            <w:sz w:val="15"/>
            <w:szCs w:val="15"/>
          </w:rPr>
          <w:t>usage du/des parent(s) adoptif(s), des familles adoptives et des personnes adoptées</w:t>
        </w:r>
      </w:hyperlink>
      <w:r w:rsidRPr="001E3DBF">
        <w:rPr>
          <w:rFonts w:ascii="Raleway" w:hAnsi="Raleway"/>
          <w:sz w:val="15"/>
          <w:szCs w:val="15"/>
        </w:rPr>
        <w:t xml:space="preserve">, 2020, p. 8. </w:t>
      </w:r>
    </w:p>
  </w:footnote>
  <w:footnote w:id="53">
    <w:p w14:paraId="75BE6D52" w14:textId="179B560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Cette situation était fréquente au Guatemala, au Cambodge et au Viet Nam, </w:t>
      </w:r>
      <w:r>
        <w:rPr>
          <w:rFonts w:ascii="Raleway" w:hAnsi="Raleway"/>
          <w:sz w:val="15"/>
          <w:szCs w:val="15"/>
        </w:rPr>
        <w:t xml:space="preserve">sous </w:t>
      </w:r>
      <w:r w:rsidRPr="001E3DBF">
        <w:rPr>
          <w:rFonts w:ascii="Raleway" w:hAnsi="Raleway"/>
          <w:sz w:val="15"/>
          <w:szCs w:val="15"/>
        </w:rPr>
        <w:t>les précédents régimes juridiques et reste d</w:t>
      </w:r>
      <w:r>
        <w:rPr>
          <w:rFonts w:ascii="Raleway" w:hAnsi="Raleway"/>
          <w:sz w:val="15"/>
          <w:szCs w:val="15"/>
        </w:rPr>
        <w:t>’</w:t>
      </w:r>
      <w:r w:rsidRPr="001E3DBF">
        <w:rPr>
          <w:rFonts w:ascii="Raleway" w:hAnsi="Raleway"/>
          <w:sz w:val="15"/>
          <w:szCs w:val="15"/>
        </w:rPr>
        <w:t>actualité dans d</w:t>
      </w:r>
      <w:r>
        <w:rPr>
          <w:rFonts w:ascii="Raleway" w:hAnsi="Raleway"/>
          <w:sz w:val="15"/>
          <w:szCs w:val="15"/>
        </w:rPr>
        <w:t>’</w:t>
      </w:r>
      <w:r w:rsidRPr="001E3DBF">
        <w:rPr>
          <w:rFonts w:ascii="Raleway" w:hAnsi="Raleway"/>
          <w:sz w:val="15"/>
          <w:szCs w:val="15"/>
        </w:rPr>
        <w:t>autres pays disposant d</w:t>
      </w:r>
      <w:r>
        <w:rPr>
          <w:rFonts w:ascii="Raleway" w:hAnsi="Raleway"/>
          <w:sz w:val="15"/>
          <w:szCs w:val="15"/>
        </w:rPr>
        <w:t>’</w:t>
      </w:r>
      <w:r w:rsidRPr="001E3DBF">
        <w:rPr>
          <w:rFonts w:ascii="Raleway" w:hAnsi="Raleway"/>
          <w:sz w:val="15"/>
          <w:szCs w:val="15"/>
        </w:rPr>
        <w:t>un système de protection des enfants faible. Un risque similaire existe lorsque les représentants locaux des OAA sont rémunérés au dossier, ce qui peut inciter à « rechercher » des enfants et à persuader les parents d</w:t>
      </w:r>
      <w:r>
        <w:rPr>
          <w:rFonts w:ascii="Raleway" w:hAnsi="Raleway"/>
          <w:sz w:val="15"/>
          <w:szCs w:val="15"/>
        </w:rPr>
        <w:t>’</w:t>
      </w:r>
      <w:r w:rsidRPr="001E3DBF">
        <w:rPr>
          <w:rFonts w:ascii="Raleway" w:hAnsi="Raleway"/>
          <w:sz w:val="15"/>
          <w:szCs w:val="15"/>
        </w:rPr>
        <w:t xml:space="preserve">origine de donner leur consentement ou à recourir à des moyens frauduleux. Voir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77 et chapitre 8.3.2.</w:t>
      </w:r>
    </w:p>
  </w:footnote>
  <w:footnote w:id="54">
    <w:p w14:paraId="04CB7FFB" w14:textId="5A01FAE8" w:rsidR="00974DA5" w:rsidRPr="001E3DBF" w:rsidRDefault="00974DA5" w:rsidP="00CD1418">
      <w:pPr>
        <w:pStyle w:val="FootnoteText"/>
        <w:ind w:left="284" w:hanging="284"/>
        <w:rPr>
          <w:rFonts w:ascii="Raleway" w:hAnsi="Raleway"/>
          <w:sz w:val="15"/>
          <w:szCs w:val="15"/>
          <w:lang w:val="en-GB"/>
        </w:rPr>
      </w:pPr>
      <w:r w:rsidRPr="001E3DBF">
        <w:rPr>
          <w:rStyle w:val="FootnoteReference"/>
          <w:rFonts w:ascii="Raleway" w:hAnsi="Raleway"/>
          <w:sz w:val="15"/>
          <w:szCs w:val="15"/>
        </w:rPr>
        <w:footnoteRef/>
      </w:r>
      <w:r w:rsidRPr="001E3DBF">
        <w:rPr>
          <w:rFonts w:ascii="Raleway" w:hAnsi="Raleway"/>
          <w:sz w:val="15"/>
          <w:szCs w:val="15"/>
          <w:lang w:val="en-GB"/>
        </w:rPr>
        <w:t xml:space="preserve"> </w:t>
      </w:r>
      <w:r w:rsidRPr="001E3DBF">
        <w:rPr>
          <w:rFonts w:ascii="Raleway" w:hAnsi="Raleway"/>
          <w:sz w:val="15"/>
          <w:szCs w:val="15"/>
          <w:lang w:val="en-GB"/>
        </w:rPr>
        <w:tab/>
        <w:t xml:space="preserve">C. Fenton-Glynn, “Buying Babies: The Inducement of Consent?”, </w:t>
      </w:r>
      <w:r w:rsidRPr="001E3DBF">
        <w:rPr>
          <w:rFonts w:ascii="Raleway" w:hAnsi="Raleway"/>
          <w:i/>
          <w:sz w:val="15"/>
          <w:szCs w:val="15"/>
          <w:lang w:val="en-GB"/>
        </w:rPr>
        <w:t>Children</w:t>
      </w:r>
      <w:r>
        <w:rPr>
          <w:rFonts w:ascii="Raleway" w:hAnsi="Raleway"/>
          <w:i/>
          <w:sz w:val="15"/>
          <w:szCs w:val="15"/>
          <w:lang w:val="en-GB"/>
        </w:rPr>
        <w:t>’</w:t>
      </w:r>
      <w:r w:rsidRPr="001E3DBF">
        <w:rPr>
          <w:rFonts w:ascii="Raleway" w:hAnsi="Raleway"/>
          <w:i/>
          <w:sz w:val="15"/>
          <w:szCs w:val="15"/>
          <w:lang w:val="en-GB"/>
        </w:rPr>
        <w:t xml:space="preserve">s Rights in Intercountry Adoption, A European Perspective, </w:t>
      </w:r>
      <w:r w:rsidRPr="001E3DBF">
        <w:rPr>
          <w:rFonts w:ascii="Raleway" w:hAnsi="Raleway"/>
          <w:sz w:val="15"/>
          <w:szCs w:val="15"/>
          <w:lang w:val="en-GB"/>
        </w:rPr>
        <w:t xml:space="preserve">Cambridge, 2014. </w:t>
      </w:r>
    </w:p>
  </w:footnote>
  <w:footnote w:id="55">
    <w:p w14:paraId="7FE04815" w14:textId="22585A42" w:rsidR="00974DA5" w:rsidRPr="001E3DBF" w:rsidRDefault="00974DA5" w:rsidP="00CD1418">
      <w:pPr>
        <w:pStyle w:val="FootnoteText"/>
        <w:ind w:left="284" w:hanging="284"/>
        <w:rPr>
          <w:rFonts w:ascii="Raleway" w:hAnsi="Raleway"/>
          <w:sz w:val="15"/>
          <w:szCs w:val="15"/>
          <w:lang w:val="en-GB"/>
        </w:rPr>
      </w:pPr>
      <w:r w:rsidRPr="001E3DBF">
        <w:rPr>
          <w:rStyle w:val="FootnoteReference"/>
          <w:rFonts w:ascii="Raleway" w:hAnsi="Raleway"/>
          <w:sz w:val="15"/>
          <w:szCs w:val="15"/>
        </w:rPr>
        <w:footnoteRef/>
      </w:r>
      <w:r w:rsidRPr="001E3DBF">
        <w:rPr>
          <w:rFonts w:ascii="Raleway" w:hAnsi="Raleway"/>
          <w:sz w:val="15"/>
          <w:szCs w:val="15"/>
          <w:lang w:val="en-GB"/>
        </w:rPr>
        <w:t xml:space="preserve"> </w:t>
      </w:r>
      <w:r w:rsidRPr="001E3DBF">
        <w:rPr>
          <w:rFonts w:ascii="Raleway" w:hAnsi="Raleway"/>
          <w:sz w:val="15"/>
          <w:szCs w:val="15"/>
          <w:lang w:val="en-GB"/>
        </w:rPr>
        <w:tab/>
        <w:t xml:space="preserve">E. Loibl, </w:t>
      </w:r>
      <w:r w:rsidRPr="001E3DBF">
        <w:rPr>
          <w:rFonts w:ascii="Raleway" w:hAnsi="Raleway"/>
          <w:i/>
          <w:sz w:val="15"/>
          <w:szCs w:val="15"/>
          <w:lang w:val="en-GB"/>
        </w:rPr>
        <w:t>The transnational illegal adoption market: A criminological study of the German and Dutch intercountry adoption systems</w:t>
      </w:r>
      <w:r w:rsidRPr="001E3DBF">
        <w:rPr>
          <w:rFonts w:ascii="Raleway" w:hAnsi="Raleway"/>
          <w:sz w:val="15"/>
          <w:szCs w:val="15"/>
          <w:lang w:val="en-GB"/>
        </w:rPr>
        <w:t xml:space="preserve">, Eleven International Publishing, 2019, p. 39 ; K. Rotabi, “Force, fraud and coercion: Bridging from knowledge of intercountry adoption to global surrogacy”, </w:t>
      </w:r>
      <w:hyperlink r:id="rId28" w:history="1">
        <w:r w:rsidRPr="001E3DBF">
          <w:rPr>
            <w:rStyle w:val="Hyperlink"/>
            <w:rFonts w:ascii="Raleway" w:hAnsi="Raleway"/>
            <w:color w:val="024987"/>
            <w:sz w:val="15"/>
            <w:szCs w:val="15"/>
            <w:lang w:val="en-GB"/>
          </w:rPr>
          <w:t>ISS Working Paper Series/General Series</w:t>
        </w:r>
      </w:hyperlink>
      <w:r w:rsidRPr="001E3DBF">
        <w:rPr>
          <w:rFonts w:ascii="Raleway" w:hAnsi="Raleway"/>
          <w:sz w:val="15"/>
          <w:szCs w:val="15"/>
          <w:lang w:val="en-GB"/>
        </w:rPr>
        <w:t xml:space="preserve">, Vol. 600, 2014, p. 1 à 30 ; Terre des hommes Fédération internationale, film « Paper orphans » au Népal, présenté lors de la réunion de la CS de 2010. </w:t>
      </w:r>
    </w:p>
  </w:footnote>
  <w:footnote w:id="56">
    <w:p w14:paraId="4445B3CA" w14:textId="5D986B8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Expériences partagées par de nombreuses Autorités centrales lors de réunions du Groupe de travail de la HCCH sur les aspects financiers.</w:t>
      </w:r>
    </w:p>
  </w:footnote>
  <w:footnote w:id="57">
    <w:p w14:paraId="392C6DF0" w14:textId="471659B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Dans certains cas, un niveau de revenus plus élevé peut être exigé des FPA lorsque l</w:t>
      </w:r>
      <w:r>
        <w:rPr>
          <w:rFonts w:ascii="Raleway" w:hAnsi="Raleway"/>
          <w:sz w:val="15"/>
          <w:szCs w:val="15"/>
        </w:rPr>
        <w:t>’</w:t>
      </w:r>
      <w:r w:rsidRPr="001E3DBF">
        <w:rPr>
          <w:rFonts w:ascii="Raleway" w:hAnsi="Raleway"/>
          <w:sz w:val="15"/>
          <w:szCs w:val="15"/>
        </w:rPr>
        <w:t>enfant a certains besoins spéciaux qui réclament d</w:t>
      </w:r>
      <w:r>
        <w:rPr>
          <w:rFonts w:ascii="Raleway" w:hAnsi="Raleway"/>
          <w:sz w:val="15"/>
          <w:szCs w:val="15"/>
        </w:rPr>
        <w:t>’</w:t>
      </w:r>
      <w:r w:rsidRPr="001E3DBF">
        <w:rPr>
          <w:rFonts w:ascii="Raleway" w:hAnsi="Raleway"/>
          <w:sz w:val="15"/>
          <w:szCs w:val="15"/>
        </w:rPr>
        <w:t xml:space="preserve">importants soins médicaux. </w:t>
      </w:r>
    </w:p>
  </w:footnote>
  <w:footnote w:id="58">
    <w:p w14:paraId="7390E02C" w14:textId="6C26320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Boîte à outils sur les pratiques illicites, </w:t>
      </w:r>
      <w:r w:rsidRPr="001E3DBF">
        <w:rPr>
          <w:rFonts w:ascii="Raleway" w:hAnsi="Raleway"/>
          <w:i/>
          <w:sz w:val="15"/>
          <w:szCs w:val="15"/>
        </w:rPr>
        <w:t xml:space="preserve">supra </w:t>
      </w:r>
      <w:r w:rsidRPr="001E3DBF">
        <w:rPr>
          <w:rFonts w:ascii="Raleway" w:hAnsi="Raleway"/>
          <w:sz w:val="15"/>
          <w:szCs w:val="15"/>
        </w:rPr>
        <w:t xml:space="preserve">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xml:space="preserve"> p. 16. </w:t>
      </w:r>
    </w:p>
  </w:footnote>
  <w:footnote w:id="59">
    <w:p w14:paraId="6E28182B" w14:textId="010C740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sidRPr="001E3DBF">
        <w:rPr>
          <w:rFonts w:ascii="Raleway" w:hAnsi="Raleway"/>
          <w:i/>
          <w:sz w:val="15"/>
          <w:szCs w:val="15"/>
        </w:rPr>
        <w:t>Ibid.</w:t>
      </w:r>
    </w:p>
  </w:footnote>
  <w:footnote w:id="60">
    <w:p w14:paraId="59E26A35" w14:textId="4D327F5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Parmi les États d</w:t>
      </w:r>
      <w:r>
        <w:rPr>
          <w:rFonts w:ascii="Raleway" w:hAnsi="Raleway"/>
          <w:sz w:val="15"/>
          <w:szCs w:val="15"/>
        </w:rPr>
        <w:t>’</w:t>
      </w:r>
      <w:r w:rsidRPr="001E3DBF">
        <w:rPr>
          <w:rFonts w:ascii="Raleway" w:hAnsi="Raleway"/>
          <w:sz w:val="15"/>
          <w:szCs w:val="15"/>
        </w:rPr>
        <w:t>origine qui ont fortement restreint l</w:t>
      </w:r>
      <w:r>
        <w:rPr>
          <w:rFonts w:ascii="Raleway" w:hAnsi="Raleway"/>
          <w:sz w:val="15"/>
          <w:szCs w:val="15"/>
        </w:rPr>
        <w:t>’</w:t>
      </w:r>
      <w:r w:rsidRPr="001E3DBF">
        <w:rPr>
          <w:rFonts w:ascii="Raleway" w:hAnsi="Raleway"/>
          <w:sz w:val="15"/>
          <w:szCs w:val="15"/>
        </w:rPr>
        <w:t>adoption internationale, on peut citer : le Cambodge (</w:t>
      </w:r>
      <w:hyperlink r:id="rId29" w:history="1">
        <w:r w:rsidRPr="00E41842">
          <w:rPr>
            <w:rStyle w:val="Hyperlink"/>
            <w:rFonts w:ascii="Raleway" w:hAnsi="Raleway"/>
            <w:sz w:val="15"/>
            <w:szCs w:val="15"/>
          </w:rPr>
          <w:t>loi sur l</w:t>
        </w:r>
        <w:r>
          <w:rPr>
            <w:rStyle w:val="Hyperlink"/>
            <w:rFonts w:ascii="Raleway" w:hAnsi="Raleway"/>
            <w:sz w:val="15"/>
            <w:szCs w:val="15"/>
          </w:rPr>
          <w:t>’</w:t>
        </w:r>
        <w:r w:rsidRPr="00E41842">
          <w:rPr>
            <w:rStyle w:val="Hyperlink"/>
            <w:rFonts w:ascii="Raleway" w:hAnsi="Raleway"/>
            <w:sz w:val="15"/>
            <w:szCs w:val="15"/>
          </w:rPr>
          <w:t>adoption internationale</w:t>
        </w:r>
      </w:hyperlink>
      <w:r w:rsidRPr="001E3DBF">
        <w:rPr>
          <w:rFonts w:ascii="Raleway" w:hAnsi="Raleway"/>
          <w:sz w:val="15"/>
          <w:szCs w:val="15"/>
        </w:rPr>
        <w:t>, décembre 2009, section 3, art. 21.5) ; l</w:t>
      </w:r>
      <w:r>
        <w:rPr>
          <w:rFonts w:ascii="Raleway" w:hAnsi="Raleway"/>
          <w:sz w:val="15"/>
          <w:szCs w:val="15"/>
        </w:rPr>
        <w:t>’</w:t>
      </w:r>
      <w:r w:rsidRPr="001E3DBF">
        <w:rPr>
          <w:rFonts w:ascii="Raleway" w:hAnsi="Raleway"/>
          <w:sz w:val="15"/>
          <w:szCs w:val="15"/>
        </w:rPr>
        <w:t>Éthiopie (Code de la famille révisé, art. 193) ; le Guatemala (</w:t>
      </w:r>
      <w:hyperlink r:id="rId30" w:history="1">
        <w:r w:rsidRPr="000F71E2">
          <w:rPr>
            <w:rStyle w:val="Hyperlink"/>
            <w:rFonts w:ascii="Raleway" w:hAnsi="Raleway"/>
            <w:sz w:val="15"/>
            <w:szCs w:val="15"/>
          </w:rPr>
          <w:t>Décret No 77-2007</w:t>
        </w:r>
      </w:hyperlink>
      <w:r w:rsidRPr="000F71E2">
        <w:rPr>
          <w:rStyle w:val="Hyperlink"/>
          <w:rFonts w:ascii="Raleway" w:hAnsi="Raleway"/>
          <w:sz w:val="15"/>
          <w:szCs w:val="15"/>
        </w:rPr>
        <w:t xml:space="preserve"> </w:t>
      </w:r>
      <w:r w:rsidRPr="000F71E2">
        <w:rPr>
          <w:rFonts w:ascii="Raleway" w:hAnsi="Raleway"/>
          <w:sz w:val="15"/>
          <w:szCs w:val="15"/>
        </w:rPr>
        <w:t>du 11 décembre 2007</w:t>
      </w:r>
      <w:r w:rsidRPr="001E3DBF">
        <w:rPr>
          <w:rFonts w:ascii="Raleway" w:hAnsi="Raleway"/>
          <w:sz w:val="15"/>
          <w:szCs w:val="15"/>
        </w:rPr>
        <w:t xml:space="preserve">) ; le Paraguay (Cantwell (2017),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color w:val="00B0F0"/>
          <w:sz w:val="15"/>
          <w:szCs w:val="15"/>
        </w:rPr>
        <w:instrText xml:space="preserve"> NOTEREF _Ref142552871 \h  \* MERGEFORMAT </w:instrText>
      </w:r>
      <w:r w:rsidRPr="001E3DBF">
        <w:rPr>
          <w:rFonts w:ascii="Raleway" w:hAnsi="Raleway"/>
          <w:sz w:val="15"/>
          <w:szCs w:val="15"/>
        </w:rPr>
      </w:r>
      <w:r w:rsidRPr="001E3DBF">
        <w:rPr>
          <w:rFonts w:ascii="Raleway" w:hAnsi="Raleway"/>
          <w:sz w:val="15"/>
          <w:szCs w:val="15"/>
        </w:rPr>
        <w:fldChar w:fldCharType="separate"/>
      </w:r>
      <w:r w:rsidR="00E6549D" w:rsidRPr="00E6549D">
        <w:rPr>
          <w:rFonts w:ascii="Raleway" w:hAnsi="Raleway"/>
          <w:sz w:val="15"/>
          <w:szCs w:val="15"/>
        </w:rPr>
        <w:t>50</w:t>
      </w:r>
      <w:r w:rsidRPr="001E3DBF">
        <w:rPr>
          <w:rFonts w:ascii="Raleway" w:hAnsi="Raleway"/>
          <w:sz w:val="15"/>
          <w:szCs w:val="15"/>
        </w:rPr>
        <w:fldChar w:fldCharType="end"/>
      </w:r>
      <w:r w:rsidRPr="001E3DBF">
        <w:rPr>
          <w:rFonts w:ascii="Raleway" w:hAnsi="Raleway"/>
          <w:sz w:val="15"/>
          <w:szCs w:val="15"/>
        </w:rPr>
        <w:t>, p. 35) ; la Roumanie (</w:t>
      </w:r>
      <w:hyperlink r:id="rId31" w:history="1">
        <w:r w:rsidRPr="001E3DBF">
          <w:rPr>
            <w:rStyle w:val="Hyperlink"/>
            <w:rFonts w:ascii="Raleway" w:hAnsi="Raleway"/>
            <w:sz w:val="15"/>
            <w:szCs w:val="15"/>
          </w:rPr>
          <w:t>loi No 273/2004 du 21 juin 2004</w:t>
        </w:r>
      </w:hyperlink>
      <w:r w:rsidRPr="001E3DBF">
        <w:rPr>
          <w:rFonts w:ascii="Raleway" w:hAnsi="Raleway"/>
          <w:sz w:val="15"/>
          <w:szCs w:val="15"/>
        </w:rPr>
        <w:t>, chapitre 4, section 1, art. 39).</w:t>
      </w:r>
    </w:p>
  </w:footnote>
  <w:footnote w:id="61">
    <w:p w14:paraId="5EDD711D" w14:textId="5684E1C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Rapport </w:t>
      </w:r>
      <w:r>
        <w:rPr>
          <w:rFonts w:ascii="Raleway" w:hAnsi="Raleway"/>
          <w:sz w:val="15"/>
          <w:szCs w:val="15"/>
        </w:rPr>
        <w:t>suisse</w:t>
      </w:r>
      <w:r w:rsidRPr="001E3DBF">
        <w:rPr>
          <w:rFonts w:ascii="Raleway" w:hAnsi="Raleway"/>
          <w:sz w:val="15"/>
          <w:szCs w:val="15"/>
        </w:rPr>
        <w:t>,</w:t>
      </w:r>
      <w:r>
        <w:rPr>
          <w:rFonts w:ascii="Raleway" w:hAnsi="Raleway"/>
          <w:sz w:val="15"/>
          <w:szCs w:val="15"/>
        </w:rPr>
        <w:t xml:space="preserve"> </w:t>
      </w:r>
      <w:r>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sidRPr="001E3DBF">
        <w:rPr>
          <w:rFonts w:ascii="Raleway" w:hAnsi="Raleway"/>
          <w:sz w:val="15"/>
          <w:szCs w:val="15"/>
        </w:rPr>
        <w:t xml:space="preserve"> ; Pays-Bas, </w:t>
      </w:r>
      <w:r w:rsidRPr="001E3DBF">
        <w:rPr>
          <w:rFonts w:ascii="Raleway" w:hAnsi="Raleway"/>
          <w:i/>
          <w:sz w:val="15"/>
          <w:szCs w:val="15"/>
        </w:rPr>
        <w:t>Comité d</w:t>
      </w:r>
      <w:r>
        <w:rPr>
          <w:rFonts w:ascii="Raleway" w:hAnsi="Raleway"/>
          <w:i/>
          <w:sz w:val="15"/>
          <w:szCs w:val="15"/>
        </w:rPr>
        <w:t>’</w:t>
      </w:r>
      <w:r w:rsidRPr="001E3DBF">
        <w:rPr>
          <w:rFonts w:ascii="Raleway" w:hAnsi="Raleway"/>
          <w:i/>
          <w:sz w:val="15"/>
          <w:szCs w:val="15"/>
        </w:rPr>
        <w:t>enquête sur l</w:t>
      </w:r>
      <w:r>
        <w:rPr>
          <w:rFonts w:ascii="Raleway" w:hAnsi="Raleway"/>
          <w:i/>
          <w:sz w:val="15"/>
          <w:szCs w:val="15"/>
        </w:rPr>
        <w:t>’</w:t>
      </w:r>
      <w:r w:rsidRPr="001E3DBF">
        <w:rPr>
          <w:rFonts w:ascii="Raleway" w:hAnsi="Raleway"/>
          <w:i/>
          <w:sz w:val="15"/>
          <w:szCs w:val="15"/>
        </w:rPr>
        <w:t>adoption internationale, Rapport, résumé</w:t>
      </w:r>
      <w:r w:rsidRPr="001E3DBF">
        <w:rPr>
          <w:rFonts w:ascii="Raleway" w:hAnsi="Raleway"/>
          <w:sz w:val="15"/>
          <w:szCs w:val="15"/>
        </w:rPr>
        <w:t xml:space="preserve">, 2021. </w:t>
      </w:r>
    </w:p>
  </w:footnote>
  <w:footnote w:id="62">
    <w:p w14:paraId="5759F7BC" w14:textId="5B41FCE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lang w:val="nl-NL"/>
        </w:rPr>
        <w:t xml:space="preserve"> </w:t>
      </w:r>
      <w:r w:rsidRPr="00C32232">
        <w:rPr>
          <w:rFonts w:ascii="Raleway" w:hAnsi="Raleway"/>
          <w:sz w:val="15"/>
          <w:szCs w:val="15"/>
          <w:lang w:val="nl-NL"/>
        </w:rPr>
        <w:tab/>
        <w:t xml:space="preserve">Rapport van Loon, </w:t>
      </w:r>
      <w:r w:rsidRPr="00C32232">
        <w:rPr>
          <w:rFonts w:ascii="Raleway" w:hAnsi="Raleway"/>
          <w:i/>
          <w:sz w:val="15"/>
          <w:szCs w:val="15"/>
          <w:lang w:val="nl-NL"/>
        </w:rPr>
        <w:t>supra</w:t>
      </w:r>
      <w:r w:rsidRPr="00C32232">
        <w:rPr>
          <w:rFonts w:ascii="Raleway" w:hAnsi="Raleway"/>
          <w:sz w:val="15"/>
          <w:szCs w:val="15"/>
          <w:lang w:val="nl-NL"/>
        </w:rPr>
        <w:t>, note </w:t>
      </w:r>
      <w:r w:rsidRPr="001E3DBF">
        <w:rPr>
          <w:rFonts w:ascii="Raleway" w:hAnsi="Raleway"/>
          <w:sz w:val="15"/>
          <w:szCs w:val="15"/>
        </w:rPr>
        <w:fldChar w:fldCharType="begin"/>
      </w:r>
      <w:r w:rsidRPr="00C32232">
        <w:rPr>
          <w:rFonts w:ascii="Raleway" w:hAnsi="Raleway"/>
          <w:sz w:val="15"/>
          <w:szCs w:val="15"/>
          <w:lang w:val="nl-NL"/>
        </w:rPr>
        <w:instrText xml:space="preserve"> NOTEREF _Ref142552859 \h  \* MERGEFORMAT </w:instrText>
      </w:r>
      <w:r w:rsidRPr="001E3DBF">
        <w:rPr>
          <w:rFonts w:ascii="Raleway" w:hAnsi="Raleway"/>
          <w:sz w:val="15"/>
          <w:szCs w:val="15"/>
        </w:rPr>
      </w:r>
      <w:r w:rsidRPr="001E3DBF">
        <w:rPr>
          <w:rFonts w:ascii="Raleway" w:hAnsi="Raleway"/>
          <w:sz w:val="15"/>
          <w:szCs w:val="15"/>
        </w:rPr>
        <w:fldChar w:fldCharType="separate"/>
      </w:r>
      <w:r w:rsidR="00E6549D" w:rsidRPr="00C32232">
        <w:rPr>
          <w:rFonts w:ascii="Raleway" w:hAnsi="Raleway"/>
          <w:sz w:val="15"/>
          <w:szCs w:val="15"/>
          <w:lang w:val="nl-NL"/>
        </w:rPr>
        <w:t>48</w:t>
      </w:r>
      <w:r w:rsidRPr="001E3DBF">
        <w:rPr>
          <w:rFonts w:ascii="Raleway" w:hAnsi="Raleway"/>
          <w:sz w:val="15"/>
          <w:szCs w:val="15"/>
        </w:rPr>
        <w:fldChar w:fldCharType="end"/>
      </w:r>
      <w:r w:rsidRPr="00C32232">
        <w:rPr>
          <w:rFonts w:ascii="Raleway" w:hAnsi="Raleway"/>
          <w:sz w:val="15"/>
          <w:szCs w:val="15"/>
          <w:lang w:val="nl-NL"/>
        </w:rPr>
        <w:t>, para. </w:t>
      </w:r>
      <w:r w:rsidRPr="001E3DBF">
        <w:rPr>
          <w:rFonts w:ascii="Raleway" w:hAnsi="Raleway"/>
          <w:sz w:val="15"/>
          <w:szCs w:val="15"/>
        </w:rPr>
        <w:t xml:space="preserve">79 ; Rapport explicatif,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_Ref142552392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8</w:t>
      </w:r>
      <w:r w:rsidRPr="001E3DBF">
        <w:rPr>
          <w:rFonts w:ascii="Raleway" w:hAnsi="Raleway"/>
          <w:sz w:val="15"/>
          <w:szCs w:val="15"/>
        </w:rPr>
        <w:fldChar w:fldCharType="end"/>
      </w:r>
      <w:r w:rsidRPr="001E3DBF">
        <w:rPr>
          <w:rFonts w:ascii="Raleway" w:hAnsi="Raleway"/>
          <w:sz w:val="15"/>
          <w:szCs w:val="15"/>
        </w:rPr>
        <w:t xml:space="preserve">, para. 527 ; Cantwell (2017),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color w:val="00B0F0"/>
          <w:sz w:val="15"/>
          <w:szCs w:val="15"/>
        </w:rPr>
        <w:instrText xml:space="preserve"> NOTEREF _Ref142552871 \h  \* MERGEFORMAT </w:instrText>
      </w:r>
      <w:r w:rsidRPr="001E3DBF">
        <w:rPr>
          <w:rFonts w:ascii="Raleway" w:hAnsi="Raleway"/>
          <w:sz w:val="15"/>
          <w:szCs w:val="15"/>
        </w:rPr>
      </w:r>
      <w:r w:rsidRPr="001E3DBF">
        <w:rPr>
          <w:rFonts w:ascii="Raleway" w:hAnsi="Raleway"/>
          <w:sz w:val="15"/>
          <w:szCs w:val="15"/>
        </w:rPr>
        <w:fldChar w:fldCharType="separate"/>
      </w:r>
      <w:r w:rsidR="00E6549D" w:rsidRPr="00E6549D">
        <w:rPr>
          <w:rFonts w:ascii="Raleway" w:hAnsi="Raleway"/>
          <w:sz w:val="15"/>
          <w:szCs w:val="15"/>
        </w:rPr>
        <w:t>50</w:t>
      </w:r>
      <w:r w:rsidRPr="001E3DBF">
        <w:rPr>
          <w:rFonts w:ascii="Raleway" w:hAnsi="Raleway"/>
          <w:sz w:val="15"/>
          <w:szCs w:val="15"/>
        </w:rPr>
        <w:fldChar w:fldCharType="end"/>
      </w:r>
      <w:r w:rsidRPr="001E3DBF">
        <w:rPr>
          <w:rFonts w:ascii="Raleway" w:hAnsi="Raleway"/>
          <w:sz w:val="15"/>
          <w:szCs w:val="15"/>
        </w:rPr>
        <w:t xml:space="preserve">, p. 20, 21 et 32 ; Rapport néerlandais,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126 et 127.</w:t>
      </w:r>
    </w:p>
  </w:footnote>
  <w:footnote w:id="63">
    <w:p w14:paraId="62677977" w14:textId="49D2A16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CS de 2000,</w:t>
      </w:r>
      <w:r>
        <w:rPr>
          <w:rFonts w:ascii="Raleway" w:hAnsi="Raleway"/>
          <w:sz w:val="15"/>
          <w:szCs w:val="15"/>
        </w:rPr>
        <w:t xml:space="preserve"> rapport,</w:t>
      </w:r>
      <w:r w:rsidRPr="001E3DBF">
        <w:rPr>
          <w:rFonts w:ascii="Raleway" w:hAnsi="Raleway"/>
          <w:sz w:val="15"/>
          <w:szCs w:val="15"/>
        </w:rPr>
        <w:t xml:space="preserve">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_Ref142552740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32</w:t>
      </w:r>
      <w:r w:rsidRPr="001E3DBF">
        <w:rPr>
          <w:rFonts w:ascii="Raleway" w:hAnsi="Raleway"/>
          <w:sz w:val="15"/>
          <w:szCs w:val="15"/>
        </w:rPr>
        <w:fldChar w:fldCharType="end"/>
      </w:r>
      <w:r w:rsidRPr="001E3DBF">
        <w:rPr>
          <w:rFonts w:ascii="Raleway" w:hAnsi="Raleway"/>
          <w:sz w:val="15"/>
          <w:szCs w:val="15"/>
        </w:rPr>
        <w:t>, para. 37.</w:t>
      </w:r>
    </w:p>
  </w:footnote>
  <w:footnote w:id="64">
    <w:p w14:paraId="39EC2507" w14:textId="5070E29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Tel était auparavant le cas au Guatemala, où la grande majorité des adoptions internationales étaient approuvées par des notaires qui, entre autres, facturaient des honoraires excessifs et falsifiaient des actes juridiques.</w:t>
      </w:r>
    </w:p>
  </w:footnote>
  <w:footnote w:id="65">
    <w:p w14:paraId="2EDFAB91" w14:textId="1E170CB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sidRPr="001E3DBF">
        <w:rPr>
          <w:rFonts w:ascii="Raleway" w:hAnsi="Raleway"/>
          <w:sz w:val="15"/>
          <w:szCs w:val="15"/>
        </w:rPr>
        <w:t>, para. 64.</w:t>
      </w:r>
    </w:p>
  </w:footnote>
  <w:footnote w:id="66">
    <w:p w14:paraId="2E25A4CD" w14:textId="1BCDF4C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36.</w:t>
      </w:r>
    </w:p>
  </w:footnote>
  <w:footnote w:id="67">
    <w:p w14:paraId="2390FE3C" w14:textId="2B4C455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Art. 22(2) de la Convention Adoption de 1993. Les personnes ou organismes autorisés (non agréés) doivent néanmoins remplir certains critères d</w:t>
      </w:r>
      <w:r>
        <w:rPr>
          <w:rFonts w:ascii="Raleway" w:hAnsi="Raleway"/>
          <w:sz w:val="15"/>
          <w:szCs w:val="15"/>
        </w:rPr>
        <w:t>’</w:t>
      </w:r>
      <w:r w:rsidRPr="001E3DBF">
        <w:rPr>
          <w:rFonts w:ascii="Raleway" w:hAnsi="Raleway"/>
          <w:sz w:val="15"/>
          <w:szCs w:val="15"/>
        </w:rPr>
        <w:t>intégrité, de compétence professionnelle, d</w:t>
      </w:r>
      <w:r>
        <w:rPr>
          <w:rFonts w:ascii="Raleway" w:hAnsi="Raleway"/>
          <w:sz w:val="15"/>
          <w:szCs w:val="15"/>
        </w:rPr>
        <w:t>’</w:t>
      </w:r>
      <w:r w:rsidRPr="001E3DBF">
        <w:rPr>
          <w:rFonts w:ascii="Raleway" w:hAnsi="Raleway"/>
          <w:sz w:val="15"/>
          <w:szCs w:val="15"/>
        </w:rPr>
        <w:t>expérience et d</w:t>
      </w:r>
      <w:r>
        <w:rPr>
          <w:rFonts w:ascii="Raleway" w:hAnsi="Raleway"/>
          <w:sz w:val="15"/>
          <w:szCs w:val="15"/>
        </w:rPr>
        <w:t>’</w:t>
      </w:r>
      <w:r w:rsidRPr="001E3DBF">
        <w:rPr>
          <w:rFonts w:ascii="Raleway" w:hAnsi="Raleway"/>
          <w:sz w:val="15"/>
          <w:szCs w:val="15"/>
        </w:rPr>
        <w:t>éthique. Pour que des personnes ou organismes autorisés (non agréés) soient en mesure d</w:t>
      </w:r>
      <w:r>
        <w:rPr>
          <w:rFonts w:ascii="Raleway" w:hAnsi="Raleway"/>
          <w:sz w:val="15"/>
          <w:szCs w:val="15"/>
        </w:rPr>
        <w:t>’</w:t>
      </w:r>
      <w:r w:rsidRPr="001E3DBF">
        <w:rPr>
          <w:rFonts w:ascii="Raleway" w:hAnsi="Raleway"/>
          <w:sz w:val="15"/>
          <w:szCs w:val="15"/>
        </w:rPr>
        <w:t>exercer certaines fonctions prévues par la Convention sur son territoire, un État contractant doit faire une déclaration à cet effet (art. 15 à 21). Un État contractant d</w:t>
      </w:r>
      <w:r>
        <w:rPr>
          <w:rFonts w:ascii="Raleway" w:hAnsi="Raleway"/>
          <w:sz w:val="15"/>
          <w:szCs w:val="15"/>
        </w:rPr>
        <w:t>’</w:t>
      </w:r>
      <w:r w:rsidRPr="001E3DBF">
        <w:rPr>
          <w:rFonts w:ascii="Raleway" w:hAnsi="Raleway"/>
          <w:sz w:val="15"/>
          <w:szCs w:val="15"/>
        </w:rPr>
        <w:t>origine peut déclarer, conformément à l</w:t>
      </w:r>
      <w:r>
        <w:rPr>
          <w:rFonts w:ascii="Raleway" w:hAnsi="Raleway"/>
          <w:sz w:val="15"/>
          <w:szCs w:val="15"/>
        </w:rPr>
        <w:t>’</w:t>
      </w:r>
      <w:r w:rsidRPr="001E3DBF">
        <w:rPr>
          <w:rFonts w:ascii="Raleway" w:hAnsi="Raleway"/>
          <w:sz w:val="15"/>
          <w:szCs w:val="15"/>
        </w:rPr>
        <w:t>article 22(4), qu</w:t>
      </w:r>
      <w:r>
        <w:rPr>
          <w:rFonts w:ascii="Raleway" w:hAnsi="Raleway"/>
          <w:sz w:val="15"/>
          <w:szCs w:val="15"/>
        </w:rPr>
        <w:t>’</w:t>
      </w:r>
      <w:r w:rsidRPr="001E3DBF">
        <w:rPr>
          <w:rFonts w:ascii="Raleway" w:hAnsi="Raleway"/>
          <w:sz w:val="15"/>
          <w:szCs w:val="15"/>
        </w:rPr>
        <w:t>il ne permettra pas l</w:t>
      </w:r>
      <w:r>
        <w:rPr>
          <w:rFonts w:ascii="Raleway" w:hAnsi="Raleway"/>
          <w:sz w:val="15"/>
          <w:szCs w:val="15"/>
        </w:rPr>
        <w:t>’</w:t>
      </w:r>
      <w:r w:rsidRPr="001E3DBF">
        <w:rPr>
          <w:rFonts w:ascii="Raleway" w:hAnsi="Raleway"/>
          <w:sz w:val="15"/>
          <w:szCs w:val="15"/>
        </w:rPr>
        <w:t>adoption de ses enfants par des États qui autorisent des personnes et organismes autorisés (non agréés) à exercer les fonctions de l</w:t>
      </w:r>
      <w:r>
        <w:rPr>
          <w:rFonts w:ascii="Raleway" w:hAnsi="Raleway"/>
          <w:sz w:val="15"/>
          <w:szCs w:val="15"/>
        </w:rPr>
        <w:t>’</w:t>
      </w:r>
      <w:r w:rsidRPr="001E3DBF">
        <w:rPr>
          <w:rFonts w:ascii="Raleway" w:hAnsi="Raleway"/>
          <w:sz w:val="15"/>
          <w:szCs w:val="15"/>
        </w:rPr>
        <w:t>Autorité centrale prévues au chapitre IV de la Convention. Cet article « représente un compromis pour les négociateurs de la Convention entre ceux qui souhaitaient que les meilleures garanties possibles soient développées dans la Convention et ceux qui souhaitaient laisser une certaine liberté pour permettre aux individus d</w:t>
      </w:r>
      <w:r>
        <w:rPr>
          <w:rFonts w:ascii="Raleway" w:hAnsi="Raleway"/>
          <w:sz w:val="15"/>
          <w:szCs w:val="15"/>
        </w:rPr>
        <w:t>’</w:t>
      </w:r>
      <w:r w:rsidRPr="001E3DBF">
        <w:rPr>
          <w:rFonts w:ascii="Raleway" w:hAnsi="Raleway"/>
          <w:sz w:val="15"/>
          <w:szCs w:val="15"/>
        </w:rPr>
        <w:t xml:space="preserve">agir », voir Guide de bonnes pratiques No 2,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619.</w:t>
      </w:r>
    </w:p>
  </w:footnote>
  <w:footnote w:id="68">
    <w:p w14:paraId="0129F680" w14:textId="7C36DD8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ACPF,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24</w:t>
      </w:r>
      <w:r w:rsidRPr="001E3DBF">
        <w:rPr>
          <w:rFonts w:ascii="Raleway" w:hAnsi="Raleway"/>
          <w:sz w:val="15"/>
          <w:szCs w:val="15"/>
        </w:rPr>
        <w:fldChar w:fldCharType="end"/>
      </w:r>
      <w:r w:rsidRPr="001E3DBF">
        <w:rPr>
          <w:rFonts w:ascii="Raleway" w:hAnsi="Raleway"/>
          <w:sz w:val="15"/>
          <w:szCs w:val="15"/>
        </w:rPr>
        <w:t>, p. 20.</w:t>
      </w:r>
    </w:p>
  </w:footnote>
  <w:footnote w:id="69">
    <w:p w14:paraId="6756B753" w14:textId="108DA29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par ex., SSI/CIR, </w:t>
      </w:r>
      <w:hyperlink r:id="rId32" w:history="1">
        <w:r>
          <w:rPr>
            <w:rStyle w:val="Hyperlink"/>
            <w:rFonts w:ascii="Raleway" w:hAnsi="Raleway"/>
            <w:i/>
            <w:sz w:val="15"/>
            <w:szCs w:val="15"/>
          </w:rPr>
          <w:t>In</w:t>
        </w:r>
        <w:r w:rsidRPr="001E3DBF">
          <w:rPr>
            <w:rStyle w:val="Hyperlink"/>
            <w:rFonts w:ascii="Raleway" w:hAnsi="Raleway"/>
            <w:i/>
            <w:sz w:val="15"/>
            <w:szCs w:val="15"/>
          </w:rPr>
          <w:t>vestigating the Grey Zones of Intercountry Adoption</w:t>
        </w:r>
      </w:hyperlink>
      <w:r w:rsidRPr="001E3DBF">
        <w:rPr>
          <w:rFonts w:ascii="Raleway" w:hAnsi="Raleway"/>
          <w:sz w:val="15"/>
          <w:szCs w:val="15"/>
        </w:rPr>
        <w:t xml:space="preserve"> (Investiguer sur les zones grises de l</w:t>
      </w:r>
      <w:r>
        <w:rPr>
          <w:rFonts w:ascii="Raleway" w:hAnsi="Raleway"/>
          <w:sz w:val="15"/>
          <w:szCs w:val="15"/>
        </w:rPr>
        <w:t>’adoption internationale), juin </w:t>
      </w:r>
      <w:r w:rsidRPr="001E3DBF">
        <w:rPr>
          <w:rFonts w:ascii="Raleway" w:hAnsi="Raleway"/>
          <w:sz w:val="15"/>
          <w:szCs w:val="15"/>
        </w:rPr>
        <w:t xml:space="preserve">2010 (en anglais uniquement) ; Baglietto C., Cantwell N., Dambach M. (Eds) (2016), </w:t>
      </w:r>
      <w:hyperlink r:id="rId33" w:history="1">
        <w:r w:rsidRPr="001E3DBF">
          <w:rPr>
            <w:rStyle w:val="Hyperlink"/>
            <w:rFonts w:ascii="Raleway" w:hAnsi="Raleway"/>
            <w:i/>
            <w:sz w:val="15"/>
            <w:szCs w:val="15"/>
          </w:rPr>
          <w:t>Faire face aux adoptions illégales : un manuel professionnel</w:t>
        </w:r>
      </w:hyperlink>
      <w:r w:rsidRPr="001E3DBF">
        <w:rPr>
          <w:rFonts w:ascii="Raleway" w:hAnsi="Raleway"/>
          <w:sz w:val="15"/>
          <w:szCs w:val="15"/>
        </w:rPr>
        <w:t xml:space="preserve">, Genève, Suisse : Service Social International ; N. Wang et J. Zhang (dirs.), Documentaire </w:t>
      </w:r>
      <w:hyperlink r:id="rId34" w:history="1">
        <w:r w:rsidRPr="001E3DBF">
          <w:rPr>
            <w:rStyle w:val="Hyperlink"/>
            <w:rFonts w:ascii="Raleway" w:hAnsi="Raleway"/>
            <w:i/>
            <w:sz w:val="15"/>
            <w:szCs w:val="15"/>
          </w:rPr>
          <w:t>One Child Nation</w:t>
        </w:r>
      </w:hyperlink>
      <w:r w:rsidRPr="001E3DBF">
        <w:rPr>
          <w:rFonts w:ascii="Raleway" w:hAnsi="Raleway"/>
          <w:sz w:val="15"/>
          <w:szCs w:val="15"/>
        </w:rPr>
        <w:t xml:space="preserve">, Amazon Studios, 2019. </w:t>
      </w:r>
    </w:p>
  </w:footnote>
  <w:footnote w:id="70">
    <w:p w14:paraId="6C43266F" w14:textId="5AF9CCF7" w:rsidR="00974DA5" w:rsidRPr="001E3DBF" w:rsidRDefault="00974DA5" w:rsidP="00CD1418">
      <w:pPr>
        <w:pStyle w:val="FootnoteText"/>
        <w:ind w:left="284" w:hanging="284"/>
        <w:rPr>
          <w:rFonts w:ascii="Raleway" w:hAnsi="Raleway"/>
          <w:sz w:val="15"/>
          <w:szCs w:val="15"/>
        </w:rPr>
      </w:pPr>
      <w:r w:rsidRPr="001E3DBF">
        <w:rPr>
          <w:rFonts w:ascii="Raleway" w:hAnsi="Raleway"/>
          <w:sz w:val="15"/>
          <w:szCs w:val="15"/>
          <w:vertAlign w:val="superscript"/>
        </w:rPr>
        <w:footnoteRef/>
      </w:r>
      <w:r w:rsidRPr="001E3DBF">
        <w:rPr>
          <w:rFonts w:ascii="Raleway" w:hAnsi="Raleway"/>
          <w:sz w:val="15"/>
          <w:szCs w:val="15"/>
        </w:rPr>
        <w:t xml:space="preserve"> </w:t>
      </w:r>
      <w:r w:rsidRPr="001E3DBF">
        <w:rPr>
          <w:rFonts w:ascii="Raleway" w:hAnsi="Raleway"/>
          <w:sz w:val="15"/>
          <w:szCs w:val="15"/>
        </w:rPr>
        <w:tab/>
        <w:t xml:space="preserve">Expériences partagées par de nombreuses Autorités centrales lors de réunions du Groupe de travail de la HCCH sur les aspects financiers. Voir aussi EurAdopt, </w:t>
      </w:r>
      <w:hyperlink r:id="rId35" w:history="1">
        <w:r w:rsidRPr="001E3DBF">
          <w:rPr>
            <w:rStyle w:val="Hyperlink"/>
            <w:rFonts w:ascii="Raleway" w:hAnsi="Raleway"/>
            <w:sz w:val="15"/>
            <w:szCs w:val="15"/>
          </w:rPr>
          <w:t>La bonne pratique en ce qui concerne les aspects économiques de l</w:t>
        </w:r>
        <w:r>
          <w:rPr>
            <w:rStyle w:val="Hyperlink"/>
            <w:rFonts w:ascii="Raleway" w:hAnsi="Raleway"/>
            <w:sz w:val="15"/>
            <w:szCs w:val="15"/>
          </w:rPr>
          <w:t>’</w:t>
        </w:r>
        <w:r w:rsidRPr="001E3DBF">
          <w:rPr>
            <w:rStyle w:val="Hyperlink"/>
            <w:rFonts w:ascii="Raleway" w:hAnsi="Raleway"/>
            <w:sz w:val="15"/>
            <w:szCs w:val="15"/>
          </w:rPr>
          <w:t>adoption internationale</w:t>
        </w:r>
      </w:hyperlink>
      <w:r w:rsidRPr="001E3DBF">
        <w:rPr>
          <w:rFonts w:ascii="Raleway" w:hAnsi="Raleway"/>
          <w:sz w:val="15"/>
          <w:szCs w:val="15"/>
        </w:rPr>
        <w:t xml:space="preserve">,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_Ref174714396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45</w:t>
      </w:r>
      <w:r w:rsidRPr="001E3DBF">
        <w:rPr>
          <w:rFonts w:ascii="Raleway" w:hAnsi="Raleway"/>
          <w:sz w:val="15"/>
          <w:szCs w:val="15"/>
        </w:rPr>
        <w:fldChar w:fldCharType="end"/>
      </w:r>
      <w:r w:rsidRPr="001E3DBF">
        <w:rPr>
          <w:rFonts w:ascii="Raleway" w:hAnsi="Raleway"/>
          <w:sz w:val="15"/>
          <w:szCs w:val="15"/>
        </w:rPr>
        <w:t> ;</w:t>
      </w:r>
      <w:r>
        <w:rPr>
          <w:rFonts w:ascii="Raleway" w:hAnsi="Raleway"/>
          <w:sz w:val="15"/>
          <w:szCs w:val="15"/>
        </w:rPr>
        <w:t xml:space="preserve"> </w:t>
      </w:r>
      <w:r w:rsidRPr="001E3DBF">
        <w:rPr>
          <w:rFonts w:ascii="Raleway" w:hAnsi="Raleway"/>
          <w:sz w:val="15"/>
          <w:szCs w:val="15"/>
        </w:rPr>
        <w:t xml:space="preserve">Loibl,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_Ref165642737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54</w:t>
      </w:r>
      <w:r w:rsidRPr="001E3DBF">
        <w:rPr>
          <w:rFonts w:ascii="Raleway" w:hAnsi="Raleway"/>
          <w:sz w:val="15"/>
          <w:szCs w:val="15"/>
        </w:rPr>
        <w:fldChar w:fldCharType="end"/>
      </w:r>
      <w:r w:rsidRPr="001E3DBF">
        <w:rPr>
          <w:rFonts w:ascii="Raleway" w:hAnsi="Raleway"/>
          <w:sz w:val="15"/>
          <w:szCs w:val="15"/>
        </w:rPr>
        <w:t xml:space="preserve">, p. 387, 389 et 431. </w:t>
      </w:r>
    </w:p>
  </w:footnote>
  <w:footnote w:id="71">
    <w:p w14:paraId="51D942AE" w14:textId="622A3FDD" w:rsidR="00974DA5" w:rsidRPr="001E3DBF" w:rsidRDefault="00974DA5" w:rsidP="00CD1418">
      <w:pPr>
        <w:pStyle w:val="FootnoteText"/>
        <w:ind w:left="284" w:hanging="284"/>
        <w:rPr>
          <w:rFonts w:ascii="Raleway" w:hAnsi="Raleway"/>
          <w:sz w:val="15"/>
          <w:szCs w:val="15"/>
          <w:lang w:val="en-GB"/>
        </w:rPr>
      </w:pPr>
      <w:r w:rsidRPr="001E3DBF">
        <w:rPr>
          <w:rStyle w:val="FootnoteReference"/>
          <w:rFonts w:ascii="Raleway" w:hAnsi="Raleway"/>
          <w:sz w:val="15"/>
          <w:szCs w:val="15"/>
        </w:rPr>
        <w:footnoteRef/>
      </w:r>
      <w:r w:rsidRPr="001E3DBF">
        <w:rPr>
          <w:rFonts w:ascii="Raleway" w:hAnsi="Raleway"/>
          <w:sz w:val="15"/>
          <w:szCs w:val="15"/>
          <w:lang w:val="en-GB"/>
        </w:rPr>
        <w:t xml:space="preserve"> </w:t>
      </w:r>
      <w:r w:rsidRPr="001E3DBF">
        <w:rPr>
          <w:rFonts w:ascii="Raleway" w:hAnsi="Raleway"/>
          <w:sz w:val="15"/>
          <w:szCs w:val="15"/>
          <w:lang w:val="en-GB"/>
        </w:rPr>
        <w:tab/>
        <w:t>E.J. Graff, “</w:t>
      </w:r>
      <w:hyperlink r:id="rId36" w:history="1">
        <w:r w:rsidRPr="001E3DBF">
          <w:rPr>
            <w:rStyle w:val="Hyperlink"/>
            <w:rFonts w:ascii="Raleway" w:hAnsi="Raleway"/>
            <w:sz w:val="15"/>
            <w:szCs w:val="15"/>
            <w:lang w:val="en-GB"/>
          </w:rPr>
          <w:t>The Baby Business</w:t>
        </w:r>
      </w:hyperlink>
      <w:r w:rsidRPr="001E3DBF">
        <w:rPr>
          <w:rFonts w:ascii="Raleway" w:hAnsi="Raleway"/>
          <w:sz w:val="15"/>
          <w:szCs w:val="15"/>
          <w:lang w:val="en-GB"/>
        </w:rPr>
        <w:t xml:space="preserve">”, </w:t>
      </w:r>
      <w:r w:rsidRPr="001E3DBF">
        <w:rPr>
          <w:rFonts w:ascii="Raleway" w:hAnsi="Raleway"/>
          <w:i/>
          <w:sz w:val="15"/>
          <w:szCs w:val="15"/>
          <w:lang w:val="en-GB"/>
        </w:rPr>
        <w:t>Democracy</w:t>
      </w:r>
      <w:r w:rsidRPr="001E3DBF">
        <w:rPr>
          <w:rFonts w:ascii="Raleway" w:hAnsi="Raleway"/>
          <w:sz w:val="15"/>
          <w:szCs w:val="15"/>
          <w:lang w:val="en-GB"/>
        </w:rPr>
        <w:t>, Issue No 17, été 2010.</w:t>
      </w:r>
    </w:p>
  </w:footnote>
  <w:footnote w:id="72">
    <w:p w14:paraId="04EDFF41" w14:textId="08651A6A" w:rsidR="00974DA5" w:rsidRPr="001E3DBF" w:rsidRDefault="00974DA5" w:rsidP="00CD1418">
      <w:pPr>
        <w:pStyle w:val="FootnoteText"/>
        <w:ind w:left="284" w:hanging="284"/>
        <w:rPr>
          <w:rFonts w:ascii="Raleway" w:hAnsi="Raleway"/>
          <w:sz w:val="15"/>
          <w:szCs w:val="15"/>
          <w:lang w:val="en-GB"/>
        </w:rPr>
      </w:pPr>
      <w:r w:rsidRPr="001E3DBF">
        <w:rPr>
          <w:rStyle w:val="FootnoteReference"/>
          <w:rFonts w:ascii="Raleway" w:hAnsi="Raleway"/>
          <w:sz w:val="15"/>
          <w:szCs w:val="15"/>
        </w:rPr>
        <w:footnoteRef/>
      </w:r>
      <w:r w:rsidRPr="001E3DBF">
        <w:rPr>
          <w:rFonts w:ascii="Raleway" w:hAnsi="Raleway"/>
          <w:sz w:val="15"/>
          <w:szCs w:val="15"/>
          <w:lang w:val="en-GB"/>
        </w:rPr>
        <w:t xml:space="preserve"> </w:t>
      </w:r>
      <w:r w:rsidRPr="001E3DBF">
        <w:rPr>
          <w:rFonts w:ascii="Raleway" w:hAnsi="Raleway"/>
          <w:sz w:val="15"/>
          <w:szCs w:val="15"/>
          <w:lang w:val="en-GB"/>
        </w:rPr>
        <w:tab/>
      </w:r>
      <w:r w:rsidR="00D876BC">
        <w:rPr>
          <w:rFonts w:ascii="Raleway" w:hAnsi="Raleway"/>
          <w:sz w:val="15"/>
          <w:szCs w:val="15"/>
          <w:lang w:val="en-GB"/>
        </w:rPr>
        <w:t xml:space="preserve">[traduction du Bureau Permanent] </w:t>
      </w:r>
      <w:r w:rsidRPr="001E3DBF">
        <w:rPr>
          <w:rFonts w:ascii="Raleway" w:hAnsi="Raleway"/>
          <w:sz w:val="15"/>
          <w:szCs w:val="15"/>
          <w:lang w:val="en-GB"/>
        </w:rPr>
        <w:t xml:space="preserve">N. Cantwell, </w:t>
      </w:r>
      <w:r w:rsidRPr="001E3DBF">
        <w:rPr>
          <w:rFonts w:ascii="Raleway" w:hAnsi="Raleway"/>
          <w:i/>
          <w:sz w:val="15"/>
          <w:szCs w:val="15"/>
          <w:lang w:val="en-GB"/>
        </w:rPr>
        <w:t>Key Principles of the 1993 Hague Convention and the Current Realities of Intercountry Adoption</w:t>
      </w:r>
      <w:r w:rsidRPr="001E3DBF">
        <w:rPr>
          <w:rFonts w:ascii="Raleway" w:hAnsi="Raleway"/>
          <w:sz w:val="15"/>
          <w:szCs w:val="15"/>
          <w:lang w:val="en-GB"/>
        </w:rPr>
        <w:t xml:space="preserve">, Présentation faite à </w:t>
      </w:r>
      <w:r w:rsidRPr="001E3DBF">
        <w:rPr>
          <w:rFonts w:ascii="Raleway" w:hAnsi="Raleway"/>
          <w:i/>
          <w:sz w:val="15"/>
          <w:szCs w:val="15"/>
          <w:lang w:val="en-GB"/>
        </w:rPr>
        <w:t>Kind en Gezin Consultation</w:t>
      </w:r>
      <w:r w:rsidRPr="001E3DBF">
        <w:rPr>
          <w:rFonts w:ascii="Raleway" w:hAnsi="Raleway"/>
          <w:sz w:val="15"/>
          <w:szCs w:val="15"/>
          <w:lang w:val="en-GB"/>
        </w:rPr>
        <w:t xml:space="preserve">, Bruxelles, 14 décembre 2009, p. 3. Voir aussi Everychild, </w:t>
      </w:r>
      <w:hyperlink r:id="rId37" w:history="1">
        <w:r w:rsidRPr="001E3DBF">
          <w:rPr>
            <w:rStyle w:val="Hyperlink"/>
            <w:rFonts w:ascii="Raleway" w:hAnsi="Raleway"/>
            <w:i/>
            <w:sz w:val="15"/>
            <w:szCs w:val="15"/>
            <w:lang w:val="en-GB"/>
          </w:rPr>
          <w:t>Adopting better care: Improving adoption services around the world</w:t>
        </w:r>
      </w:hyperlink>
      <w:r w:rsidRPr="001E3DBF">
        <w:rPr>
          <w:rFonts w:ascii="Raleway" w:hAnsi="Raleway"/>
          <w:sz w:val="15"/>
          <w:szCs w:val="15"/>
          <w:lang w:val="en-GB"/>
        </w:rPr>
        <w:t>, Londres, 2012, p. 11.</w:t>
      </w:r>
    </w:p>
  </w:footnote>
  <w:footnote w:id="73">
    <w:p w14:paraId="6C17E6EC" w14:textId="7420E14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Les avocats guatémaltèques demandaient entre 15 000 et 20 000 dollars américains par adoption et plus de 24 000 enfants ont été adoptés aux États-Unis dans la période mentionnée. Voir Discussion entre E. Bartholet et D. Smolin,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_Ref142552871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50</w:t>
      </w:r>
      <w:r w:rsidRPr="001E3DBF">
        <w:rPr>
          <w:rFonts w:ascii="Raleway" w:hAnsi="Raleway"/>
          <w:sz w:val="15"/>
          <w:szCs w:val="15"/>
        </w:rPr>
        <w:fldChar w:fldCharType="end"/>
      </w:r>
      <w:r w:rsidRPr="001E3DBF">
        <w:rPr>
          <w:rFonts w:ascii="Raleway" w:hAnsi="Raleway"/>
          <w:sz w:val="15"/>
          <w:szCs w:val="15"/>
        </w:rPr>
        <w:t>, p. 386.</w:t>
      </w:r>
    </w:p>
  </w:footnote>
  <w:footnote w:id="74">
    <w:p w14:paraId="77F29C0E" w14:textId="03CEAC2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Assemblée générale des Nations Unies, </w:t>
      </w:r>
      <w:hyperlink r:id="rId38" w:history="1">
        <w:r w:rsidRPr="001E3DBF">
          <w:rPr>
            <w:rStyle w:val="Hyperlink"/>
            <w:rFonts w:ascii="Raleway" w:hAnsi="Raleway"/>
            <w:i/>
            <w:color w:val="024987"/>
            <w:sz w:val="15"/>
            <w:szCs w:val="15"/>
          </w:rPr>
          <w:t>Lignes directrices relatives à la protection de remplacement pour les enfants</w:t>
        </w:r>
      </w:hyperlink>
      <w:r w:rsidRPr="001E3DBF">
        <w:rPr>
          <w:rFonts w:ascii="Raleway" w:hAnsi="Raleway"/>
          <w:sz w:val="15"/>
          <w:szCs w:val="15"/>
        </w:rPr>
        <w:t>, Résolution adoptée par l</w:t>
      </w:r>
      <w:r>
        <w:rPr>
          <w:rFonts w:ascii="Raleway" w:hAnsi="Raleway"/>
          <w:sz w:val="15"/>
          <w:szCs w:val="15"/>
        </w:rPr>
        <w:t>’</w:t>
      </w:r>
      <w:r w:rsidRPr="001E3DBF">
        <w:rPr>
          <w:rFonts w:ascii="Raleway" w:hAnsi="Raleway"/>
          <w:sz w:val="15"/>
          <w:szCs w:val="15"/>
        </w:rPr>
        <w:t>Assemblée générale le 18 décembre 2009</w:t>
      </w:r>
      <w:r>
        <w:rPr>
          <w:rFonts w:ascii="Raleway" w:hAnsi="Raleway"/>
          <w:sz w:val="15"/>
          <w:szCs w:val="15"/>
        </w:rPr>
        <w:t>, Doc. A/RES/64/142*</w:t>
      </w:r>
      <w:r w:rsidRPr="001E3DBF">
        <w:rPr>
          <w:rFonts w:ascii="Raleway" w:hAnsi="Raleway"/>
          <w:sz w:val="15"/>
          <w:szCs w:val="15"/>
        </w:rPr>
        <w:t xml:space="preserve">, para. 15 ; Boîte à outils sur les pratiques illicites,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xml:space="preserve">, p. 105 ; N. Cantwell (2009),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_Ref142552904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71</w:t>
      </w:r>
      <w:r w:rsidRPr="001E3DBF">
        <w:rPr>
          <w:rFonts w:ascii="Raleway" w:hAnsi="Raleway"/>
          <w:sz w:val="15"/>
          <w:szCs w:val="15"/>
        </w:rPr>
        <w:fldChar w:fldCharType="end"/>
      </w:r>
      <w:r w:rsidRPr="001E3DBF">
        <w:rPr>
          <w:rFonts w:ascii="Raleway" w:hAnsi="Raleway"/>
          <w:sz w:val="15"/>
          <w:szCs w:val="15"/>
        </w:rPr>
        <w:t>, p. 3.</w:t>
      </w:r>
    </w:p>
  </w:footnote>
  <w:footnote w:id="75">
    <w:p w14:paraId="10EAA05D" w14:textId="2D12014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N. Cantwell (2014),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_Ref142552871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50</w:t>
      </w:r>
      <w:r w:rsidRPr="001E3DBF">
        <w:rPr>
          <w:rFonts w:ascii="Raleway" w:hAnsi="Raleway"/>
          <w:sz w:val="15"/>
          <w:szCs w:val="15"/>
        </w:rPr>
        <w:fldChar w:fldCharType="end"/>
      </w:r>
      <w:r w:rsidRPr="001E3DBF">
        <w:rPr>
          <w:rFonts w:ascii="Raleway" w:hAnsi="Raleway"/>
          <w:sz w:val="15"/>
          <w:szCs w:val="15"/>
        </w:rPr>
        <w:t>, p. 77 : « Les adoptions internationales sont réalisées à l</w:t>
      </w:r>
      <w:r>
        <w:rPr>
          <w:rFonts w:ascii="Raleway" w:hAnsi="Raleway"/>
          <w:sz w:val="15"/>
          <w:szCs w:val="15"/>
        </w:rPr>
        <w:t>’</w:t>
      </w:r>
      <w:r w:rsidRPr="001E3DBF">
        <w:rPr>
          <w:rFonts w:ascii="Raleway" w:hAnsi="Raleway"/>
          <w:sz w:val="15"/>
          <w:szCs w:val="15"/>
        </w:rPr>
        <w:t>initiative des États d</w:t>
      </w:r>
      <w:r>
        <w:rPr>
          <w:rFonts w:ascii="Raleway" w:hAnsi="Raleway"/>
          <w:sz w:val="15"/>
          <w:szCs w:val="15"/>
        </w:rPr>
        <w:t>’</w:t>
      </w:r>
      <w:r w:rsidRPr="001E3DBF">
        <w:rPr>
          <w:rFonts w:ascii="Raleway" w:hAnsi="Raleway"/>
          <w:sz w:val="15"/>
          <w:szCs w:val="15"/>
        </w:rPr>
        <w:t>accueil, et non sur demande des États d</w:t>
      </w:r>
      <w:r>
        <w:rPr>
          <w:rFonts w:ascii="Raleway" w:hAnsi="Raleway"/>
          <w:sz w:val="15"/>
          <w:szCs w:val="15"/>
        </w:rPr>
        <w:t>’</w:t>
      </w:r>
      <w:r w:rsidRPr="001E3DBF">
        <w:rPr>
          <w:rFonts w:ascii="Raleway" w:hAnsi="Raleway"/>
          <w:sz w:val="15"/>
          <w:szCs w:val="15"/>
        </w:rPr>
        <w:t>origine ».</w:t>
      </w:r>
    </w:p>
  </w:footnote>
  <w:footnote w:id="76">
    <w:p w14:paraId="49ED8744" w14:textId="630E9A7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N. Cantwell (2009),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_Ref142552904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71</w:t>
      </w:r>
      <w:r w:rsidRPr="001E3DBF">
        <w:rPr>
          <w:rFonts w:ascii="Raleway" w:hAnsi="Raleway"/>
          <w:sz w:val="15"/>
          <w:szCs w:val="15"/>
        </w:rPr>
        <w:fldChar w:fldCharType="end"/>
      </w:r>
      <w:r w:rsidRPr="001E3DBF">
        <w:rPr>
          <w:rFonts w:ascii="Raleway" w:hAnsi="Raleway"/>
          <w:sz w:val="15"/>
          <w:szCs w:val="15"/>
        </w:rPr>
        <w:t>, p. 3 : « Il y a bien plus de personnes qui souhaiteraient adopter – et en particulier qui aimeraient adopter un bébé ou un jeune enfant en bonne santé – qu</w:t>
      </w:r>
      <w:r>
        <w:rPr>
          <w:rFonts w:ascii="Raleway" w:hAnsi="Raleway"/>
          <w:sz w:val="15"/>
          <w:szCs w:val="15"/>
        </w:rPr>
        <w:t>’</w:t>
      </w:r>
      <w:r w:rsidRPr="001E3DBF">
        <w:rPr>
          <w:rFonts w:ascii="Raleway" w:hAnsi="Raleway"/>
          <w:sz w:val="15"/>
          <w:szCs w:val="15"/>
        </w:rPr>
        <w:t>il n</w:t>
      </w:r>
      <w:r>
        <w:rPr>
          <w:rFonts w:ascii="Raleway" w:hAnsi="Raleway"/>
          <w:sz w:val="15"/>
          <w:szCs w:val="15"/>
        </w:rPr>
        <w:t>’</w:t>
      </w:r>
      <w:r w:rsidRPr="001E3DBF">
        <w:rPr>
          <w:rFonts w:ascii="Raleway" w:hAnsi="Raleway"/>
          <w:sz w:val="15"/>
          <w:szCs w:val="15"/>
        </w:rPr>
        <w:t>y a d</w:t>
      </w:r>
      <w:r>
        <w:rPr>
          <w:rFonts w:ascii="Raleway" w:hAnsi="Raleway"/>
          <w:sz w:val="15"/>
          <w:szCs w:val="15"/>
        </w:rPr>
        <w:t>’</w:t>
      </w:r>
      <w:r w:rsidRPr="001E3DBF">
        <w:rPr>
          <w:rFonts w:ascii="Raleway" w:hAnsi="Raleway"/>
          <w:sz w:val="15"/>
          <w:szCs w:val="15"/>
        </w:rPr>
        <w:t>enfants qui ont vraiment besoin d</w:t>
      </w:r>
      <w:r>
        <w:rPr>
          <w:rFonts w:ascii="Raleway" w:hAnsi="Raleway"/>
          <w:sz w:val="15"/>
          <w:szCs w:val="15"/>
        </w:rPr>
        <w:t>’</w:t>
      </w:r>
      <w:r w:rsidRPr="001E3DBF">
        <w:rPr>
          <w:rFonts w:ascii="Raleway" w:hAnsi="Raleway"/>
          <w:sz w:val="15"/>
          <w:szCs w:val="15"/>
        </w:rPr>
        <w:t>être enlevés à leur communauté et à leur pays pour bénéficier d</w:t>
      </w:r>
      <w:r>
        <w:rPr>
          <w:rFonts w:ascii="Raleway" w:hAnsi="Raleway"/>
          <w:sz w:val="15"/>
          <w:szCs w:val="15"/>
        </w:rPr>
        <w:t>’</w:t>
      </w:r>
      <w:r w:rsidRPr="001E3DBF">
        <w:rPr>
          <w:rFonts w:ascii="Raleway" w:hAnsi="Raleway"/>
          <w:sz w:val="15"/>
          <w:szCs w:val="15"/>
        </w:rPr>
        <w:t>une vie de famille stable » et la référence à une affaire où les FPA, après avoir payé « une contribution pour l</w:t>
      </w:r>
      <w:r>
        <w:rPr>
          <w:rFonts w:ascii="Raleway" w:hAnsi="Raleway"/>
          <w:sz w:val="15"/>
          <w:szCs w:val="15"/>
        </w:rPr>
        <w:t>’</w:t>
      </w:r>
      <w:r w:rsidRPr="001E3DBF">
        <w:rPr>
          <w:rFonts w:ascii="Raleway" w:hAnsi="Raleway"/>
          <w:sz w:val="15"/>
          <w:szCs w:val="15"/>
        </w:rPr>
        <w:t>aide humanitaire » dans un État d</w:t>
      </w:r>
      <w:r>
        <w:rPr>
          <w:rFonts w:ascii="Raleway" w:hAnsi="Raleway"/>
          <w:sz w:val="15"/>
          <w:szCs w:val="15"/>
        </w:rPr>
        <w:t>’</w:t>
      </w:r>
      <w:r w:rsidRPr="001E3DBF">
        <w:rPr>
          <w:rFonts w:ascii="Raleway" w:hAnsi="Raleway"/>
          <w:sz w:val="15"/>
          <w:szCs w:val="15"/>
        </w:rPr>
        <w:t>origine, « s</w:t>
      </w:r>
      <w:r>
        <w:rPr>
          <w:rFonts w:ascii="Raleway" w:hAnsi="Raleway"/>
          <w:sz w:val="15"/>
          <w:szCs w:val="15"/>
        </w:rPr>
        <w:t>’</w:t>
      </w:r>
      <w:r w:rsidRPr="001E3DBF">
        <w:rPr>
          <w:rFonts w:ascii="Raleway" w:hAnsi="Raleway"/>
          <w:sz w:val="15"/>
          <w:szCs w:val="15"/>
        </w:rPr>
        <w:t>attendent tout naturellement à ce qu</w:t>
      </w:r>
      <w:r>
        <w:rPr>
          <w:rFonts w:ascii="Raleway" w:hAnsi="Raleway"/>
          <w:sz w:val="15"/>
          <w:szCs w:val="15"/>
        </w:rPr>
        <w:t>’</w:t>
      </w:r>
      <w:r w:rsidRPr="001E3DBF">
        <w:rPr>
          <w:rFonts w:ascii="Raleway" w:hAnsi="Raleway"/>
          <w:sz w:val="15"/>
          <w:szCs w:val="15"/>
        </w:rPr>
        <w:t xml:space="preserve">un jeune enfant soit “rendu disponible” ». </w:t>
      </w:r>
    </w:p>
  </w:footnote>
  <w:footnote w:id="77">
    <w:p w14:paraId="446C3A84" w14:textId="1852286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Espagne (</w:t>
      </w:r>
      <w:hyperlink r:id="rId39" w:history="1">
        <w:r w:rsidRPr="001E3DBF">
          <w:rPr>
            <w:rStyle w:val="Hyperlink"/>
            <w:rFonts w:ascii="Raleway" w:hAnsi="Raleway"/>
            <w:i/>
            <w:sz w:val="15"/>
            <w:szCs w:val="15"/>
          </w:rPr>
          <w:t>Reglamento de Adopción internacional</w:t>
        </w:r>
      </w:hyperlink>
      <w:r w:rsidRPr="001E3DBF">
        <w:rPr>
          <w:rFonts w:ascii="Raleway" w:hAnsi="Raleway"/>
          <w:sz w:val="15"/>
          <w:szCs w:val="15"/>
        </w:rPr>
        <w:t xml:space="preserve">, </w:t>
      </w:r>
      <w:r w:rsidRPr="001E3DBF">
        <w:rPr>
          <w:rFonts w:ascii="Raleway" w:hAnsi="Raleway"/>
          <w:i/>
          <w:sz w:val="15"/>
          <w:szCs w:val="15"/>
        </w:rPr>
        <w:t>Real Decreto 573/2023 de 4 de julio</w:t>
      </w:r>
      <w:r w:rsidRPr="001E3DBF">
        <w:rPr>
          <w:rFonts w:ascii="Raleway" w:hAnsi="Raleway"/>
          <w:sz w:val="15"/>
          <w:szCs w:val="15"/>
        </w:rPr>
        <w:t xml:space="preserve"> (Règlement de l</w:t>
      </w:r>
      <w:r>
        <w:rPr>
          <w:rFonts w:ascii="Raleway" w:hAnsi="Raleway"/>
          <w:sz w:val="15"/>
          <w:szCs w:val="15"/>
        </w:rPr>
        <w:t>’</w:t>
      </w:r>
      <w:r w:rsidRPr="001E3DBF">
        <w:rPr>
          <w:rFonts w:ascii="Raleway" w:hAnsi="Raleway"/>
          <w:sz w:val="15"/>
          <w:szCs w:val="15"/>
        </w:rPr>
        <w:t>adoption internationale, Décret royal No 573/2023 du 4 juillet</w:t>
      </w:r>
      <w:r>
        <w:rPr>
          <w:rFonts w:ascii="Raleway" w:hAnsi="Raleway"/>
          <w:sz w:val="15"/>
          <w:szCs w:val="15"/>
        </w:rPr>
        <w:t> 2023</w:t>
      </w:r>
      <w:r w:rsidRPr="001E3DBF">
        <w:rPr>
          <w:rFonts w:ascii="Raleway" w:hAnsi="Raleway"/>
          <w:sz w:val="15"/>
          <w:szCs w:val="15"/>
        </w:rPr>
        <w:t>, chapitre III).</w:t>
      </w:r>
    </w:p>
  </w:footnote>
  <w:footnote w:id="78">
    <w:p w14:paraId="60999736" w14:textId="54501C3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Rapport français de 2023, </w:t>
      </w:r>
      <w:r w:rsidRPr="001E3DBF">
        <w:rPr>
          <w:rFonts w:ascii="Raleway" w:hAnsi="Raleway"/>
          <w:i/>
          <w:sz w:val="15"/>
          <w:szCs w:val="15"/>
        </w:rPr>
        <w:t>supra</w:t>
      </w:r>
      <w:r w:rsidRPr="001E3DBF">
        <w:rPr>
          <w:rFonts w:ascii="Raleway" w:hAnsi="Raleway"/>
          <w:sz w:val="15"/>
          <w:szCs w:val="15"/>
        </w:rPr>
        <w:t xml:space="preserve"> note</w:t>
      </w:r>
      <w:r>
        <w:rPr>
          <w:rFonts w:ascii="Raleway" w:hAnsi="Raleway"/>
          <w:sz w:val="15"/>
          <w:szCs w:val="15"/>
        </w:rPr>
        <w:t> </w:t>
      </w:r>
      <w:r>
        <w:rPr>
          <w:rFonts w:ascii="Raleway" w:hAnsi="Raleway"/>
          <w:sz w:val="15"/>
          <w:szCs w:val="15"/>
        </w:rPr>
        <w:fldChar w:fldCharType="begin"/>
      </w:r>
      <w:r>
        <w:rPr>
          <w:rFonts w:ascii="Raleway" w:hAnsi="Raleway"/>
          <w:sz w:val="15"/>
          <w:szCs w:val="15"/>
        </w:rPr>
        <w:instrText xml:space="preserve"> NOTEREF _Ref203724733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10</w:t>
      </w:r>
      <w:r>
        <w:rPr>
          <w:rFonts w:ascii="Raleway" w:hAnsi="Raleway"/>
          <w:sz w:val="15"/>
          <w:szCs w:val="15"/>
        </w:rPr>
        <w:fldChar w:fldCharType="end"/>
      </w:r>
      <w:r w:rsidRPr="001E3DBF">
        <w:rPr>
          <w:rFonts w:ascii="Raleway" w:hAnsi="Raleway"/>
          <w:sz w:val="15"/>
          <w:szCs w:val="15"/>
        </w:rPr>
        <w:t xml:space="preserve">, p. 61 ; Loibl,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color w:val="00B0F0"/>
          <w:sz w:val="15"/>
          <w:szCs w:val="15"/>
        </w:rPr>
        <w:instrText xml:space="preserve"> NOTEREF _Ref165642737 \h  \* MERGEFORMAT </w:instrText>
      </w:r>
      <w:r w:rsidRPr="001E3DBF">
        <w:rPr>
          <w:rFonts w:ascii="Raleway" w:hAnsi="Raleway"/>
          <w:sz w:val="15"/>
          <w:szCs w:val="15"/>
        </w:rPr>
      </w:r>
      <w:r w:rsidRPr="001E3DBF">
        <w:rPr>
          <w:rFonts w:ascii="Raleway" w:hAnsi="Raleway"/>
          <w:sz w:val="15"/>
          <w:szCs w:val="15"/>
        </w:rPr>
        <w:fldChar w:fldCharType="separate"/>
      </w:r>
      <w:r w:rsidR="00E6549D" w:rsidRPr="00E6549D">
        <w:rPr>
          <w:rFonts w:ascii="Raleway" w:hAnsi="Raleway"/>
          <w:sz w:val="15"/>
          <w:szCs w:val="15"/>
        </w:rPr>
        <w:t>54</w:t>
      </w:r>
      <w:r w:rsidRPr="001E3DBF">
        <w:rPr>
          <w:rFonts w:ascii="Raleway" w:hAnsi="Raleway"/>
          <w:sz w:val="15"/>
          <w:szCs w:val="15"/>
        </w:rPr>
        <w:fldChar w:fldCharType="end"/>
      </w:r>
      <w:r w:rsidRPr="001E3DBF">
        <w:rPr>
          <w:rFonts w:ascii="Raleway" w:hAnsi="Raleway"/>
          <w:sz w:val="15"/>
          <w:szCs w:val="15"/>
        </w:rPr>
        <w:t>, p. 218.</w:t>
      </w:r>
    </w:p>
  </w:footnote>
  <w:footnote w:id="79">
    <w:p w14:paraId="1A8D9EB4" w14:textId="53410DE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le chapitre </w:t>
      </w:r>
      <w:r w:rsidRPr="001E3DBF">
        <w:rPr>
          <w:rFonts w:ascii="Raleway" w:hAnsi="Raleway"/>
          <w:sz w:val="15"/>
          <w:szCs w:val="15"/>
        </w:rPr>
        <w:fldChar w:fldCharType="begin"/>
      </w:r>
      <w:r w:rsidRPr="001E3DBF">
        <w:rPr>
          <w:rFonts w:ascii="Raleway" w:hAnsi="Raleway"/>
          <w:sz w:val="15"/>
          <w:szCs w:val="15"/>
        </w:rPr>
        <w:instrText xml:space="preserve"> REF _Ref211003302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6</w:t>
      </w:r>
      <w:r w:rsidRPr="001E3DBF">
        <w:rPr>
          <w:rFonts w:ascii="Raleway" w:hAnsi="Raleway"/>
          <w:sz w:val="15"/>
          <w:szCs w:val="15"/>
        </w:rPr>
        <w:fldChar w:fldCharType="end"/>
      </w:r>
      <w:r w:rsidRPr="001E3DBF">
        <w:rPr>
          <w:rFonts w:ascii="Raleway" w:hAnsi="Raleway"/>
          <w:sz w:val="15"/>
          <w:szCs w:val="15"/>
        </w:rPr>
        <w:t xml:space="preserve"> pour une discussion plus approfondie sur la concurrence en matière de contributions et de dons. Par ex., en France, en 2005, il y avait plus de 30 000 FPA en attente d</w:t>
      </w:r>
      <w:r>
        <w:rPr>
          <w:rFonts w:ascii="Raleway" w:hAnsi="Raleway"/>
          <w:sz w:val="15"/>
          <w:szCs w:val="15"/>
        </w:rPr>
        <w:t>’</w:t>
      </w:r>
      <w:r w:rsidRPr="001E3DBF">
        <w:rPr>
          <w:rFonts w:ascii="Raleway" w:hAnsi="Raleway"/>
          <w:sz w:val="15"/>
          <w:szCs w:val="15"/>
        </w:rPr>
        <w:t>un enfant à adopter (</w:t>
      </w:r>
      <w:hyperlink r:id="rId40" w:history="1">
        <w:r w:rsidRPr="00FE1624">
          <w:rPr>
            <w:rStyle w:val="Hyperlink"/>
            <w:rFonts w:ascii="Raleway" w:hAnsi="Raleway"/>
            <w:sz w:val="15"/>
            <w:szCs w:val="15"/>
          </w:rPr>
          <w:t>Rapport législatif nº398 (2004-2005) du Sénat</w:t>
        </w:r>
      </w:hyperlink>
      <w:r w:rsidRPr="001E3DBF">
        <w:rPr>
          <w:rFonts w:ascii="Raleway" w:hAnsi="Raleway"/>
          <w:sz w:val="15"/>
          <w:szCs w:val="15"/>
        </w:rPr>
        <w:t xml:space="preserve">). </w:t>
      </w:r>
    </w:p>
  </w:footnote>
  <w:footnote w:id="80">
    <w:p w14:paraId="55179DED" w14:textId="0479498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N. Cantwell (2017),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color w:val="00B0F0"/>
          <w:sz w:val="15"/>
          <w:szCs w:val="15"/>
        </w:rPr>
        <w:instrText xml:space="preserve"> NOTEREF _Ref142552871 \h  \* MERGEFORMAT </w:instrText>
      </w:r>
      <w:r w:rsidRPr="001E3DBF">
        <w:rPr>
          <w:rFonts w:ascii="Raleway" w:hAnsi="Raleway"/>
          <w:sz w:val="15"/>
          <w:szCs w:val="15"/>
        </w:rPr>
      </w:r>
      <w:r w:rsidRPr="001E3DBF">
        <w:rPr>
          <w:rFonts w:ascii="Raleway" w:hAnsi="Raleway"/>
          <w:sz w:val="15"/>
          <w:szCs w:val="15"/>
        </w:rPr>
        <w:fldChar w:fldCharType="separate"/>
      </w:r>
      <w:r w:rsidR="00E6549D" w:rsidRPr="00E6549D">
        <w:rPr>
          <w:rFonts w:ascii="Raleway" w:hAnsi="Raleway"/>
          <w:sz w:val="15"/>
          <w:szCs w:val="15"/>
        </w:rPr>
        <w:t>50</w:t>
      </w:r>
      <w:r w:rsidRPr="001E3DBF">
        <w:rPr>
          <w:rFonts w:ascii="Raleway" w:hAnsi="Raleway"/>
          <w:sz w:val="15"/>
          <w:szCs w:val="15"/>
        </w:rPr>
        <w:fldChar w:fldCharType="end"/>
      </w:r>
      <w:r w:rsidRPr="001E3DBF">
        <w:rPr>
          <w:rFonts w:ascii="Raleway" w:hAnsi="Raleway"/>
          <w:sz w:val="15"/>
          <w:szCs w:val="15"/>
        </w:rPr>
        <w:t xml:space="preserve">, p. 42 et 78 ; Rapport néerlandais de 2021, </w:t>
      </w:r>
      <w:r w:rsidRPr="001E3DBF">
        <w:rPr>
          <w:rFonts w:ascii="Raleway" w:hAnsi="Raleway"/>
          <w:i/>
          <w:sz w:val="15"/>
          <w:szCs w:val="15"/>
        </w:rPr>
        <w:t xml:space="preserve">supra </w:t>
      </w:r>
      <w:r w:rsidRPr="001E3DBF">
        <w:rPr>
          <w:rFonts w:ascii="Raleway" w:hAnsi="Raleway"/>
          <w:sz w:val="15"/>
          <w:szCs w:val="15"/>
        </w:rPr>
        <w:t>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xml:space="preserve"> p. 123 et 124.</w:t>
      </w:r>
    </w:p>
  </w:footnote>
  <w:footnote w:id="81">
    <w:p w14:paraId="3BAA7035" w14:textId="31BCAD4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Le Professeur Smolin donne la définition suivante du </w:t>
      </w:r>
      <w:r w:rsidRPr="001E3DBF">
        <w:rPr>
          <w:rFonts w:ascii="Raleway" w:hAnsi="Raleway"/>
          <w:i/>
          <w:iCs/>
          <w:sz w:val="15"/>
          <w:szCs w:val="15"/>
        </w:rPr>
        <w:t>child laundering</w:t>
      </w:r>
      <w:r w:rsidRPr="001E3DBF">
        <w:rPr>
          <w:rFonts w:ascii="Raleway" w:hAnsi="Raleway"/>
          <w:sz w:val="15"/>
          <w:szCs w:val="15"/>
        </w:rPr>
        <w:t> : « l</w:t>
      </w:r>
      <w:r>
        <w:rPr>
          <w:rFonts w:ascii="Raleway" w:hAnsi="Raleway"/>
          <w:sz w:val="15"/>
          <w:szCs w:val="15"/>
        </w:rPr>
        <w:t>’</w:t>
      </w:r>
      <w:r w:rsidRPr="001E3DBF">
        <w:rPr>
          <w:rFonts w:ascii="Raleway" w:hAnsi="Raleway"/>
          <w:sz w:val="15"/>
          <w:szCs w:val="15"/>
        </w:rPr>
        <w:t>obtention illicite d</w:t>
      </w:r>
      <w:r>
        <w:rPr>
          <w:rFonts w:ascii="Raleway" w:hAnsi="Raleway"/>
          <w:sz w:val="15"/>
          <w:szCs w:val="15"/>
        </w:rPr>
        <w:t>’</w:t>
      </w:r>
      <w:r w:rsidRPr="001E3DBF">
        <w:rPr>
          <w:rFonts w:ascii="Raleway" w:hAnsi="Raleway"/>
          <w:sz w:val="15"/>
          <w:szCs w:val="15"/>
        </w:rPr>
        <w:t>enfants par la force, la fraude ou des sommes d</w:t>
      </w:r>
      <w:r>
        <w:rPr>
          <w:rFonts w:ascii="Raleway" w:hAnsi="Raleway"/>
          <w:sz w:val="15"/>
          <w:szCs w:val="15"/>
        </w:rPr>
        <w:t>’</w:t>
      </w:r>
      <w:r w:rsidRPr="001E3DBF">
        <w:rPr>
          <w:rFonts w:ascii="Raleway" w:hAnsi="Raleway"/>
          <w:sz w:val="15"/>
          <w:szCs w:val="15"/>
        </w:rPr>
        <w:t>argent (incitation financière), [...] l</w:t>
      </w:r>
      <w:r>
        <w:rPr>
          <w:rFonts w:ascii="Raleway" w:hAnsi="Raleway"/>
          <w:sz w:val="15"/>
          <w:szCs w:val="15"/>
        </w:rPr>
        <w:t>’</w:t>
      </w:r>
      <w:r w:rsidRPr="001E3DBF">
        <w:rPr>
          <w:rFonts w:ascii="Raleway" w:hAnsi="Raleway"/>
          <w:sz w:val="15"/>
          <w:szCs w:val="15"/>
        </w:rPr>
        <w:t>établissement de documents falsifiés identifiant l</w:t>
      </w:r>
      <w:r>
        <w:rPr>
          <w:rFonts w:ascii="Raleway" w:hAnsi="Raleway"/>
          <w:sz w:val="15"/>
          <w:szCs w:val="15"/>
        </w:rPr>
        <w:t>’</w:t>
      </w:r>
      <w:r w:rsidRPr="001E3DBF">
        <w:rPr>
          <w:rFonts w:ascii="Raleway" w:hAnsi="Raleway"/>
          <w:sz w:val="15"/>
          <w:szCs w:val="15"/>
        </w:rPr>
        <w:t>enfant comme un “orphelin” adoptable légitimement abandonné et</w:t>
      </w:r>
      <w:r>
        <w:rPr>
          <w:rFonts w:ascii="Raleway" w:hAnsi="Raleway"/>
          <w:sz w:val="15"/>
          <w:szCs w:val="15"/>
        </w:rPr>
        <w:t xml:space="preserve"> […]</w:t>
      </w:r>
      <w:r w:rsidRPr="001E3DBF">
        <w:rPr>
          <w:rFonts w:ascii="Raleway" w:hAnsi="Raleway"/>
          <w:sz w:val="15"/>
          <w:szCs w:val="15"/>
        </w:rPr>
        <w:t xml:space="preserve"> son placement en vue de l</w:t>
      </w:r>
      <w:r>
        <w:rPr>
          <w:rFonts w:ascii="Raleway" w:hAnsi="Raleway"/>
          <w:sz w:val="15"/>
          <w:szCs w:val="15"/>
        </w:rPr>
        <w:t>’</w:t>
      </w:r>
      <w:r w:rsidRPr="001E3DBF">
        <w:rPr>
          <w:rFonts w:ascii="Raleway" w:hAnsi="Raleway"/>
          <w:sz w:val="15"/>
          <w:szCs w:val="15"/>
        </w:rPr>
        <w:t>adoption par les circuits officiels du système d</w:t>
      </w:r>
      <w:r>
        <w:rPr>
          <w:rFonts w:ascii="Raleway" w:hAnsi="Raleway"/>
          <w:sz w:val="15"/>
          <w:szCs w:val="15"/>
        </w:rPr>
        <w:t>’</w:t>
      </w:r>
      <w:r w:rsidRPr="001E3DBF">
        <w:rPr>
          <w:rFonts w:ascii="Raleway" w:hAnsi="Raleway"/>
          <w:sz w:val="15"/>
          <w:szCs w:val="15"/>
        </w:rPr>
        <w:t xml:space="preserve">adoption internationale ». Voir D. Smolin, </w:t>
      </w:r>
      <w:hyperlink r:id="rId41" w:history="1">
        <w:r w:rsidRPr="001E3DBF">
          <w:rPr>
            <w:rStyle w:val="Hyperlink"/>
            <w:rFonts w:ascii="Raleway" w:hAnsi="Raleway"/>
            <w:i/>
            <w:sz w:val="15"/>
            <w:szCs w:val="15"/>
          </w:rPr>
          <w:t>Enlèvement, vente et traite d</w:t>
        </w:r>
        <w:r>
          <w:rPr>
            <w:rStyle w:val="Hyperlink"/>
            <w:rFonts w:ascii="Raleway" w:hAnsi="Raleway"/>
            <w:i/>
            <w:sz w:val="15"/>
            <w:szCs w:val="15"/>
          </w:rPr>
          <w:t>’</w:t>
        </w:r>
        <w:r w:rsidRPr="001E3DBF">
          <w:rPr>
            <w:rStyle w:val="Hyperlink"/>
            <w:rFonts w:ascii="Raleway" w:hAnsi="Raleway"/>
            <w:i/>
            <w:sz w:val="15"/>
            <w:szCs w:val="15"/>
          </w:rPr>
          <w:t>enfants dans le contexte de l</w:t>
        </w:r>
        <w:r>
          <w:rPr>
            <w:rStyle w:val="Hyperlink"/>
            <w:rFonts w:ascii="Raleway" w:hAnsi="Raleway"/>
            <w:i/>
            <w:sz w:val="15"/>
            <w:szCs w:val="15"/>
          </w:rPr>
          <w:t>’</w:t>
        </w:r>
        <w:r w:rsidRPr="001E3DBF">
          <w:rPr>
            <w:rStyle w:val="Hyperlink"/>
            <w:rFonts w:ascii="Raleway" w:hAnsi="Raleway"/>
            <w:i/>
            <w:sz w:val="15"/>
            <w:szCs w:val="15"/>
          </w:rPr>
          <w:t>adoption internationale</w:t>
        </w:r>
      </w:hyperlink>
      <w:r w:rsidRPr="001E3DBF">
        <w:rPr>
          <w:rFonts w:ascii="Raleway" w:hAnsi="Raleway"/>
          <w:i/>
          <w:sz w:val="15"/>
          <w:szCs w:val="15"/>
        </w:rPr>
        <w:t xml:space="preserve">, </w:t>
      </w:r>
      <w:r w:rsidRPr="001E3DBF">
        <w:rPr>
          <w:rFonts w:ascii="Raleway" w:hAnsi="Raleway"/>
          <w:sz w:val="15"/>
          <w:szCs w:val="15"/>
        </w:rPr>
        <w:t>Doc. info. No 1 à l</w:t>
      </w:r>
      <w:r>
        <w:rPr>
          <w:rFonts w:ascii="Raleway" w:hAnsi="Raleway"/>
          <w:sz w:val="15"/>
          <w:szCs w:val="15"/>
        </w:rPr>
        <w:t>’</w:t>
      </w:r>
      <w:r w:rsidRPr="001E3DBF">
        <w:rPr>
          <w:rFonts w:ascii="Raleway" w:hAnsi="Raleway"/>
          <w:sz w:val="15"/>
          <w:szCs w:val="15"/>
        </w:rPr>
        <w:t xml:space="preserve">intention de la troisième réunion de la CS, 2010, p. 5 (traduction non révisée). </w:t>
      </w:r>
    </w:p>
  </w:footnote>
  <w:footnote w:id="82">
    <w:p w14:paraId="50AEBC82" w14:textId="2E278D9F" w:rsidR="00974DA5" w:rsidRPr="001E3DBF" w:rsidRDefault="00974DA5" w:rsidP="00CD1418">
      <w:pPr>
        <w:pStyle w:val="FootnoteText"/>
        <w:ind w:left="284" w:hanging="284"/>
        <w:rPr>
          <w:rFonts w:ascii="Raleway" w:hAnsi="Raleway"/>
          <w:sz w:val="15"/>
          <w:szCs w:val="15"/>
          <w:lang w:val="en-GB"/>
        </w:rPr>
      </w:pPr>
      <w:r w:rsidRPr="001E3DBF">
        <w:rPr>
          <w:rStyle w:val="FootnoteReference"/>
          <w:rFonts w:ascii="Raleway" w:hAnsi="Raleway"/>
          <w:sz w:val="15"/>
          <w:szCs w:val="15"/>
        </w:rPr>
        <w:footnoteRef/>
      </w:r>
      <w:r w:rsidRPr="001E3DBF">
        <w:rPr>
          <w:rFonts w:ascii="Raleway" w:hAnsi="Raleway"/>
          <w:sz w:val="15"/>
          <w:szCs w:val="15"/>
          <w:lang w:val="en-GB"/>
        </w:rPr>
        <w:t xml:space="preserve"> </w:t>
      </w:r>
      <w:r w:rsidRPr="001E3DBF">
        <w:rPr>
          <w:rFonts w:ascii="Raleway" w:hAnsi="Raleway"/>
          <w:sz w:val="15"/>
          <w:szCs w:val="15"/>
          <w:lang w:val="en-GB"/>
        </w:rPr>
        <w:tab/>
        <w:t xml:space="preserve">G. M. Pollock (Parents for Ethical Adoption Reform (PEAR)), </w:t>
      </w:r>
      <w:hyperlink r:id="rId42" w:history="1">
        <w:r w:rsidRPr="001E3DBF">
          <w:rPr>
            <w:rStyle w:val="Hyperlink"/>
            <w:rFonts w:ascii="Raleway" w:hAnsi="Raleway"/>
            <w:i/>
            <w:sz w:val="15"/>
            <w:szCs w:val="15"/>
            <w:lang w:val="en-GB"/>
          </w:rPr>
          <w:t>Comments on Proposed Regulations to the Hague Intercountry Adoption Act</w:t>
        </w:r>
      </w:hyperlink>
      <w:r w:rsidRPr="001E3DBF">
        <w:rPr>
          <w:rFonts w:ascii="Raleway" w:hAnsi="Raleway"/>
          <w:sz w:val="15"/>
          <w:szCs w:val="15"/>
          <w:lang w:val="en-GB"/>
        </w:rPr>
        <w:t>, 2007.</w:t>
      </w:r>
    </w:p>
  </w:footnote>
  <w:footnote w:id="83">
    <w:p w14:paraId="15C7317A" w14:textId="77F0A273" w:rsidR="00974DA5" w:rsidRPr="00C32232" w:rsidRDefault="00974DA5" w:rsidP="00CD1418">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Everychild</w:t>
      </w:r>
      <w:r w:rsidRPr="00C32232">
        <w:rPr>
          <w:rFonts w:ascii="Raleway" w:hAnsi="Raleway"/>
          <w:i/>
          <w:sz w:val="15"/>
          <w:szCs w:val="15"/>
        </w:rPr>
        <w:t>, supra</w:t>
      </w:r>
      <w:r w:rsidRPr="00C32232">
        <w:rPr>
          <w:rFonts w:ascii="Raleway" w:hAnsi="Raleway"/>
          <w:sz w:val="15"/>
          <w:szCs w:val="15"/>
        </w:rPr>
        <w:t xml:space="preserve"> note </w:t>
      </w:r>
      <w:r w:rsidRPr="001E3DBF">
        <w:rPr>
          <w:rFonts w:ascii="Raleway" w:hAnsi="Raleway"/>
          <w:sz w:val="15"/>
          <w:szCs w:val="15"/>
        </w:rPr>
        <w:fldChar w:fldCharType="begin"/>
      </w:r>
      <w:r w:rsidRPr="00C32232">
        <w:rPr>
          <w:rFonts w:ascii="Raleway" w:hAnsi="Raleway"/>
          <w:sz w:val="15"/>
          <w:szCs w:val="15"/>
        </w:rPr>
        <w:instrText xml:space="preserve"> NOTEREF _Ref142552904 \h  \* MERGEFORMAT </w:instrText>
      </w:r>
      <w:r w:rsidRPr="001E3DBF">
        <w:rPr>
          <w:rFonts w:ascii="Raleway" w:hAnsi="Raleway"/>
          <w:sz w:val="15"/>
          <w:szCs w:val="15"/>
        </w:rPr>
      </w:r>
      <w:r w:rsidRPr="001E3DBF">
        <w:rPr>
          <w:rFonts w:ascii="Raleway" w:hAnsi="Raleway"/>
          <w:sz w:val="15"/>
          <w:szCs w:val="15"/>
        </w:rPr>
        <w:fldChar w:fldCharType="separate"/>
      </w:r>
      <w:r w:rsidR="00E6549D" w:rsidRPr="00C32232">
        <w:rPr>
          <w:rFonts w:ascii="Raleway" w:hAnsi="Raleway"/>
          <w:sz w:val="15"/>
          <w:szCs w:val="15"/>
        </w:rPr>
        <w:t>71</w:t>
      </w:r>
      <w:r w:rsidRPr="001E3DBF">
        <w:rPr>
          <w:rFonts w:ascii="Raleway" w:hAnsi="Raleway"/>
          <w:sz w:val="15"/>
          <w:szCs w:val="15"/>
        </w:rPr>
        <w:fldChar w:fldCharType="end"/>
      </w:r>
      <w:r w:rsidRPr="00C32232">
        <w:rPr>
          <w:rFonts w:ascii="Raleway" w:hAnsi="Raleway"/>
          <w:sz w:val="15"/>
          <w:szCs w:val="15"/>
        </w:rPr>
        <w:t>, p. 15.</w:t>
      </w:r>
    </w:p>
  </w:footnote>
  <w:footnote w:id="84">
    <w:p w14:paraId="60BFC0C5" w14:textId="23790FEF" w:rsidR="00974DA5" w:rsidRPr="00C32232" w:rsidRDefault="00974DA5" w:rsidP="00AB4B26">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 xml:space="preserve">ACPF, </w:t>
      </w:r>
      <w:r w:rsidRPr="00C32232">
        <w:rPr>
          <w:rFonts w:ascii="Raleway" w:hAnsi="Raleway"/>
          <w:i/>
          <w:sz w:val="15"/>
          <w:szCs w:val="15"/>
        </w:rPr>
        <w:t>supra</w:t>
      </w:r>
      <w:r w:rsidRPr="00C32232">
        <w:rPr>
          <w:rFonts w:ascii="Raleway" w:hAnsi="Raleway"/>
          <w:sz w:val="15"/>
          <w:szCs w:val="15"/>
        </w:rPr>
        <w:t xml:space="preserve"> note </w:t>
      </w:r>
      <w:r w:rsidRPr="001E3DBF">
        <w:rPr>
          <w:rFonts w:ascii="Raleway" w:hAnsi="Raleway"/>
          <w:sz w:val="15"/>
          <w:szCs w:val="15"/>
        </w:rPr>
        <w:fldChar w:fldCharType="begin"/>
      </w:r>
      <w:r w:rsidRPr="00C32232">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sidRPr="00C32232">
        <w:rPr>
          <w:rFonts w:ascii="Raleway" w:hAnsi="Raleway"/>
          <w:sz w:val="15"/>
          <w:szCs w:val="15"/>
        </w:rPr>
        <w:t>24</w:t>
      </w:r>
      <w:r w:rsidRPr="001E3DBF">
        <w:rPr>
          <w:rFonts w:ascii="Raleway" w:hAnsi="Raleway"/>
          <w:sz w:val="15"/>
          <w:szCs w:val="15"/>
        </w:rPr>
        <w:fldChar w:fldCharType="end"/>
      </w:r>
      <w:r w:rsidRPr="00C32232">
        <w:rPr>
          <w:rFonts w:ascii="Raleway" w:hAnsi="Raleway"/>
          <w:sz w:val="15"/>
          <w:szCs w:val="15"/>
        </w:rPr>
        <w:t>, p. 2</w:t>
      </w:r>
      <w:r w:rsidR="00590E52" w:rsidRPr="00C32232">
        <w:rPr>
          <w:rFonts w:ascii="Raleway" w:hAnsi="Raleway"/>
          <w:sz w:val="15"/>
          <w:szCs w:val="15"/>
        </w:rPr>
        <w:t>3</w:t>
      </w:r>
      <w:r w:rsidRPr="00C32232">
        <w:rPr>
          <w:rFonts w:ascii="Raleway" w:hAnsi="Raleway"/>
          <w:sz w:val="15"/>
          <w:szCs w:val="15"/>
        </w:rPr>
        <w:t>.</w:t>
      </w:r>
    </w:p>
  </w:footnote>
  <w:footnote w:id="85">
    <w:p w14:paraId="6D2F095D" w14:textId="61FDFD8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une Autorité centrale d</w:t>
      </w:r>
      <w:r>
        <w:rPr>
          <w:rFonts w:ascii="Raleway" w:hAnsi="Raleway"/>
          <w:sz w:val="15"/>
          <w:szCs w:val="15"/>
        </w:rPr>
        <w:t>’</w:t>
      </w:r>
      <w:r w:rsidRPr="001E3DBF">
        <w:rPr>
          <w:rFonts w:ascii="Raleway" w:hAnsi="Raleway"/>
          <w:sz w:val="15"/>
          <w:szCs w:val="15"/>
        </w:rPr>
        <w:t>un État d</w:t>
      </w:r>
      <w:r>
        <w:rPr>
          <w:rFonts w:ascii="Raleway" w:hAnsi="Raleway"/>
          <w:sz w:val="15"/>
          <w:szCs w:val="15"/>
        </w:rPr>
        <w:t>’</w:t>
      </w:r>
      <w:r w:rsidRPr="001E3DBF">
        <w:rPr>
          <w:rFonts w:ascii="Raleway" w:hAnsi="Raleway"/>
          <w:sz w:val="15"/>
          <w:szCs w:val="15"/>
        </w:rPr>
        <w:t>accueil membre du Groupe de travail de la HCCH sur les aspects financiers a émis la crainte que certains États d</w:t>
      </w:r>
      <w:r>
        <w:rPr>
          <w:rFonts w:ascii="Raleway" w:hAnsi="Raleway"/>
          <w:sz w:val="15"/>
          <w:szCs w:val="15"/>
        </w:rPr>
        <w:t>’</w:t>
      </w:r>
      <w:r w:rsidRPr="001E3DBF">
        <w:rPr>
          <w:rFonts w:ascii="Raleway" w:hAnsi="Raleway"/>
          <w:sz w:val="15"/>
          <w:szCs w:val="15"/>
        </w:rPr>
        <w:t>origine puissent être dépendants des revenus générés par la légalisation (parfois excessive) des documents, qui est également à l</w:t>
      </w:r>
      <w:r>
        <w:rPr>
          <w:rFonts w:ascii="Raleway" w:hAnsi="Raleway"/>
          <w:sz w:val="15"/>
          <w:szCs w:val="15"/>
        </w:rPr>
        <w:t>’</w:t>
      </w:r>
      <w:r w:rsidRPr="001E3DBF">
        <w:rPr>
          <w:rFonts w:ascii="Raleway" w:hAnsi="Raleway"/>
          <w:sz w:val="15"/>
          <w:szCs w:val="15"/>
        </w:rPr>
        <w:t xml:space="preserve">origine de frais excessifs à la charge des FPA. </w:t>
      </w:r>
    </w:p>
  </w:footnote>
  <w:footnote w:id="86">
    <w:p w14:paraId="06BD15EE" w14:textId="1B6A2B6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Rapport néerlandais de 2021,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126 et 127.</w:t>
      </w:r>
    </w:p>
  </w:footnote>
  <w:footnote w:id="87">
    <w:p w14:paraId="5B994D09" w14:textId="16C3599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EurAdopt, </w:t>
      </w:r>
      <w:hyperlink r:id="rId43" w:history="1">
        <w:r w:rsidRPr="001E3DBF">
          <w:rPr>
            <w:rStyle w:val="Hyperlink"/>
            <w:rFonts w:ascii="Raleway" w:hAnsi="Raleway"/>
            <w:sz w:val="15"/>
            <w:szCs w:val="15"/>
          </w:rPr>
          <w:t>La bonne pratique en ce qui concerne les aspects économiques de l</w:t>
        </w:r>
        <w:r>
          <w:rPr>
            <w:rStyle w:val="Hyperlink"/>
            <w:rFonts w:ascii="Raleway" w:hAnsi="Raleway"/>
            <w:sz w:val="15"/>
            <w:szCs w:val="15"/>
          </w:rPr>
          <w:t>’</w:t>
        </w:r>
        <w:r w:rsidRPr="001E3DBF">
          <w:rPr>
            <w:rStyle w:val="Hyperlink"/>
            <w:rFonts w:ascii="Raleway" w:hAnsi="Raleway"/>
            <w:sz w:val="15"/>
            <w:szCs w:val="15"/>
          </w:rPr>
          <w:t>adoption internationale</w:t>
        </w:r>
      </w:hyperlink>
      <w:r w:rsidRPr="001E3DBF">
        <w:rPr>
          <w:rFonts w:ascii="Raleway" w:hAnsi="Raleway"/>
          <w:sz w:val="15"/>
          <w:szCs w:val="15"/>
        </w:rPr>
        <w:t xml:space="preserve">,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_Ref174714396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45</w:t>
      </w:r>
      <w:r w:rsidRPr="001E3DBF">
        <w:rPr>
          <w:rFonts w:ascii="Raleway" w:hAnsi="Raleway"/>
          <w:sz w:val="15"/>
          <w:szCs w:val="15"/>
        </w:rPr>
        <w:fldChar w:fldCharType="end"/>
      </w:r>
      <w:r w:rsidRPr="001E3DBF">
        <w:rPr>
          <w:rFonts w:ascii="Raleway" w:hAnsi="Raleway"/>
          <w:sz w:val="15"/>
          <w:szCs w:val="15"/>
        </w:rPr>
        <w:t>, chapitre 4.</w:t>
      </w:r>
    </w:p>
  </w:footnote>
  <w:footnote w:id="88">
    <w:p w14:paraId="7B0442BD" w14:textId="7EC340E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ACPF,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24</w:t>
      </w:r>
      <w:r w:rsidRPr="001E3DBF">
        <w:rPr>
          <w:rFonts w:ascii="Raleway" w:hAnsi="Raleway"/>
          <w:sz w:val="15"/>
          <w:szCs w:val="15"/>
        </w:rPr>
        <w:fldChar w:fldCharType="end"/>
      </w:r>
      <w:r w:rsidRPr="001E3DBF">
        <w:rPr>
          <w:rFonts w:ascii="Raleway" w:hAnsi="Raleway"/>
          <w:sz w:val="15"/>
          <w:szCs w:val="15"/>
        </w:rPr>
        <w:t>, p. 2</w:t>
      </w:r>
      <w:r w:rsidR="00D44FF5">
        <w:rPr>
          <w:rFonts w:ascii="Raleway" w:hAnsi="Raleway"/>
          <w:sz w:val="15"/>
          <w:szCs w:val="15"/>
        </w:rPr>
        <w:t>5</w:t>
      </w:r>
      <w:r w:rsidRPr="001E3DBF">
        <w:rPr>
          <w:rFonts w:ascii="Raleway" w:hAnsi="Raleway"/>
          <w:sz w:val="15"/>
          <w:szCs w:val="15"/>
        </w:rPr>
        <w:t xml:space="preserve">. Voir aussi le Rapport néerlandais de 2021,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126 et 127.</w:t>
      </w:r>
    </w:p>
  </w:footnote>
  <w:footnote w:id="89">
    <w:p w14:paraId="43A6F41C" w14:textId="2A11F7A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chapitre 8.6.6.</w:t>
      </w:r>
    </w:p>
  </w:footnote>
  <w:footnote w:id="90">
    <w:p w14:paraId="0DB39D63" w14:textId="07322F8F"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r>
      <w:r w:rsidRPr="00DD2894">
        <w:rPr>
          <w:rFonts w:ascii="Raleway" w:hAnsi="Raleway"/>
          <w:i/>
          <w:sz w:val="15"/>
          <w:szCs w:val="15"/>
          <w:lang w:val="pt-PT"/>
        </w:rPr>
        <w:t>Ibid.</w:t>
      </w:r>
    </w:p>
  </w:footnote>
  <w:footnote w:id="91">
    <w:p w14:paraId="629E8BA4" w14:textId="4ADB8BEF" w:rsidR="00974DA5" w:rsidRPr="00DD2894"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DD2894">
        <w:rPr>
          <w:rFonts w:ascii="Raleway" w:hAnsi="Raleway"/>
          <w:sz w:val="15"/>
          <w:szCs w:val="15"/>
          <w:lang w:val="pt-PT"/>
        </w:rPr>
        <w:t xml:space="preserve"> </w:t>
      </w:r>
      <w:r w:rsidRPr="00DD2894">
        <w:rPr>
          <w:rFonts w:ascii="Raleway" w:hAnsi="Raleway"/>
          <w:sz w:val="15"/>
          <w:szCs w:val="15"/>
          <w:lang w:val="pt-PT"/>
        </w:rPr>
        <w:tab/>
        <w:t>CS de 2010, C&amp;R Nos 1 et 22 à 24 ; CS de 2015, C&amp;R No 46 ; CS de 2022, C&amp;R Nos 13 et 16.</w:t>
      </w:r>
    </w:p>
  </w:footnote>
  <w:footnote w:id="92">
    <w:p w14:paraId="3A650170" w14:textId="0DF1117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Boîte à outils sur les pratiques illicites,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xml:space="preserve">, Glossaire et FS2, ligne 3. </w:t>
      </w:r>
    </w:p>
  </w:footnote>
  <w:footnote w:id="93">
    <w:p w14:paraId="021967B3" w14:textId="52FE66A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Guatemala (</w:t>
      </w:r>
      <w:hyperlink r:id="rId44" w:history="1">
        <w:r w:rsidRPr="001E3DBF">
          <w:rPr>
            <w:rStyle w:val="Hyperlink"/>
            <w:rFonts w:ascii="Raleway" w:hAnsi="Raleway"/>
            <w:i/>
            <w:iCs/>
            <w:sz w:val="15"/>
            <w:szCs w:val="15"/>
          </w:rPr>
          <w:t>Ley de Adopciones</w:t>
        </w:r>
      </w:hyperlink>
      <w:r w:rsidRPr="001E3DBF">
        <w:rPr>
          <w:rFonts w:ascii="Raleway" w:hAnsi="Raleway"/>
          <w:sz w:val="15"/>
          <w:szCs w:val="15"/>
        </w:rPr>
        <w:t xml:space="preserve"> (loi sur les adoptions)</w:t>
      </w:r>
      <w:r w:rsidRPr="001E3DBF">
        <w:rPr>
          <w:rFonts w:ascii="Raleway" w:hAnsi="Raleway"/>
          <w:i/>
          <w:sz w:val="15"/>
          <w:szCs w:val="15"/>
        </w:rPr>
        <w:t xml:space="preserve">, Décret No 77-2007, </w:t>
      </w:r>
      <w:r w:rsidRPr="001E3DBF">
        <w:rPr>
          <w:rFonts w:ascii="Raleway" w:hAnsi="Raleway"/>
          <w:sz w:val="15"/>
          <w:szCs w:val="15"/>
        </w:rPr>
        <w:t>art. 10) ; Panam</w:t>
      </w:r>
      <w:r>
        <w:rPr>
          <w:rFonts w:ascii="Raleway" w:hAnsi="Raleway"/>
          <w:sz w:val="15"/>
          <w:szCs w:val="15"/>
        </w:rPr>
        <w:t>a</w:t>
      </w:r>
      <w:r w:rsidRPr="001E3DBF">
        <w:rPr>
          <w:rFonts w:ascii="Raleway" w:hAnsi="Raleway"/>
          <w:sz w:val="15"/>
          <w:szCs w:val="15"/>
        </w:rPr>
        <w:t xml:space="preserve"> (</w:t>
      </w:r>
      <w:hyperlink r:id="rId45" w:history="1">
        <w:r w:rsidRPr="001E3DBF">
          <w:rPr>
            <w:rStyle w:val="Hyperlink"/>
            <w:rFonts w:ascii="Raleway" w:hAnsi="Raleway"/>
            <w:i/>
            <w:sz w:val="15"/>
            <w:szCs w:val="15"/>
          </w:rPr>
          <w:t>Ley General de Adopciones</w:t>
        </w:r>
      </w:hyperlink>
      <w:r w:rsidRPr="001E3DBF">
        <w:rPr>
          <w:rFonts w:ascii="Raleway" w:hAnsi="Raleway"/>
          <w:sz w:val="15"/>
          <w:szCs w:val="15"/>
        </w:rPr>
        <w:t xml:space="preserve"> (loi générale sur les adoptions)</w:t>
      </w:r>
      <w:r w:rsidRPr="001E3DBF">
        <w:rPr>
          <w:rFonts w:ascii="Raleway" w:hAnsi="Raleway"/>
          <w:i/>
          <w:sz w:val="15"/>
          <w:szCs w:val="15"/>
        </w:rPr>
        <w:t>, loi No 46 du 17 juillet 2013</w:t>
      </w:r>
      <w:r w:rsidRPr="001E3DBF">
        <w:rPr>
          <w:rFonts w:ascii="Raleway" w:hAnsi="Raleway"/>
          <w:sz w:val="15"/>
          <w:szCs w:val="15"/>
        </w:rPr>
        <w:t>, art. 46).</w:t>
      </w:r>
    </w:p>
  </w:footnote>
  <w:footnote w:id="94">
    <w:p w14:paraId="453B1630" w14:textId="77BC989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Australie (</w:t>
      </w:r>
      <w:hyperlink r:id="rId46" w:anchor="ch.3-note" w:history="1">
        <w:r>
          <w:rPr>
            <w:rStyle w:val="Hyperlink"/>
            <w:rFonts w:ascii="Raleway" w:hAnsi="Raleway"/>
            <w:i/>
            <w:iCs/>
            <w:sz w:val="15"/>
            <w:szCs w:val="15"/>
          </w:rPr>
          <w:t>Adoption Act</w:t>
        </w:r>
      </w:hyperlink>
      <w:r>
        <w:rPr>
          <w:rFonts w:ascii="Raleway" w:hAnsi="Raleway"/>
          <w:sz w:val="15"/>
          <w:szCs w:val="15"/>
        </w:rPr>
        <w:t xml:space="preserve"> </w:t>
      </w:r>
      <w:r w:rsidRPr="00AD5312">
        <w:rPr>
          <w:rFonts w:ascii="Raleway" w:hAnsi="Raleway"/>
          <w:i/>
          <w:sz w:val="15"/>
          <w:szCs w:val="15"/>
        </w:rPr>
        <w:t>2000 No 75</w:t>
      </w:r>
      <w:r>
        <w:t xml:space="preserve"> </w:t>
      </w:r>
      <w:r w:rsidRPr="00AD5312">
        <w:t>(</w:t>
      </w:r>
      <w:r w:rsidRPr="00AD5312">
        <w:rPr>
          <w:rFonts w:ascii="Raleway" w:hAnsi="Raleway"/>
          <w:sz w:val="15"/>
          <w:szCs w:val="15"/>
        </w:rPr>
        <w:t>loi No 75 de 2000 sur l</w:t>
      </w:r>
      <w:r>
        <w:rPr>
          <w:rFonts w:ascii="Raleway" w:hAnsi="Raleway"/>
          <w:sz w:val="15"/>
          <w:szCs w:val="15"/>
        </w:rPr>
        <w:t>’</w:t>
      </w:r>
      <w:r w:rsidRPr="00AD5312">
        <w:rPr>
          <w:rFonts w:ascii="Raleway" w:hAnsi="Raleway"/>
          <w:sz w:val="15"/>
          <w:szCs w:val="15"/>
        </w:rPr>
        <w:t>adoption</w:t>
      </w:r>
      <w:r w:rsidRPr="00AD5312">
        <w:rPr>
          <w:rStyle w:val="Hyperlink"/>
          <w:rFonts w:ascii="Raleway" w:hAnsi="Raleway"/>
          <w:sz w:val="15"/>
          <w:szCs w:val="15"/>
        </w:rPr>
        <w:t>)</w:t>
      </w:r>
      <w:r w:rsidRPr="001E3DBF">
        <w:rPr>
          <w:rFonts w:ascii="Raleway" w:hAnsi="Raleway"/>
          <w:sz w:val="15"/>
          <w:szCs w:val="15"/>
        </w:rPr>
        <w:t xml:space="preserve"> – Loi de Nouvelle-Galles du Sud qui précise que les individus ne doivent pas conclure leurs propres accords d</w:t>
      </w:r>
      <w:r>
        <w:rPr>
          <w:rFonts w:ascii="Raleway" w:hAnsi="Raleway"/>
          <w:sz w:val="15"/>
          <w:szCs w:val="15"/>
        </w:rPr>
        <w:t>’</w:t>
      </w:r>
      <w:r w:rsidRPr="001E3DBF">
        <w:rPr>
          <w:rFonts w:ascii="Raleway" w:hAnsi="Raleway"/>
          <w:sz w:val="15"/>
          <w:szCs w:val="15"/>
        </w:rPr>
        <w:t>adoption, que ce soit à titre individuel ou par l</w:t>
      </w:r>
      <w:r>
        <w:rPr>
          <w:rFonts w:ascii="Raleway" w:hAnsi="Raleway"/>
          <w:sz w:val="15"/>
          <w:szCs w:val="15"/>
        </w:rPr>
        <w:t>’</w:t>
      </w:r>
      <w:r w:rsidRPr="001E3DBF">
        <w:rPr>
          <w:rFonts w:ascii="Raleway" w:hAnsi="Raleway"/>
          <w:sz w:val="15"/>
          <w:szCs w:val="15"/>
        </w:rPr>
        <w:t>entremise d</w:t>
      </w:r>
      <w:r>
        <w:rPr>
          <w:rFonts w:ascii="Raleway" w:hAnsi="Raleway"/>
          <w:sz w:val="15"/>
          <w:szCs w:val="15"/>
        </w:rPr>
        <w:t>’</w:t>
      </w:r>
      <w:r w:rsidRPr="001E3DBF">
        <w:rPr>
          <w:rFonts w:ascii="Raleway" w:hAnsi="Raleway"/>
          <w:sz w:val="15"/>
          <w:szCs w:val="15"/>
        </w:rPr>
        <w:t>institutions privées) ; France (</w:t>
      </w:r>
      <w:hyperlink r:id="rId47" w:history="1">
        <w:r w:rsidRPr="005E6C8C">
          <w:rPr>
            <w:rStyle w:val="Hyperlink"/>
            <w:rFonts w:ascii="Raleway" w:hAnsi="Raleway"/>
            <w:sz w:val="15"/>
            <w:szCs w:val="15"/>
          </w:rPr>
          <w:t>loi n°</w:t>
        </w:r>
        <w:r>
          <w:rPr>
            <w:rStyle w:val="Hyperlink"/>
            <w:rFonts w:ascii="Raleway" w:hAnsi="Raleway"/>
            <w:sz w:val="15"/>
            <w:szCs w:val="15"/>
          </w:rPr>
          <w:t>2022</w:t>
        </w:r>
        <w:r>
          <w:rPr>
            <w:rStyle w:val="Hyperlink"/>
            <w:rFonts w:ascii="Raleway" w:hAnsi="Raleway"/>
            <w:sz w:val="15"/>
            <w:szCs w:val="15"/>
          </w:rPr>
          <w:noBreakHyphen/>
        </w:r>
        <w:r w:rsidRPr="005E6C8C">
          <w:rPr>
            <w:rStyle w:val="Hyperlink"/>
            <w:rFonts w:ascii="Raleway" w:hAnsi="Raleway"/>
            <w:sz w:val="15"/>
            <w:szCs w:val="15"/>
          </w:rPr>
          <w:t>219 du 21 février 2022 visant à réformer l</w:t>
        </w:r>
        <w:r>
          <w:rPr>
            <w:rStyle w:val="Hyperlink"/>
            <w:rFonts w:ascii="Raleway" w:hAnsi="Raleway"/>
            <w:sz w:val="15"/>
            <w:szCs w:val="15"/>
          </w:rPr>
          <w:t>’</w:t>
        </w:r>
        <w:r w:rsidRPr="005E6C8C">
          <w:rPr>
            <w:rStyle w:val="Hyperlink"/>
            <w:rFonts w:ascii="Raleway" w:hAnsi="Raleway"/>
            <w:sz w:val="15"/>
            <w:szCs w:val="15"/>
          </w:rPr>
          <w:t>adoption</w:t>
        </w:r>
      </w:hyperlink>
      <w:r w:rsidRPr="001E3DBF">
        <w:rPr>
          <w:rFonts w:ascii="Raleway" w:hAnsi="Raleway"/>
          <w:sz w:val="15"/>
          <w:szCs w:val="15"/>
        </w:rPr>
        <w:t>, art. 14) ; Italie (loi No 184 du 4 mai 1983, telle que modifiée par la Loi No 476 de 1998, art. 31) ; Norvège (</w:t>
      </w:r>
      <w:r w:rsidRPr="001E3DBF">
        <w:rPr>
          <w:rFonts w:ascii="Raleway" w:hAnsi="Raleway"/>
          <w:i/>
          <w:iCs/>
          <w:sz w:val="15"/>
          <w:szCs w:val="15"/>
        </w:rPr>
        <w:t>Adopsjonslove</w:t>
      </w:r>
      <w:r w:rsidRPr="001E3DBF">
        <w:rPr>
          <w:rFonts w:ascii="Raleway" w:hAnsi="Raleway"/>
          <w:sz w:val="15"/>
          <w:szCs w:val="15"/>
        </w:rPr>
        <w:t xml:space="preserve"> </w:t>
      </w:r>
      <w:hyperlink r:id="rId48" w:history="1">
        <w:r w:rsidRPr="001E3DBF">
          <w:rPr>
            <w:rStyle w:val="Hyperlink"/>
            <w:rFonts w:ascii="Raleway" w:hAnsi="Raleway"/>
            <w:sz w:val="15"/>
            <w:szCs w:val="15"/>
          </w:rPr>
          <w:t>(loi sur l</w:t>
        </w:r>
        <w:r>
          <w:rPr>
            <w:rStyle w:val="Hyperlink"/>
            <w:rFonts w:ascii="Raleway" w:hAnsi="Raleway"/>
            <w:sz w:val="15"/>
            <w:szCs w:val="15"/>
          </w:rPr>
          <w:t>’</w:t>
        </w:r>
        <w:r w:rsidRPr="001E3DBF">
          <w:rPr>
            <w:rStyle w:val="Hyperlink"/>
            <w:rFonts w:ascii="Raleway" w:hAnsi="Raleway"/>
            <w:sz w:val="15"/>
            <w:szCs w:val="15"/>
          </w:rPr>
          <w:t>adoption de 2017, section 30)</w:t>
        </w:r>
      </w:hyperlink>
      <w:r w:rsidRPr="001E3DBF">
        <w:rPr>
          <w:rFonts w:ascii="Raleway" w:hAnsi="Raleway"/>
          <w:sz w:val="15"/>
          <w:szCs w:val="15"/>
        </w:rPr>
        <w:t xml:space="preserve"> – Toute adoption par des personnes privées est interdite) ; Sri Lanka (2020) et Thaïlande (2025) (Profils d</w:t>
      </w:r>
      <w:r>
        <w:rPr>
          <w:rFonts w:ascii="Raleway" w:hAnsi="Raleway"/>
          <w:sz w:val="15"/>
          <w:szCs w:val="15"/>
        </w:rPr>
        <w:t>’</w:t>
      </w:r>
      <w:r w:rsidRPr="001E3DBF">
        <w:rPr>
          <w:rFonts w:ascii="Raleway" w:hAnsi="Raleway"/>
          <w:sz w:val="15"/>
          <w:szCs w:val="15"/>
        </w:rPr>
        <w:t>État EO, Q. 38).</w:t>
      </w:r>
    </w:p>
  </w:footnote>
  <w:footnote w:id="95">
    <w:p w14:paraId="3757032C" w14:textId="053A6DA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Par ex., Belgique (Rapport </w:t>
      </w:r>
      <w:r>
        <w:rPr>
          <w:rFonts w:ascii="Raleway" w:hAnsi="Raleway"/>
          <w:sz w:val="15"/>
          <w:szCs w:val="15"/>
        </w:rPr>
        <w:t>flamand</w:t>
      </w:r>
      <w:r w:rsidRPr="001E3DBF">
        <w:rPr>
          <w:rFonts w:ascii="Raleway" w:hAnsi="Raleway"/>
          <w:sz w:val="15"/>
          <w:szCs w:val="15"/>
        </w:rPr>
        <w:t xml:space="preserve">,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21</w:t>
      </w:r>
      <w:r>
        <w:rPr>
          <w:rFonts w:ascii="Raleway" w:hAnsi="Raleway"/>
          <w:sz w:val="15"/>
          <w:szCs w:val="15"/>
        </w:rPr>
        <w:t>)</w:t>
      </w:r>
      <w:r w:rsidRPr="001E3DBF">
        <w:rPr>
          <w:rFonts w:ascii="Raleway" w:hAnsi="Raleway"/>
          <w:sz w:val="15"/>
          <w:szCs w:val="15"/>
        </w:rPr>
        <w:t>.</w:t>
      </w:r>
    </w:p>
  </w:footnote>
  <w:footnote w:id="96">
    <w:p w14:paraId="758A1C65" w14:textId="4FE1591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(Profil d</w:t>
      </w:r>
      <w:r>
        <w:rPr>
          <w:rFonts w:ascii="Raleway" w:hAnsi="Raleway"/>
          <w:sz w:val="15"/>
          <w:szCs w:val="15"/>
        </w:rPr>
        <w:t>’</w:t>
      </w:r>
      <w:r w:rsidRPr="001E3DBF">
        <w:rPr>
          <w:rFonts w:ascii="Raleway" w:hAnsi="Raleway"/>
          <w:sz w:val="15"/>
          <w:szCs w:val="15"/>
        </w:rPr>
        <w:t>État électronique EA (2026), Q. 6) et France (Profil d</w:t>
      </w:r>
      <w:r>
        <w:rPr>
          <w:rFonts w:ascii="Raleway" w:hAnsi="Raleway"/>
          <w:sz w:val="15"/>
          <w:szCs w:val="15"/>
        </w:rPr>
        <w:t>’</w:t>
      </w:r>
      <w:r w:rsidRPr="001E3DBF">
        <w:rPr>
          <w:rFonts w:ascii="Raleway" w:hAnsi="Raleway"/>
          <w:sz w:val="15"/>
          <w:szCs w:val="15"/>
        </w:rPr>
        <w:t>État EA (2025), Q. 6)</w:t>
      </w:r>
    </w:p>
  </w:footnote>
  <w:footnote w:id="97">
    <w:p w14:paraId="5DB02A3C" w14:textId="3D903CB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I. Lammerant et M. Hofstetter, </w:t>
      </w:r>
      <w:hyperlink r:id="rId49" w:history="1">
        <w:r w:rsidRPr="001E3DBF">
          <w:rPr>
            <w:rStyle w:val="Hyperlink"/>
            <w:rFonts w:ascii="Raleway" w:hAnsi="Raleway"/>
            <w:i/>
            <w:color w:val="auto"/>
            <w:sz w:val="15"/>
            <w:szCs w:val="15"/>
          </w:rPr>
          <w:t>Adoption : à quel prix ? Pour une responsabilité éthique des pays d</w:t>
        </w:r>
        <w:r>
          <w:rPr>
            <w:rStyle w:val="Hyperlink"/>
            <w:rFonts w:ascii="Raleway" w:hAnsi="Raleway"/>
            <w:i/>
            <w:color w:val="auto"/>
            <w:sz w:val="15"/>
            <w:szCs w:val="15"/>
          </w:rPr>
          <w:t>’</w:t>
        </w:r>
        <w:r w:rsidRPr="001E3DBF">
          <w:rPr>
            <w:rStyle w:val="Hyperlink"/>
            <w:rFonts w:ascii="Raleway" w:hAnsi="Raleway"/>
            <w:i/>
            <w:color w:val="auto"/>
            <w:sz w:val="15"/>
            <w:szCs w:val="15"/>
          </w:rPr>
          <w:t>accueil dans l</w:t>
        </w:r>
        <w:r>
          <w:rPr>
            <w:rStyle w:val="Hyperlink"/>
            <w:rFonts w:ascii="Raleway" w:hAnsi="Raleway"/>
            <w:i/>
            <w:color w:val="auto"/>
            <w:sz w:val="15"/>
            <w:szCs w:val="15"/>
          </w:rPr>
          <w:t>’</w:t>
        </w:r>
        <w:r w:rsidRPr="001E3DBF">
          <w:rPr>
            <w:rStyle w:val="Hyperlink"/>
            <w:rFonts w:ascii="Raleway" w:hAnsi="Raleway"/>
            <w:i/>
            <w:color w:val="auto"/>
            <w:sz w:val="15"/>
            <w:szCs w:val="15"/>
          </w:rPr>
          <w:t>adoption internationale</w:t>
        </w:r>
      </w:hyperlink>
      <w:r w:rsidRPr="001E3DBF">
        <w:rPr>
          <w:rFonts w:ascii="Raleway" w:hAnsi="Raleway"/>
          <w:sz w:val="15"/>
          <w:szCs w:val="15"/>
        </w:rPr>
        <w:t>, Terre des hommes, Lausanne, 2007, p. 29.</w:t>
      </w:r>
    </w:p>
  </w:footnote>
  <w:footnote w:id="98">
    <w:p w14:paraId="6AA50102" w14:textId="7A9D6B5A" w:rsidR="00974DA5" w:rsidRPr="001E3DBF" w:rsidRDefault="00974DA5" w:rsidP="00CD1418">
      <w:pPr>
        <w:pStyle w:val="FootnoteText"/>
        <w:tabs>
          <w:tab w:val="left" w:pos="1427"/>
        </w:tabs>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CS de 2000, C&amp;R No 11 ; CS de 2005, C&amp;R No 19 ; CS de 2010, C&amp;R No 36 ; 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xml:space="preserve">, chapitre 10.3 ; Boîte à outils sur les pratiques illicites,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p. 18. Par ex., aux États-Unis, l</w:t>
      </w:r>
      <w:r>
        <w:rPr>
          <w:rFonts w:ascii="Raleway" w:hAnsi="Raleway"/>
          <w:sz w:val="15"/>
          <w:szCs w:val="15"/>
        </w:rPr>
        <w:t>’</w:t>
      </w:r>
      <w:hyperlink r:id="rId50" w:history="1">
        <w:r w:rsidRPr="001E3DBF">
          <w:rPr>
            <w:rStyle w:val="Hyperlink"/>
            <w:rFonts w:ascii="Raleway" w:hAnsi="Raleway"/>
            <w:i/>
            <w:iCs/>
            <w:sz w:val="15"/>
            <w:szCs w:val="15"/>
          </w:rPr>
          <w:t>Accredication Act</w:t>
        </w:r>
        <w:r w:rsidRPr="001E3DBF">
          <w:rPr>
            <w:rStyle w:val="Hyperlink"/>
            <w:rFonts w:ascii="Raleway" w:hAnsi="Raleway"/>
            <w:sz w:val="15"/>
            <w:szCs w:val="15"/>
          </w:rPr>
          <w:t xml:space="preserve"> de 2012</w:t>
        </w:r>
      </w:hyperlink>
      <w:r w:rsidRPr="001E3DBF">
        <w:rPr>
          <w:rFonts w:ascii="Raleway" w:hAnsi="Raleway"/>
          <w:sz w:val="15"/>
          <w:szCs w:val="15"/>
        </w:rPr>
        <w:t xml:space="preserve"> (loi relative à l</w:t>
      </w:r>
      <w:r>
        <w:rPr>
          <w:rFonts w:ascii="Raleway" w:hAnsi="Raleway"/>
          <w:sz w:val="15"/>
          <w:szCs w:val="15"/>
        </w:rPr>
        <w:t>’</w:t>
      </w:r>
      <w:r w:rsidRPr="001E3DBF">
        <w:rPr>
          <w:rFonts w:ascii="Raleway" w:hAnsi="Raleway"/>
          <w:sz w:val="15"/>
          <w:szCs w:val="15"/>
        </w:rPr>
        <w:t>agrément universel) exige que toutes les agences américaines ou personnes qui offrent des services d</w:t>
      </w:r>
      <w:r>
        <w:rPr>
          <w:rFonts w:ascii="Raleway" w:hAnsi="Raleway"/>
          <w:sz w:val="15"/>
          <w:szCs w:val="15"/>
        </w:rPr>
        <w:t>’</w:t>
      </w:r>
      <w:r w:rsidRPr="001E3DBF">
        <w:rPr>
          <w:rFonts w:ascii="Raleway" w:hAnsi="Raleway"/>
          <w:sz w:val="15"/>
          <w:szCs w:val="15"/>
        </w:rPr>
        <w:t>adoption soient agréées conformément aux normes américaines en matière d</w:t>
      </w:r>
      <w:r>
        <w:rPr>
          <w:rFonts w:ascii="Raleway" w:hAnsi="Raleway"/>
          <w:sz w:val="15"/>
          <w:szCs w:val="15"/>
        </w:rPr>
        <w:t>’</w:t>
      </w:r>
      <w:r w:rsidRPr="001E3DBF">
        <w:rPr>
          <w:rFonts w:ascii="Raleway" w:hAnsi="Raleway"/>
          <w:sz w:val="15"/>
          <w:szCs w:val="15"/>
        </w:rPr>
        <w:t>agrément fondées sur la Convention de La Haye.</w:t>
      </w:r>
    </w:p>
  </w:footnote>
  <w:footnote w:id="99">
    <w:p w14:paraId="133D76FA" w14:textId="69E1946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Conseil de l</w:t>
      </w:r>
      <w:r>
        <w:rPr>
          <w:rFonts w:ascii="Raleway" w:hAnsi="Raleway"/>
          <w:sz w:val="15"/>
          <w:szCs w:val="15"/>
        </w:rPr>
        <w:t>’</w:t>
      </w:r>
      <w:r w:rsidRPr="001E3DBF">
        <w:rPr>
          <w:rFonts w:ascii="Raleway" w:hAnsi="Raleway"/>
          <w:sz w:val="15"/>
          <w:szCs w:val="15"/>
        </w:rPr>
        <w:t xml:space="preserve">Europe (Assemblée parlementaire, </w:t>
      </w:r>
      <w:hyperlink r:id="rId51" w:history="1">
        <w:r>
          <w:rPr>
            <w:rStyle w:val="Hyperlink"/>
            <w:rFonts w:ascii="Raleway" w:hAnsi="Raleway"/>
            <w:color w:val="auto"/>
            <w:sz w:val="15"/>
            <w:szCs w:val="15"/>
          </w:rPr>
          <w:t>Recomma</w:t>
        </w:r>
        <w:r w:rsidRPr="001E3DBF">
          <w:rPr>
            <w:rStyle w:val="Hyperlink"/>
            <w:rFonts w:ascii="Raleway" w:hAnsi="Raleway"/>
            <w:color w:val="auto"/>
            <w:sz w:val="15"/>
            <w:szCs w:val="15"/>
          </w:rPr>
          <w:t>ndation 1443 (2000)</w:t>
        </w:r>
      </w:hyperlink>
      <w:r w:rsidRPr="001E3DBF">
        <w:rPr>
          <w:rFonts w:ascii="Raleway" w:hAnsi="Raleway"/>
          <w:sz w:val="15"/>
          <w:szCs w:val="15"/>
        </w:rPr>
        <w:t>, Pour un respect des droits de l</w:t>
      </w:r>
      <w:r>
        <w:rPr>
          <w:rFonts w:ascii="Raleway" w:hAnsi="Raleway"/>
          <w:sz w:val="15"/>
          <w:szCs w:val="15"/>
        </w:rPr>
        <w:t>’</w:t>
      </w:r>
      <w:r w:rsidRPr="001E3DBF">
        <w:rPr>
          <w:rFonts w:ascii="Raleway" w:hAnsi="Raleway"/>
          <w:sz w:val="15"/>
          <w:szCs w:val="15"/>
        </w:rPr>
        <w:t>enfant dans l</w:t>
      </w:r>
      <w:r>
        <w:rPr>
          <w:rFonts w:ascii="Raleway" w:hAnsi="Raleway"/>
          <w:sz w:val="15"/>
          <w:szCs w:val="15"/>
        </w:rPr>
        <w:t>’</w:t>
      </w:r>
      <w:r w:rsidRPr="001E3DBF">
        <w:rPr>
          <w:rFonts w:ascii="Raleway" w:hAnsi="Raleway"/>
          <w:sz w:val="15"/>
          <w:szCs w:val="15"/>
        </w:rPr>
        <w:t>adoption internationale).</w:t>
      </w:r>
    </w:p>
  </w:footnote>
  <w:footnote w:id="100">
    <w:p w14:paraId="0F7C8BE1" w14:textId="36B150F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lang w:val="en-GB"/>
        </w:rPr>
        <w:t xml:space="preserve"> </w:t>
      </w:r>
      <w:r w:rsidRPr="001E3DBF">
        <w:rPr>
          <w:rFonts w:ascii="Raleway" w:hAnsi="Raleway"/>
          <w:sz w:val="15"/>
          <w:szCs w:val="15"/>
          <w:lang w:val="en-GB"/>
        </w:rPr>
        <w:tab/>
        <w:t xml:space="preserve">K Watson, </w:t>
      </w:r>
      <w:r w:rsidRPr="001E3DBF">
        <w:rPr>
          <w:rFonts w:ascii="Raleway" w:hAnsi="Raleway"/>
          <w:i/>
          <w:sz w:val="15"/>
          <w:szCs w:val="15"/>
          <w:lang w:val="en-GB"/>
        </w:rPr>
        <w:t>“</w:t>
      </w:r>
      <w:r w:rsidRPr="001E3DBF">
        <w:rPr>
          <w:rFonts w:ascii="Raleway" w:hAnsi="Raleway"/>
          <w:sz w:val="15"/>
          <w:szCs w:val="15"/>
          <w:lang w:val="en-GB"/>
        </w:rPr>
        <w:t>Who cares if people are exploited by adoption</w:t>
      </w:r>
      <w:r w:rsidRPr="001E3DBF">
        <w:rPr>
          <w:rFonts w:ascii="Raleway" w:hAnsi="Raleway"/>
          <w:i/>
          <w:sz w:val="15"/>
          <w:szCs w:val="15"/>
          <w:lang w:val="en-GB"/>
        </w:rPr>
        <w:t>”</w:t>
      </w:r>
      <w:r w:rsidRPr="001E3DBF">
        <w:rPr>
          <w:rFonts w:ascii="Raleway" w:hAnsi="Raleway"/>
          <w:sz w:val="15"/>
          <w:szCs w:val="15"/>
          <w:lang w:val="en-GB"/>
        </w:rPr>
        <w:t xml:space="preserve">, American Adoption Congress, 1999. </w:t>
      </w:r>
      <w:r w:rsidRPr="001E3DBF">
        <w:rPr>
          <w:rFonts w:ascii="Raleway" w:hAnsi="Raleway"/>
          <w:sz w:val="15"/>
          <w:szCs w:val="15"/>
        </w:rPr>
        <w:t>Voir aussi chapitre </w:t>
      </w:r>
      <w:r w:rsidRPr="001E3DBF">
        <w:rPr>
          <w:rFonts w:ascii="Raleway" w:hAnsi="Raleway"/>
          <w:sz w:val="15"/>
          <w:szCs w:val="15"/>
        </w:rPr>
        <w:fldChar w:fldCharType="begin"/>
      </w:r>
      <w:r w:rsidRPr="001E3DBF">
        <w:rPr>
          <w:rFonts w:ascii="Raleway" w:hAnsi="Raleway"/>
          <w:sz w:val="15"/>
          <w:szCs w:val="15"/>
        </w:rPr>
        <w:instrText xml:space="preserve"> REF _Ref212145573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3</w:t>
      </w:r>
      <w:r w:rsidRPr="001E3DBF">
        <w:rPr>
          <w:rFonts w:ascii="Raleway" w:hAnsi="Raleway"/>
          <w:sz w:val="15"/>
          <w:szCs w:val="15"/>
        </w:rPr>
        <w:fldChar w:fldCharType="end"/>
      </w:r>
      <w:r w:rsidRPr="001E3DBF">
        <w:rPr>
          <w:rFonts w:ascii="Raleway" w:hAnsi="Raleway"/>
          <w:sz w:val="15"/>
          <w:szCs w:val="15"/>
        </w:rPr>
        <w:t xml:space="preserve"> de </w:t>
      </w:r>
      <w:r>
        <w:rPr>
          <w:rFonts w:ascii="Raleway" w:hAnsi="Raleway"/>
          <w:sz w:val="15"/>
          <w:szCs w:val="15"/>
        </w:rPr>
        <w:t>la présente</w:t>
      </w:r>
      <w:r w:rsidRPr="001E3DBF">
        <w:rPr>
          <w:rFonts w:ascii="Raleway" w:hAnsi="Raleway"/>
          <w:sz w:val="15"/>
          <w:szCs w:val="15"/>
        </w:rPr>
        <w:t xml:space="preserve"> Note.</w:t>
      </w:r>
    </w:p>
  </w:footnote>
  <w:footnote w:id="101">
    <w:p w14:paraId="2A95D6BC" w14:textId="6506E18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dans certains cas, des personnes et / ou organisations apportant une aide aux adoptés dans la recherche de leurs origines peuvent facturer des sommes considérables. Dans certains cas, en particulier lorsque les systèmes de tenue de registres sont faibles ou que la procédure d</w:t>
      </w:r>
      <w:r>
        <w:rPr>
          <w:rFonts w:ascii="Raleway" w:hAnsi="Raleway"/>
          <w:sz w:val="15"/>
          <w:szCs w:val="15"/>
        </w:rPr>
        <w:t>’</w:t>
      </w:r>
      <w:r w:rsidRPr="001E3DBF">
        <w:rPr>
          <w:rFonts w:ascii="Raleway" w:hAnsi="Raleway"/>
          <w:sz w:val="15"/>
          <w:szCs w:val="15"/>
        </w:rPr>
        <w:t>adoption manque de transparence, des individus peu soucieux de l</w:t>
      </w:r>
      <w:r>
        <w:rPr>
          <w:rFonts w:ascii="Raleway" w:hAnsi="Raleway"/>
          <w:sz w:val="15"/>
          <w:szCs w:val="15"/>
        </w:rPr>
        <w:t>’</w:t>
      </w:r>
      <w:r w:rsidRPr="001E3DBF">
        <w:rPr>
          <w:rFonts w:ascii="Raleway" w:hAnsi="Raleway"/>
          <w:sz w:val="15"/>
          <w:szCs w:val="15"/>
        </w:rPr>
        <w:t>éthique peuvent piéger des adoptés qui sont à la recherche d</w:t>
      </w:r>
      <w:r>
        <w:rPr>
          <w:rFonts w:ascii="Raleway" w:hAnsi="Raleway"/>
          <w:sz w:val="15"/>
          <w:szCs w:val="15"/>
        </w:rPr>
        <w:t>’</w:t>
      </w:r>
      <w:r w:rsidRPr="001E3DBF">
        <w:rPr>
          <w:rFonts w:ascii="Raleway" w:hAnsi="Raleway"/>
          <w:sz w:val="15"/>
          <w:szCs w:val="15"/>
        </w:rPr>
        <w:t>informations relatives à leur naissance. Ces individus demandent aux adoptés de payer, pour, en fin de compte, falsifier les registres et / ou présenter des imposteurs comme étant les parents d</w:t>
      </w:r>
      <w:r>
        <w:rPr>
          <w:rFonts w:ascii="Raleway" w:hAnsi="Raleway"/>
          <w:sz w:val="15"/>
          <w:szCs w:val="15"/>
        </w:rPr>
        <w:t>’</w:t>
      </w:r>
      <w:r w:rsidRPr="001E3DBF">
        <w:rPr>
          <w:rFonts w:ascii="Raleway" w:hAnsi="Raleway"/>
          <w:sz w:val="15"/>
          <w:szCs w:val="15"/>
        </w:rPr>
        <w:t xml:space="preserve">origine (L. Cherel, </w:t>
      </w:r>
      <w:r w:rsidRPr="00F076F4">
        <w:rPr>
          <w:rFonts w:ascii="Raleway" w:hAnsi="Raleway"/>
          <w:sz w:val="15"/>
          <w:szCs w:val="15"/>
        </w:rPr>
        <w:t xml:space="preserve">Cellule investigation de Radio France, </w:t>
      </w:r>
      <w:hyperlink r:id="rId52" w:history="1">
        <w:r w:rsidRPr="00F076F4">
          <w:rPr>
            <w:rStyle w:val="Hyperlink"/>
            <w:rFonts w:ascii="Raleway" w:hAnsi="Raleway"/>
            <w:sz w:val="15"/>
            <w:szCs w:val="15"/>
          </w:rPr>
          <w:t>Comment des personnes adoptées à l</w:t>
        </w:r>
        <w:r>
          <w:rPr>
            <w:rStyle w:val="Hyperlink"/>
            <w:rFonts w:ascii="Raleway" w:hAnsi="Raleway"/>
            <w:sz w:val="15"/>
            <w:szCs w:val="15"/>
          </w:rPr>
          <w:t>’</w:t>
        </w:r>
        <w:r w:rsidRPr="00F076F4">
          <w:rPr>
            <w:rStyle w:val="Hyperlink"/>
            <w:rFonts w:ascii="Raleway" w:hAnsi="Raleway"/>
            <w:sz w:val="15"/>
            <w:szCs w:val="15"/>
          </w:rPr>
          <w:t>étranger se font piéger par des pseudo-détectives</w:t>
        </w:r>
      </w:hyperlink>
      <w:r w:rsidRPr="001E3DBF">
        <w:rPr>
          <w:rFonts w:ascii="Raleway" w:hAnsi="Raleway"/>
          <w:sz w:val="15"/>
          <w:szCs w:val="15"/>
        </w:rPr>
        <w:t xml:space="preserve">, Radio France, 2023 et </w:t>
      </w:r>
      <w:hyperlink r:id="rId53" w:history="1">
        <w:r w:rsidRPr="002502D5">
          <w:rPr>
            <w:rStyle w:val="Hyperlink"/>
            <w:rFonts w:ascii="Raleway" w:hAnsi="Raleway"/>
            <w:sz w:val="15"/>
            <w:szCs w:val="15"/>
          </w:rPr>
          <w:t>Adoptions : le business lucratif de la recherche des origines</w:t>
        </w:r>
      </w:hyperlink>
      <w:r w:rsidRPr="001E3DBF">
        <w:rPr>
          <w:rFonts w:ascii="Raleway" w:hAnsi="Raleway"/>
          <w:sz w:val="15"/>
          <w:szCs w:val="15"/>
        </w:rPr>
        <w:t xml:space="preserve">, France Info, 2023). </w:t>
      </w:r>
    </w:p>
  </w:footnote>
  <w:footnote w:id="102">
    <w:p w14:paraId="2B019224" w14:textId="66932E0E" w:rsidR="00974DA5" w:rsidRPr="001E3DBF" w:rsidRDefault="00974DA5" w:rsidP="00CD1418">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l</w:t>
      </w:r>
      <w:r>
        <w:rPr>
          <w:rFonts w:ascii="Raleway" w:hAnsi="Raleway"/>
          <w:sz w:val="15"/>
          <w:szCs w:val="15"/>
        </w:rPr>
        <w:t>’</w:t>
      </w:r>
      <w:r w:rsidRPr="001E3DBF">
        <w:rPr>
          <w:rFonts w:ascii="Raleway" w:hAnsi="Raleway"/>
          <w:sz w:val="15"/>
          <w:szCs w:val="15"/>
        </w:rPr>
        <w:t>adoption internationale était perçue comme « une question purement privée. Elle s</w:t>
      </w:r>
      <w:r>
        <w:rPr>
          <w:rFonts w:ascii="Raleway" w:hAnsi="Raleway"/>
          <w:sz w:val="15"/>
          <w:szCs w:val="15"/>
        </w:rPr>
        <w:t>’</w:t>
      </w:r>
      <w:r w:rsidRPr="001E3DBF">
        <w:rPr>
          <w:rFonts w:ascii="Raleway" w:hAnsi="Raleway"/>
          <w:sz w:val="15"/>
          <w:szCs w:val="15"/>
        </w:rPr>
        <w:t>appuyait sur [...] des intermédiaires et des autorités étrangères en dépit de fréquents signes d</w:t>
      </w:r>
      <w:r>
        <w:rPr>
          <w:rFonts w:ascii="Raleway" w:hAnsi="Raleway"/>
          <w:sz w:val="15"/>
          <w:szCs w:val="15"/>
        </w:rPr>
        <w:t>’</w:t>
      </w:r>
      <w:r w:rsidRPr="001E3DBF">
        <w:rPr>
          <w:rFonts w:ascii="Raleway" w:hAnsi="Raleway"/>
          <w:sz w:val="15"/>
          <w:szCs w:val="15"/>
        </w:rPr>
        <w:t>abus »</w:t>
      </w:r>
      <w:r>
        <w:rPr>
          <w:rFonts w:ascii="Raleway" w:hAnsi="Raleway"/>
          <w:sz w:val="15"/>
          <w:szCs w:val="15"/>
        </w:rPr>
        <w:t> :</w:t>
      </w:r>
      <w:r w:rsidRPr="001E3DBF">
        <w:rPr>
          <w:rFonts w:ascii="Raleway" w:hAnsi="Raleway"/>
          <w:sz w:val="15"/>
          <w:szCs w:val="15"/>
        </w:rPr>
        <w:t xml:space="preserve"> Rapport néerlandais de 2021,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125.</w:t>
      </w:r>
    </w:p>
  </w:footnote>
  <w:footnote w:id="103">
    <w:p w14:paraId="76503C8D" w14:textId="03CF711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Comme en Roumanie et au Guatemala, où après la découverte de cas de vente et de traite d</w:t>
      </w:r>
      <w:r>
        <w:rPr>
          <w:rFonts w:ascii="Raleway" w:hAnsi="Raleway"/>
          <w:sz w:val="15"/>
          <w:szCs w:val="15"/>
        </w:rPr>
        <w:t>’</w:t>
      </w:r>
      <w:r w:rsidRPr="001E3DBF">
        <w:rPr>
          <w:rFonts w:ascii="Raleway" w:hAnsi="Raleway"/>
          <w:sz w:val="15"/>
          <w:szCs w:val="15"/>
        </w:rPr>
        <w:t>enfants, un moratoire a été déclaré et de nouvelles lois et procédures ont été approuvées.</w:t>
      </w:r>
    </w:p>
  </w:footnote>
  <w:footnote w:id="104">
    <w:p w14:paraId="2B8EEB2A" w14:textId="2C9C376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Pr>
          <w:rFonts w:ascii="Raleway" w:hAnsi="Raleway"/>
          <w:sz w:val="15"/>
          <w:szCs w:val="15"/>
        </w:rPr>
        <w:t>, para. </w:t>
      </w:r>
      <w:r w:rsidRPr="001E3DBF">
        <w:rPr>
          <w:rFonts w:ascii="Raleway" w:hAnsi="Raleway"/>
          <w:sz w:val="15"/>
          <w:szCs w:val="15"/>
        </w:rPr>
        <w:t xml:space="preserve">63 et 71. Voir aussi le </w:t>
      </w:r>
      <w:hyperlink r:id="rId54" w:history="1">
        <w:r w:rsidRPr="001E3DBF">
          <w:rPr>
            <w:rStyle w:val="Hyperlink"/>
            <w:rFonts w:ascii="Raleway" w:hAnsi="Raleway"/>
            <w:sz w:val="15"/>
            <w:szCs w:val="15"/>
          </w:rPr>
          <w:t>Communiqué d</w:t>
        </w:r>
        <w:r>
          <w:rPr>
            <w:rStyle w:val="Hyperlink"/>
            <w:rFonts w:ascii="Raleway" w:hAnsi="Raleway"/>
            <w:sz w:val="15"/>
            <w:szCs w:val="15"/>
          </w:rPr>
          <w:t>’</w:t>
        </w:r>
        <w:r w:rsidRPr="001E3DBF">
          <w:rPr>
            <w:rStyle w:val="Hyperlink"/>
            <w:rFonts w:ascii="Raleway" w:hAnsi="Raleway"/>
            <w:sz w:val="15"/>
            <w:szCs w:val="15"/>
          </w:rPr>
          <w:t>Addis-Abeba sur l</w:t>
        </w:r>
        <w:r>
          <w:rPr>
            <w:rStyle w:val="Hyperlink"/>
            <w:rFonts w:ascii="Raleway" w:hAnsi="Raleway"/>
            <w:sz w:val="15"/>
            <w:szCs w:val="15"/>
          </w:rPr>
          <w:t>’</w:t>
        </w:r>
        <w:r w:rsidRPr="001E3DBF">
          <w:rPr>
            <w:rStyle w:val="Hyperlink"/>
            <w:rFonts w:ascii="Raleway" w:hAnsi="Raleway"/>
            <w:sz w:val="15"/>
            <w:szCs w:val="15"/>
          </w:rPr>
          <w:t>adoption internationale</w:t>
        </w:r>
      </w:hyperlink>
      <w:r w:rsidRPr="001E3DBF">
        <w:rPr>
          <w:rFonts w:ascii="Raleway" w:hAnsi="Raleway"/>
          <w:sz w:val="15"/>
          <w:szCs w:val="15"/>
        </w:rPr>
        <w:t>, adopté par les participants à la cinquième Conférence internationale sur l</w:t>
      </w:r>
      <w:r>
        <w:rPr>
          <w:rFonts w:ascii="Raleway" w:hAnsi="Raleway"/>
          <w:sz w:val="15"/>
          <w:szCs w:val="15"/>
        </w:rPr>
        <w:t>’</w:t>
      </w:r>
      <w:r w:rsidRPr="001E3DBF">
        <w:rPr>
          <w:rFonts w:ascii="Raleway" w:hAnsi="Raleway"/>
          <w:sz w:val="15"/>
          <w:szCs w:val="15"/>
        </w:rPr>
        <w:t>enfant africain (Addis-Abeba, du 29 au 30 mai 2012).</w:t>
      </w:r>
    </w:p>
  </w:footnote>
  <w:footnote w:id="105">
    <w:p w14:paraId="0230FEA7" w14:textId="37DE0A2A" w:rsidR="00974DA5" w:rsidRPr="00D97A41"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D97A41">
        <w:rPr>
          <w:rFonts w:ascii="Raleway" w:hAnsi="Raleway"/>
          <w:sz w:val="15"/>
          <w:szCs w:val="15"/>
        </w:rPr>
        <w:t xml:space="preserve"> </w:t>
      </w:r>
      <w:r w:rsidRPr="00D97A41">
        <w:rPr>
          <w:rFonts w:ascii="Raleway" w:hAnsi="Raleway"/>
          <w:sz w:val="15"/>
          <w:szCs w:val="15"/>
        </w:rPr>
        <w:tab/>
        <w:t xml:space="preserve">D. Smolin, </w:t>
      </w:r>
      <w:r w:rsidRPr="00D97A41">
        <w:rPr>
          <w:rFonts w:ascii="Raleway" w:hAnsi="Raleway"/>
          <w:i/>
          <w:sz w:val="15"/>
          <w:szCs w:val="15"/>
        </w:rPr>
        <w:t>supra</w:t>
      </w:r>
      <w:r w:rsidRPr="00D97A41">
        <w:rPr>
          <w:rFonts w:ascii="Raleway" w:hAnsi="Raleway"/>
          <w:sz w:val="15"/>
          <w:szCs w:val="15"/>
        </w:rPr>
        <w:t xml:space="preserve"> note </w:t>
      </w:r>
      <w:r w:rsidRPr="001E3DBF">
        <w:rPr>
          <w:rFonts w:ascii="Raleway" w:hAnsi="Raleway"/>
          <w:sz w:val="15"/>
          <w:szCs w:val="15"/>
        </w:rPr>
        <w:fldChar w:fldCharType="begin"/>
      </w:r>
      <w:r w:rsidRPr="00D97A41">
        <w:rPr>
          <w:rFonts w:ascii="Raleway" w:hAnsi="Raleway"/>
          <w:sz w:val="15"/>
          <w:szCs w:val="15"/>
        </w:rPr>
        <w:instrText xml:space="preserve"> NOTEREF _Ref142552927 \h  \* MERGEFORMAT </w:instrText>
      </w:r>
      <w:r w:rsidRPr="001E3DBF">
        <w:rPr>
          <w:rFonts w:ascii="Raleway" w:hAnsi="Raleway"/>
          <w:sz w:val="15"/>
          <w:szCs w:val="15"/>
        </w:rPr>
      </w:r>
      <w:r w:rsidRPr="001E3DBF">
        <w:rPr>
          <w:rFonts w:ascii="Raleway" w:hAnsi="Raleway"/>
          <w:sz w:val="15"/>
          <w:szCs w:val="15"/>
        </w:rPr>
        <w:fldChar w:fldCharType="separate"/>
      </w:r>
      <w:r w:rsidR="00E6549D" w:rsidRPr="00D97A41">
        <w:rPr>
          <w:rFonts w:ascii="Raleway" w:hAnsi="Raleway"/>
          <w:sz w:val="15"/>
          <w:szCs w:val="15"/>
        </w:rPr>
        <w:t>80</w:t>
      </w:r>
      <w:r w:rsidRPr="001E3DBF">
        <w:rPr>
          <w:rFonts w:ascii="Raleway" w:hAnsi="Raleway"/>
          <w:sz w:val="15"/>
          <w:szCs w:val="15"/>
        </w:rPr>
        <w:fldChar w:fldCharType="end"/>
      </w:r>
      <w:r w:rsidRPr="00D97A41">
        <w:rPr>
          <w:rFonts w:ascii="Raleway" w:hAnsi="Raleway"/>
          <w:sz w:val="15"/>
          <w:szCs w:val="15"/>
        </w:rPr>
        <w:t>, p. 20.</w:t>
      </w:r>
    </w:p>
  </w:footnote>
  <w:footnote w:id="106">
    <w:p w14:paraId="56DDC5B8" w14:textId="21AD5C4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Le BP offre une assistance technique à la rédaction des instruments juridiques nationaux par l</w:t>
      </w:r>
      <w:r>
        <w:rPr>
          <w:rFonts w:ascii="Raleway" w:hAnsi="Raleway"/>
          <w:sz w:val="15"/>
          <w:szCs w:val="15"/>
        </w:rPr>
        <w:t>’</w:t>
      </w:r>
      <w:r w:rsidRPr="001E3DBF">
        <w:rPr>
          <w:rFonts w:ascii="Raleway" w:hAnsi="Raleway"/>
          <w:sz w:val="15"/>
          <w:szCs w:val="15"/>
        </w:rPr>
        <w:t>entremise de son Programme d</w:t>
      </w:r>
      <w:r>
        <w:rPr>
          <w:rFonts w:ascii="Raleway" w:hAnsi="Raleway"/>
          <w:sz w:val="15"/>
          <w:szCs w:val="15"/>
        </w:rPr>
        <w:t>’</w:t>
      </w:r>
      <w:r w:rsidRPr="001E3DBF">
        <w:rPr>
          <w:rFonts w:ascii="Raleway" w:hAnsi="Raleway"/>
          <w:sz w:val="15"/>
          <w:szCs w:val="15"/>
        </w:rPr>
        <w:t>assistance technique en matière d</w:t>
      </w:r>
      <w:r>
        <w:rPr>
          <w:rFonts w:ascii="Raleway" w:hAnsi="Raleway"/>
          <w:sz w:val="15"/>
          <w:szCs w:val="15"/>
        </w:rPr>
        <w:t>’</w:t>
      </w:r>
      <w:r w:rsidRPr="001E3DBF">
        <w:rPr>
          <w:rFonts w:ascii="Raleway" w:hAnsi="Raleway"/>
          <w:sz w:val="15"/>
          <w:szCs w:val="15"/>
        </w:rPr>
        <w:t>adoption internationale (</w:t>
      </w:r>
      <w:hyperlink r:id="rId55" w:history="1">
        <w:r w:rsidRPr="001E3DBF">
          <w:rPr>
            <w:rStyle w:val="Hyperlink"/>
            <w:rFonts w:ascii="Raleway" w:hAnsi="Raleway"/>
            <w:sz w:val="15"/>
            <w:szCs w:val="15"/>
          </w:rPr>
          <w:t>ICATAP</w:t>
        </w:r>
      </w:hyperlink>
      <w:r w:rsidRPr="001E3DBF">
        <w:rPr>
          <w:rFonts w:ascii="Raleway" w:hAnsi="Raleway"/>
          <w:sz w:val="15"/>
          <w:szCs w:val="15"/>
        </w:rPr>
        <w:t>).</w:t>
      </w:r>
    </w:p>
  </w:footnote>
  <w:footnote w:id="107">
    <w:p w14:paraId="14F712D1" w14:textId="0A01407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sidRPr="001E3DBF">
        <w:rPr>
          <w:rFonts w:ascii="Raleway" w:hAnsi="Raleway"/>
          <w:sz w:val="15"/>
          <w:szCs w:val="15"/>
        </w:rPr>
        <w:t>, para. 66.</w:t>
      </w:r>
    </w:p>
  </w:footnote>
  <w:footnote w:id="108">
    <w:p w14:paraId="5398D530" w14:textId="2E75AA7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les réponses au Profil d</w:t>
      </w:r>
      <w:r>
        <w:rPr>
          <w:rFonts w:ascii="Raleway" w:hAnsi="Raleway"/>
          <w:sz w:val="15"/>
          <w:szCs w:val="15"/>
        </w:rPr>
        <w:t>’</w:t>
      </w:r>
      <w:r w:rsidRPr="001E3DBF">
        <w:rPr>
          <w:rFonts w:ascii="Raleway" w:hAnsi="Raleway"/>
          <w:sz w:val="15"/>
          <w:szCs w:val="15"/>
        </w:rPr>
        <w:t>État (électronique) EO, Q. 33(a) et au Profil d</w:t>
      </w:r>
      <w:r>
        <w:rPr>
          <w:rFonts w:ascii="Raleway" w:hAnsi="Raleway"/>
          <w:sz w:val="15"/>
          <w:szCs w:val="15"/>
        </w:rPr>
        <w:t>’</w:t>
      </w:r>
      <w:r w:rsidRPr="001E3DBF">
        <w:rPr>
          <w:rFonts w:ascii="Raleway" w:hAnsi="Raleway"/>
          <w:sz w:val="15"/>
          <w:szCs w:val="15"/>
        </w:rPr>
        <w:t>État (électronique) EA, Q. 29(a).</w:t>
      </w:r>
      <w:r w:rsidR="00E6549D">
        <w:rPr>
          <w:rFonts w:ascii="Raleway" w:hAnsi="Raleway"/>
          <w:sz w:val="15"/>
          <w:szCs w:val="15"/>
        </w:rPr>
        <w:t xml:space="preserve"> </w:t>
      </w:r>
    </w:p>
  </w:footnote>
  <w:footnote w:id="109">
    <w:p w14:paraId="5DE377BF" w14:textId="5D1CF33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(Victoria) (</w:t>
      </w:r>
      <w:hyperlink r:id="rId56" w:history="1">
        <w:r w:rsidRPr="001E3DBF">
          <w:rPr>
            <w:rStyle w:val="Hyperlink"/>
            <w:rFonts w:ascii="Raleway" w:hAnsi="Raleway"/>
            <w:i/>
            <w:iCs/>
            <w:sz w:val="15"/>
            <w:szCs w:val="15"/>
          </w:rPr>
          <w:t>Adoption Act 1984</w:t>
        </w:r>
      </w:hyperlink>
      <w:r w:rsidRPr="001E3DBF">
        <w:rPr>
          <w:rFonts w:ascii="Raleway" w:hAnsi="Raleway"/>
          <w:sz w:val="15"/>
          <w:szCs w:val="15"/>
        </w:rPr>
        <w:t xml:space="preserve"> (loi sur l</w:t>
      </w:r>
      <w:r>
        <w:rPr>
          <w:rFonts w:ascii="Raleway" w:hAnsi="Raleway"/>
          <w:sz w:val="15"/>
          <w:szCs w:val="15"/>
        </w:rPr>
        <w:t>’</w:t>
      </w:r>
      <w:r w:rsidRPr="001E3DBF">
        <w:rPr>
          <w:rFonts w:ascii="Raleway" w:hAnsi="Raleway"/>
          <w:sz w:val="15"/>
          <w:szCs w:val="15"/>
        </w:rPr>
        <w:t xml:space="preserve">adoption de 1984), section 112 ; </w:t>
      </w:r>
      <w:hyperlink r:id="rId57" w:history="1">
        <w:r w:rsidRPr="001E3DBF">
          <w:rPr>
            <w:rStyle w:val="Hyperlink"/>
            <w:rFonts w:ascii="Raleway" w:hAnsi="Raleway"/>
            <w:i/>
            <w:iCs/>
            <w:sz w:val="15"/>
            <w:szCs w:val="15"/>
          </w:rPr>
          <w:t>Adoption (Fees) Regulations 2005</w:t>
        </w:r>
      </w:hyperlink>
      <w:r w:rsidRPr="001E3DBF">
        <w:rPr>
          <w:rFonts w:ascii="Raleway" w:hAnsi="Raleway"/>
          <w:sz w:val="15"/>
          <w:szCs w:val="15"/>
        </w:rPr>
        <w:t xml:space="preserve"> (</w:t>
      </w:r>
      <w:r>
        <w:rPr>
          <w:rFonts w:ascii="Raleway" w:hAnsi="Raleway"/>
          <w:sz w:val="15"/>
          <w:szCs w:val="15"/>
        </w:rPr>
        <w:t>règlement sur</w:t>
      </w:r>
      <w:r w:rsidRPr="001E3DBF">
        <w:rPr>
          <w:rFonts w:ascii="Raleway" w:hAnsi="Raleway"/>
          <w:sz w:val="15"/>
          <w:szCs w:val="15"/>
        </w:rPr>
        <w:t xml:space="preserve"> (</w:t>
      </w:r>
      <w:r>
        <w:rPr>
          <w:rFonts w:ascii="Raleway" w:hAnsi="Raleway"/>
          <w:sz w:val="15"/>
          <w:szCs w:val="15"/>
        </w:rPr>
        <w:t>l</w:t>
      </w:r>
      <w:r w:rsidRPr="001E3DBF">
        <w:rPr>
          <w:rFonts w:ascii="Raleway" w:hAnsi="Raleway"/>
          <w:sz w:val="15"/>
          <w:szCs w:val="15"/>
        </w:rPr>
        <w:t>es frais</w:t>
      </w:r>
      <w:r>
        <w:rPr>
          <w:rFonts w:ascii="Raleway" w:hAnsi="Raleway"/>
          <w:sz w:val="15"/>
          <w:szCs w:val="15"/>
        </w:rPr>
        <w:t xml:space="preserve"> de</w:t>
      </w:r>
      <w:r w:rsidRPr="001E3DBF">
        <w:rPr>
          <w:rFonts w:ascii="Raleway" w:hAnsi="Raleway"/>
          <w:sz w:val="15"/>
          <w:szCs w:val="15"/>
        </w:rPr>
        <w:t>) l</w:t>
      </w:r>
      <w:r>
        <w:rPr>
          <w:rFonts w:ascii="Raleway" w:hAnsi="Raleway"/>
          <w:sz w:val="15"/>
          <w:szCs w:val="15"/>
        </w:rPr>
        <w:t>’</w:t>
      </w:r>
      <w:r w:rsidRPr="001E3DBF">
        <w:rPr>
          <w:rFonts w:ascii="Raleway" w:hAnsi="Raleway"/>
          <w:sz w:val="15"/>
          <w:szCs w:val="15"/>
        </w:rPr>
        <w:t>adoption de 2005)).</w:t>
      </w:r>
    </w:p>
  </w:footnote>
  <w:footnote w:id="110">
    <w:p w14:paraId="219EB78D" w14:textId="38755E3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(Colombie-Britannique) (</w:t>
      </w:r>
      <w:hyperlink r:id="rId58" w:history="1">
        <w:r w:rsidRPr="001E3DBF">
          <w:rPr>
            <w:rStyle w:val="Hyperlink"/>
            <w:rFonts w:ascii="Raleway" w:hAnsi="Raleway"/>
            <w:i/>
            <w:iCs/>
            <w:sz w:val="15"/>
            <w:szCs w:val="15"/>
          </w:rPr>
          <w:t>Adoption Act 1996</w:t>
        </w:r>
      </w:hyperlink>
      <w:r w:rsidRPr="001E3DBF">
        <w:rPr>
          <w:rFonts w:ascii="Raleway" w:hAnsi="Raleway"/>
          <w:sz w:val="15"/>
          <w:szCs w:val="15"/>
        </w:rPr>
        <w:t xml:space="preserve"> (loi sur l</w:t>
      </w:r>
      <w:r>
        <w:rPr>
          <w:rFonts w:ascii="Raleway" w:hAnsi="Raleway"/>
          <w:sz w:val="15"/>
          <w:szCs w:val="15"/>
        </w:rPr>
        <w:t>’</w:t>
      </w:r>
      <w:r w:rsidRPr="001E3DBF">
        <w:rPr>
          <w:rFonts w:ascii="Raleway" w:hAnsi="Raleway"/>
          <w:sz w:val="15"/>
          <w:szCs w:val="15"/>
        </w:rPr>
        <w:t>adoption de 1996), section 84</w:t>
      </w:r>
      <w:r>
        <w:rPr>
          <w:rFonts w:ascii="Raleway" w:hAnsi="Raleway"/>
          <w:sz w:val="15"/>
          <w:szCs w:val="15"/>
        </w:rPr>
        <w:t>(2)(d)</w:t>
      </w:r>
      <w:r w:rsidRPr="001E3DBF">
        <w:rPr>
          <w:rFonts w:ascii="Raleway" w:hAnsi="Raleway"/>
          <w:sz w:val="15"/>
          <w:szCs w:val="15"/>
        </w:rPr>
        <w:t xml:space="preserve"> ; </w:t>
      </w:r>
      <w:hyperlink r:id="rId59" w:history="1">
        <w:r w:rsidRPr="001E3DBF">
          <w:rPr>
            <w:rStyle w:val="Hyperlink"/>
            <w:rFonts w:ascii="Raleway" w:hAnsi="Raleway"/>
            <w:i/>
            <w:iCs/>
            <w:sz w:val="15"/>
            <w:szCs w:val="15"/>
          </w:rPr>
          <w:t>Adoption Fees Regulation 1996</w:t>
        </w:r>
      </w:hyperlink>
      <w:r w:rsidRPr="001E3DBF">
        <w:rPr>
          <w:rFonts w:ascii="Raleway" w:hAnsi="Raleway"/>
          <w:sz w:val="15"/>
          <w:szCs w:val="15"/>
        </w:rPr>
        <w:t xml:space="preserve"> (</w:t>
      </w:r>
      <w:r>
        <w:rPr>
          <w:rFonts w:ascii="Raleway" w:hAnsi="Raleway"/>
          <w:sz w:val="15"/>
          <w:szCs w:val="15"/>
        </w:rPr>
        <w:t>règlement sur</w:t>
      </w:r>
      <w:r w:rsidRPr="001E3DBF">
        <w:rPr>
          <w:rFonts w:ascii="Raleway" w:hAnsi="Raleway"/>
          <w:sz w:val="15"/>
          <w:szCs w:val="15"/>
        </w:rPr>
        <w:t xml:space="preserve"> (</w:t>
      </w:r>
      <w:r>
        <w:rPr>
          <w:rFonts w:ascii="Raleway" w:hAnsi="Raleway"/>
          <w:sz w:val="15"/>
          <w:szCs w:val="15"/>
        </w:rPr>
        <w:t>l</w:t>
      </w:r>
      <w:r w:rsidRPr="001E3DBF">
        <w:rPr>
          <w:rFonts w:ascii="Raleway" w:hAnsi="Raleway"/>
          <w:sz w:val="15"/>
          <w:szCs w:val="15"/>
        </w:rPr>
        <w:t>es frais</w:t>
      </w:r>
      <w:r>
        <w:rPr>
          <w:rFonts w:ascii="Raleway" w:hAnsi="Raleway"/>
          <w:sz w:val="15"/>
          <w:szCs w:val="15"/>
        </w:rPr>
        <w:t xml:space="preserve"> de</w:t>
      </w:r>
      <w:r w:rsidRPr="001E3DBF">
        <w:rPr>
          <w:rFonts w:ascii="Raleway" w:hAnsi="Raleway"/>
          <w:sz w:val="15"/>
          <w:szCs w:val="15"/>
        </w:rPr>
        <w:t>) l</w:t>
      </w:r>
      <w:r>
        <w:rPr>
          <w:rFonts w:ascii="Raleway" w:hAnsi="Raleway"/>
          <w:sz w:val="15"/>
          <w:szCs w:val="15"/>
        </w:rPr>
        <w:t>’</w:t>
      </w:r>
      <w:r w:rsidRPr="001E3DBF">
        <w:rPr>
          <w:rFonts w:ascii="Raleway" w:hAnsi="Raleway"/>
          <w:sz w:val="15"/>
          <w:szCs w:val="15"/>
        </w:rPr>
        <w:t>adoption de 1996)).</w:t>
      </w:r>
    </w:p>
  </w:footnote>
  <w:footnote w:id="111">
    <w:p w14:paraId="2CE4DC06" w14:textId="08B76BBB" w:rsidR="00974DA5" w:rsidRPr="001E3DBF" w:rsidRDefault="00974DA5" w:rsidP="009D113B">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(Manitoba) (</w:t>
      </w:r>
      <w:hyperlink r:id="rId60" w:history="1">
        <w:r w:rsidRPr="001E3DBF">
          <w:rPr>
            <w:rStyle w:val="Hyperlink"/>
            <w:rFonts w:ascii="Raleway" w:hAnsi="Raleway"/>
            <w:sz w:val="15"/>
            <w:szCs w:val="15"/>
          </w:rPr>
          <w:t>loi sur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xml:space="preserve">, section 120(2)(e) ; </w:t>
      </w:r>
      <w:hyperlink r:id="rId61" w:history="1">
        <w:r w:rsidRPr="001E3DBF">
          <w:rPr>
            <w:rStyle w:val="Hyperlink"/>
            <w:rFonts w:ascii="Raleway" w:hAnsi="Raleway"/>
            <w:sz w:val="15"/>
            <w:szCs w:val="15"/>
          </w:rPr>
          <w:t>règlement sur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partie 1 de l</w:t>
      </w:r>
      <w:r>
        <w:rPr>
          <w:rFonts w:ascii="Raleway" w:hAnsi="Raleway"/>
          <w:sz w:val="15"/>
          <w:szCs w:val="15"/>
        </w:rPr>
        <w:t>’</w:t>
      </w:r>
      <w:r w:rsidRPr="001E3DBF">
        <w:rPr>
          <w:rFonts w:ascii="Raleway" w:hAnsi="Raleway"/>
          <w:sz w:val="15"/>
          <w:szCs w:val="15"/>
        </w:rPr>
        <w:t>annexe A).</w:t>
      </w:r>
    </w:p>
  </w:footnote>
  <w:footnote w:id="112">
    <w:p w14:paraId="3865CE9E" w14:textId="3BB9FAB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Bénin (arrêté interministériel 2022 n°011/MASM/MEF/DC/SGM/ACAIB/SA/006SGG22 du 12 avril 2022).</w:t>
      </w:r>
    </w:p>
  </w:footnote>
  <w:footnote w:id="113">
    <w:p w14:paraId="0104986E" w14:textId="4FEE673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Côte d</w:t>
      </w:r>
      <w:r>
        <w:rPr>
          <w:rFonts w:ascii="Raleway" w:hAnsi="Raleway"/>
          <w:sz w:val="15"/>
          <w:szCs w:val="15"/>
        </w:rPr>
        <w:t>’Ivoire (a</w:t>
      </w:r>
      <w:r w:rsidRPr="001E3DBF">
        <w:rPr>
          <w:rFonts w:ascii="Raleway" w:hAnsi="Raleway"/>
          <w:sz w:val="15"/>
          <w:szCs w:val="15"/>
        </w:rPr>
        <w:t>rrêté Nº 00104/MFFE/CAB du 18 juin 2024 portant la tarification des prestations liées à l</w:t>
      </w:r>
      <w:r>
        <w:rPr>
          <w:rFonts w:ascii="Raleway" w:hAnsi="Raleway"/>
          <w:sz w:val="15"/>
          <w:szCs w:val="15"/>
        </w:rPr>
        <w:t>’</w:t>
      </w:r>
      <w:r w:rsidRPr="001E3DBF">
        <w:rPr>
          <w:rFonts w:ascii="Raleway" w:hAnsi="Raleway"/>
          <w:sz w:val="15"/>
          <w:szCs w:val="15"/>
        </w:rPr>
        <w:t>Adoption</w:t>
      </w:r>
      <w:r w:rsidRPr="001E3DBF">
        <w:rPr>
          <w:rFonts w:ascii="Raleway" w:hAnsi="Raleway"/>
          <w:color w:val="002060"/>
          <w:sz w:val="15"/>
          <w:szCs w:val="15"/>
        </w:rPr>
        <w:t>).</w:t>
      </w:r>
    </w:p>
  </w:footnote>
  <w:footnote w:id="114">
    <w:p w14:paraId="1911FE5B" w14:textId="4F5A605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(communauté flamande) (</w:t>
      </w:r>
      <w:hyperlink r:id="rId62" w:history="1">
        <w:r>
          <w:rPr>
            <w:rStyle w:val="Hyperlink"/>
            <w:rFonts w:ascii="Raleway" w:hAnsi="Raleway"/>
            <w:sz w:val="15"/>
            <w:szCs w:val="15"/>
          </w:rPr>
          <w:t>a</w:t>
        </w:r>
        <w:r w:rsidRPr="001E3DBF">
          <w:rPr>
            <w:rStyle w:val="Hyperlink"/>
            <w:rFonts w:ascii="Raleway" w:hAnsi="Raleway"/>
            <w:sz w:val="15"/>
            <w:szCs w:val="15"/>
          </w:rPr>
          <w:t>rrêté du Gouvernement flamand relatif au droit de consultation et à médiation en cas d</w:t>
        </w:r>
        <w:r>
          <w:rPr>
            <w:rStyle w:val="Hyperlink"/>
            <w:rFonts w:ascii="Raleway" w:hAnsi="Raleway"/>
            <w:sz w:val="15"/>
            <w:szCs w:val="15"/>
          </w:rPr>
          <w:t>’</w:t>
        </w:r>
        <w:r w:rsidRPr="001E3DBF">
          <w:rPr>
            <w:rStyle w:val="Hyperlink"/>
            <w:rFonts w:ascii="Raleway" w:hAnsi="Raleway"/>
            <w:sz w:val="15"/>
            <w:szCs w:val="15"/>
          </w:rPr>
          <w:t>adoption internationale</w:t>
        </w:r>
      </w:hyperlink>
      <w:r w:rsidRPr="001E3DBF">
        <w:rPr>
          <w:rFonts w:ascii="Raleway" w:hAnsi="Raleway"/>
          <w:sz w:val="15"/>
          <w:szCs w:val="15"/>
        </w:rPr>
        <w:t>, art. 33).</w:t>
      </w:r>
    </w:p>
  </w:footnote>
  <w:footnote w:id="115">
    <w:p w14:paraId="23A58FE7" w14:textId="2F98022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Colombie (</w:t>
      </w:r>
      <w:hyperlink r:id="rId63" w:history="1">
        <w:r w:rsidRPr="001E3DBF">
          <w:rPr>
            <w:rStyle w:val="Hyperlink"/>
            <w:rFonts w:ascii="Raleway" w:hAnsi="Raleway"/>
            <w:i/>
            <w:sz w:val="15"/>
            <w:szCs w:val="15"/>
          </w:rPr>
          <w:t>Código de la Infancia y Adolescencia</w:t>
        </w:r>
      </w:hyperlink>
      <w:r w:rsidRPr="001E3DBF">
        <w:rPr>
          <w:rFonts w:ascii="Raleway" w:hAnsi="Raleway"/>
          <w:sz w:val="15"/>
          <w:szCs w:val="15"/>
        </w:rPr>
        <w:t xml:space="preserve">, </w:t>
      </w:r>
      <w:r w:rsidRPr="001E3DBF">
        <w:rPr>
          <w:rFonts w:ascii="Raleway" w:hAnsi="Raleway"/>
          <w:i/>
          <w:sz w:val="15"/>
          <w:szCs w:val="15"/>
        </w:rPr>
        <w:t>Ley 1098 de 2006</w:t>
      </w:r>
      <w:r w:rsidRPr="001E3DBF">
        <w:rPr>
          <w:rFonts w:ascii="Raleway" w:hAnsi="Raleway"/>
          <w:sz w:val="15"/>
          <w:szCs w:val="15"/>
        </w:rPr>
        <w:t xml:space="preserve"> (Code de l</w:t>
      </w:r>
      <w:r>
        <w:rPr>
          <w:rFonts w:ascii="Raleway" w:hAnsi="Raleway"/>
          <w:sz w:val="15"/>
          <w:szCs w:val="15"/>
        </w:rPr>
        <w:t>’</w:t>
      </w:r>
      <w:r w:rsidRPr="001E3DBF">
        <w:rPr>
          <w:rFonts w:ascii="Raleway" w:hAnsi="Raleway"/>
          <w:sz w:val="15"/>
          <w:szCs w:val="15"/>
        </w:rPr>
        <w:t>enfance et de l</w:t>
      </w:r>
      <w:r>
        <w:rPr>
          <w:rFonts w:ascii="Raleway" w:hAnsi="Raleway"/>
          <w:sz w:val="15"/>
          <w:szCs w:val="15"/>
        </w:rPr>
        <w:t>’</w:t>
      </w:r>
      <w:r w:rsidRPr="001E3DBF">
        <w:rPr>
          <w:rFonts w:ascii="Raleway" w:hAnsi="Raleway"/>
          <w:sz w:val="15"/>
          <w:szCs w:val="15"/>
        </w:rPr>
        <w:t xml:space="preserve">adolescence, loi No 1098 de 2006), art. 73 et 74). </w:t>
      </w:r>
    </w:p>
  </w:footnote>
  <w:footnote w:id="116">
    <w:p w14:paraId="5BCD0E73" w14:textId="02C7285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Inde (Profil d</w:t>
      </w:r>
      <w:r>
        <w:rPr>
          <w:rFonts w:ascii="Raleway" w:hAnsi="Raleway"/>
          <w:sz w:val="15"/>
          <w:szCs w:val="15"/>
        </w:rPr>
        <w:t>’</w:t>
      </w:r>
      <w:r w:rsidRPr="001E3DBF">
        <w:rPr>
          <w:rFonts w:ascii="Raleway" w:hAnsi="Raleway"/>
          <w:sz w:val="15"/>
          <w:szCs w:val="15"/>
        </w:rPr>
        <w:t xml:space="preserve">État EO (2024), Q. 33(a) et </w:t>
      </w:r>
      <w:hyperlink r:id="rId64" w:history="1">
        <w:r w:rsidRPr="001E3DBF">
          <w:rPr>
            <w:rStyle w:val="Hyperlink"/>
            <w:rFonts w:ascii="Raleway" w:hAnsi="Raleway"/>
            <w:i/>
            <w:iCs/>
            <w:sz w:val="15"/>
            <w:szCs w:val="15"/>
          </w:rPr>
          <w:t>Adoption Regulations 2022</w:t>
        </w:r>
      </w:hyperlink>
      <w:r w:rsidRPr="001E3DBF">
        <w:rPr>
          <w:rFonts w:ascii="Raleway" w:hAnsi="Raleway"/>
          <w:sz w:val="15"/>
          <w:szCs w:val="15"/>
        </w:rPr>
        <w:t xml:space="preserve"> (</w:t>
      </w:r>
      <w:r>
        <w:rPr>
          <w:rFonts w:ascii="Raleway" w:hAnsi="Raleway"/>
          <w:sz w:val="15"/>
          <w:szCs w:val="15"/>
        </w:rPr>
        <w:t>règlement sur</w:t>
      </w:r>
      <w:r w:rsidRPr="001E3DBF">
        <w:rPr>
          <w:rFonts w:ascii="Raleway" w:hAnsi="Raleway"/>
          <w:sz w:val="15"/>
          <w:szCs w:val="15"/>
        </w:rPr>
        <w:t xml:space="preserve"> l</w:t>
      </w:r>
      <w:r>
        <w:rPr>
          <w:rFonts w:ascii="Raleway" w:hAnsi="Raleway"/>
          <w:sz w:val="15"/>
          <w:szCs w:val="15"/>
        </w:rPr>
        <w:t>’</w:t>
      </w:r>
      <w:r w:rsidRPr="001E3DBF">
        <w:rPr>
          <w:rFonts w:ascii="Raleway" w:hAnsi="Raleway"/>
          <w:sz w:val="15"/>
          <w:szCs w:val="15"/>
        </w:rPr>
        <w:t xml:space="preserve">adoption de 2022), règlement No 29(1), 49(1) et (2) et annexe XV). </w:t>
      </w:r>
    </w:p>
  </w:footnote>
  <w:footnote w:id="117">
    <w:p w14:paraId="424A6B69" w14:textId="52F9985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Viet Nam (</w:t>
      </w:r>
      <w:hyperlink r:id="rId65" w:history="1">
        <w:r w:rsidRPr="001E3DBF">
          <w:rPr>
            <w:rStyle w:val="Hyperlink"/>
            <w:rFonts w:ascii="Raleway" w:hAnsi="Raleway"/>
            <w:sz w:val="15"/>
            <w:szCs w:val="15"/>
          </w:rPr>
          <w:t>loi sur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xml:space="preserve">, loi No 52/2010/QH12, art. 12 ; </w:t>
      </w:r>
      <w:hyperlink r:id="rId66" w:history="1">
        <w:r>
          <w:rPr>
            <w:rStyle w:val="Hyperlink"/>
            <w:rFonts w:ascii="Raleway" w:hAnsi="Raleway"/>
            <w:sz w:val="15"/>
            <w:szCs w:val="15"/>
          </w:rPr>
          <w:t>d</w:t>
        </w:r>
        <w:r w:rsidRPr="001E3DBF">
          <w:rPr>
            <w:rStyle w:val="Hyperlink"/>
            <w:rFonts w:ascii="Raleway" w:hAnsi="Raleway"/>
            <w:sz w:val="15"/>
            <w:szCs w:val="15"/>
          </w:rPr>
          <w:t>écret No 19/2011/ND-CP</w:t>
        </w:r>
      </w:hyperlink>
      <w:r w:rsidRPr="001E3DBF">
        <w:rPr>
          <w:rFonts w:ascii="Raleway" w:hAnsi="Raleway"/>
          <w:sz w:val="15"/>
          <w:szCs w:val="15"/>
        </w:rPr>
        <w:t xml:space="preserve">, art. 47 à 49 ; </w:t>
      </w:r>
      <w:hyperlink r:id="rId67" w:history="1">
        <w:r>
          <w:rPr>
            <w:rStyle w:val="Hyperlink"/>
            <w:rFonts w:ascii="Raleway" w:hAnsi="Raleway"/>
            <w:sz w:val="15"/>
            <w:szCs w:val="15"/>
          </w:rPr>
          <w:t>d</w:t>
        </w:r>
        <w:r w:rsidRPr="001E3DBF">
          <w:rPr>
            <w:rStyle w:val="Hyperlink"/>
            <w:rFonts w:ascii="Raleway" w:hAnsi="Raleway"/>
            <w:sz w:val="15"/>
            <w:szCs w:val="15"/>
          </w:rPr>
          <w:t>écret No 114/2016/ND-CP</w:t>
        </w:r>
      </w:hyperlink>
      <w:r w:rsidRPr="001E3DBF">
        <w:rPr>
          <w:rFonts w:ascii="Raleway" w:hAnsi="Raleway"/>
          <w:sz w:val="15"/>
          <w:szCs w:val="15"/>
        </w:rPr>
        <w:t xml:space="preserve">, art. 6 ; </w:t>
      </w:r>
      <w:hyperlink r:id="rId68" w:history="1">
        <w:r>
          <w:rPr>
            <w:rStyle w:val="Hyperlink"/>
            <w:rFonts w:ascii="Raleway" w:hAnsi="Raleway"/>
            <w:sz w:val="15"/>
            <w:szCs w:val="15"/>
          </w:rPr>
          <w:t>c</w:t>
        </w:r>
        <w:r w:rsidRPr="001E3DBF">
          <w:rPr>
            <w:rStyle w:val="Hyperlink"/>
            <w:rFonts w:ascii="Raleway" w:hAnsi="Raleway"/>
            <w:sz w:val="15"/>
            <w:szCs w:val="15"/>
          </w:rPr>
          <w:t>irculaire conjointe No 146/2012/TTLT-BTCBTP</w:t>
        </w:r>
      </w:hyperlink>
      <w:r w:rsidRPr="001E3DBF">
        <w:rPr>
          <w:rFonts w:ascii="Raleway" w:hAnsi="Raleway"/>
          <w:sz w:val="15"/>
          <w:szCs w:val="15"/>
        </w:rPr>
        <w:t xml:space="preserve"> ; </w:t>
      </w:r>
      <w:hyperlink r:id="rId69" w:history="1">
        <w:r>
          <w:rPr>
            <w:rStyle w:val="Hyperlink"/>
            <w:rFonts w:ascii="Raleway" w:hAnsi="Raleway"/>
            <w:sz w:val="15"/>
            <w:szCs w:val="15"/>
          </w:rPr>
          <w:t>c</w:t>
        </w:r>
        <w:r w:rsidRPr="001E3DBF">
          <w:rPr>
            <w:rStyle w:val="Hyperlink"/>
            <w:rFonts w:ascii="Raleway" w:hAnsi="Raleway"/>
            <w:sz w:val="15"/>
            <w:szCs w:val="15"/>
          </w:rPr>
          <w:t>irculaire No 267/2016/TT-BTC</w:t>
        </w:r>
      </w:hyperlink>
      <w:r w:rsidRPr="001E3DBF">
        <w:rPr>
          <w:rFonts w:ascii="Raleway" w:hAnsi="Raleway"/>
          <w:sz w:val="15"/>
          <w:szCs w:val="15"/>
        </w:rPr>
        <w:t>).</w:t>
      </w:r>
    </w:p>
  </w:footnote>
  <w:footnote w:id="118">
    <w:p w14:paraId="1F8BD464" w14:textId="0E108D2F" w:rsidR="00974DA5" w:rsidRPr="00D97A41"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D97A41">
        <w:rPr>
          <w:rFonts w:ascii="Raleway" w:hAnsi="Raleway"/>
          <w:sz w:val="15"/>
          <w:szCs w:val="15"/>
        </w:rPr>
        <w:t xml:space="preserve"> </w:t>
      </w:r>
      <w:r w:rsidRPr="00D97A41">
        <w:rPr>
          <w:rFonts w:ascii="Raleway" w:hAnsi="Raleway"/>
          <w:sz w:val="15"/>
          <w:szCs w:val="15"/>
        </w:rPr>
        <w:tab/>
        <w:t xml:space="preserve">D. Smolin, </w:t>
      </w:r>
      <w:r w:rsidRPr="00D97A41">
        <w:rPr>
          <w:rFonts w:ascii="Raleway" w:hAnsi="Raleway"/>
          <w:i/>
          <w:sz w:val="15"/>
          <w:szCs w:val="15"/>
        </w:rPr>
        <w:t>supra</w:t>
      </w:r>
      <w:r w:rsidRPr="00D97A41">
        <w:rPr>
          <w:rFonts w:ascii="Raleway" w:hAnsi="Raleway"/>
          <w:sz w:val="15"/>
          <w:szCs w:val="15"/>
        </w:rPr>
        <w:t xml:space="preserve"> note </w:t>
      </w:r>
      <w:r w:rsidRPr="001E3DBF">
        <w:rPr>
          <w:rFonts w:ascii="Raleway" w:hAnsi="Raleway"/>
          <w:sz w:val="15"/>
          <w:szCs w:val="15"/>
        </w:rPr>
        <w:fldChar w:fldCharType="begin"/>
      </w:r>
      <w:r w:rsidRPr="00D97A41">
        <w:rPr>
          <w:rFonts w:ascii="Raleway" w:hAnsi="Raleway"/>
          <w:sz w:val="15"/>
          <w:szCs w:val="15"/>
        </w:rPr>
        <w:instrText xml:space="preserve"> NOTEREF _Ref142552927 \h  \* MERGEFORMAT </w:instrText>
      </w:r>
      <w:r w:rsidRPr="001E3DBF">
        <w:rPr>
          <w:rFonts w:ascii="Raleway" w:hAnsi="Raleway"/>
          <w:sz w:val="15"/>
          <w:szCs w:val="15"/>
        </w:rPr>
      </w:r>
      <w:r w:rsidRPr="001E3DBF">
        <w:rPr>
          <w:rFonts w:ascii="Raleway" w:hAnsi="Raleway"/>
          <w:sz w:val="15"/>
          <w:szCs w:val="15"/>
        </w:rPr>
        <w:fldChar w:fldCharType="separate"/>
      </w:r>
      <w:r w:rsidR="00E6549D" w:rsidRPr="00D97A41">
        <w:rPr>
          <w:rFonts w:ascii="Raleway" w:hAnsi="Raleway"/>
          <w:sz w:val="15"/>
          <w:szCs w:val="15"/>
        </w:rPr>
        <w:t>80</w:t>
      </w:r>
      <w:r w:rsidRPr="001E3DBF">
        <w:rPr>
          <w:rFonts w:ascii="Raleway" w:hAnsi="Raleway"/>
          <w:sz w:val="15"/>
          <w:szCs w:val="15"/>
        </w:rPr>
        <w:fldChar w:fldCharType="end"/>
      </w:r>
      <w:r w:rsidRPr="00D97A41">
        <w:rPr>
          <w:rFonts w:ascii="Raleway" w:hAnsi="Raleway"/>
          <w:sz w:val="15"/>
          <w:szCs w:val="15"/>
        </w:rPr>
        <w:t>, p. 14.</w:t>
      </w:r>
    </w:p>
  </w:footnote>
  <w:footnote w:id="119">
    <w:p w14:paraId="227E4133" w14:textId="560CA8B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annexe 2 : Suggestion de modèle de plan de mise en œuvre.</w:t>
      </w:r>
    </w:p>
  </w:footnote>
  <w:footnote w:id="120">
    <w:p w14:paraId="44E907A2" w14:textId="7777777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sidRPr="001E3DBF">
        <w:rPr>
          <w:rFonts w:ascii="Raleway" w:hAnsi="Raleway"/>
          <w:i/>
          <w:sz w:val="15"/>
          <w:szCs w:val="15"/>
        </w:rPr>
        <w:t>Ibid.</w:t>
      </w:r>
      <w:r w:rsidRPr="001E3DBF">
        <w:rPr>
          <w:rFonts w:ascii="Raleway" w:hAnsi="Raleway"/>
          <w:sz w:val="15"/>
          <w:szCs w:val="15"/>
        </w:rPr>
        <w:t>, para. 173.</w:t>
      </w:r>
    </w:p>
  </w:footnote>
  <w:footnote w:id="121">
    <w:p w14:paraId="3AD6A9E5" w14:textId="75D375D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Art. 8 de la Convention.</w:t>
      </w:r>
    </w:p>
  </w:footnote>
  <w:footnote w:id="122">
    <w:p w14:paraId="2C688A4B" w14:textId="2BFB10F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les avocats et les médecins devraient avoir passé les examens requis et être en situation régulière auprès de leurs ordres respectifs.</w:t>
      </w:r>
    </w:p>
  </w:footnote>
  <w:footnote w:id="123">
    <w:p w14:paraId="418E1D10" w14:textId="1DE09C2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Pr>
          <w:rFonts w:ascii="Raleway" w:hAnsi="Raleway"/>
          <w:sz w:val="15"/>
          <w:szCs w:val="15"/>
        </w:rPr>
        <w:t xml:space="preserve"> </w:t>
      </w:r>
      <w:r>
        <w:rPr>
          <w:rFonts w:ascii="Raleway" w:hAnsi="Raleway"/>
          <w:sz w:val="15"/>
          <w:szCs w:val="15"/>
        </w:rPr>
        <w:tab/>
      </w:r>
      <w:r w:rsidRPr="001E3DBF">
        <w:rPr>
          <w:rFonts w:ascii="Raleway" w:hAnsi="Raleway"/>
          <w:sz w:val="15"/>
          <w:szCs w:val="15"/>
        </w:rPr>
        <w:t>Les Aut</w:t>
      </w:r>
      <w:r>
        <w:rPr>
          <w:rFonts w:ascii="Raleway" w:hAnsi="Raleway"/>
          <w:sz w:val="15"/>
          <w:szCs w:val="15"/>
        </w:rPr>
        <w:t>orités centrales peuvent par ex.</w:t>
      </w:r>
      <w:r w:rsidRPr="001E3DBF">
        <w:rPr>
          <w:rFonts w:ascii="Raleway" w:hAnsi="Raleway"/>
          <w:sz w:val="15"/>
          <w:szCs w:val="15"/>
        </w:rPr>
        <w:t xml:space="preserve"> mettre au point ou recenser des cours spécifiques proposés dans le cadre de formations professionnelles ou de séminaires consacrés à l</w:t>
      </w:r>
      <w:r>
        <w:rPr>
          <w:rFonts w:ascii="Raleway" w:hAnsi="Raleway"/>
          <w:sz w:val="15"/>
          <w:szCs w:val="15"/>
        </w:rPr>
        <w:t>’</w:t>
      </w:r>
      <w:r w:rsidRPr="001E3DBF">
        <w:rPr>
          <w:rFonts w:ascii="Raleway" w:hAnsi="Raleway"/>
          <w:sz w:val="15"/>
          <w:szCs w:val="15"/>
        </w:rPr>
        <w:t>éthique lors des conférences de travailleurs sociaux.</w:t>
      </w:r>
    </w:p>
  </w:footnote>
  <w:footnote w:id="124">
    <w:p w14:paraId="05456DC9" w14:textId="77777777" w:rsidR="00946232" w:rsidRPr="001E3DBF" w:rsidRDefault="00946232" w:rsidP="00946232">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w:t>
      </w:r>
      <w:hyperlink r:id="rId70" w:history="1">
        <w:r w:rsidRPr="001E3DBF">
          <w:rPr>
            <w:rStyle w:val="Hyperlink"/>
            <w:rFonts w:ascii="Raleway" w:hAnsi="Raleway"/>
            <w:i/>
            <w:iCs/>
            <w:sz w:val="15"/>
            <w:szCs w:val="15"/>
          </w:rPr>
          <w:t>Code of Federal Regulations</w:t>
        </w:r>
      </w:hyperlink>
      <w:r w:rsidRPr="001E3DBF">
        <w:rPr>
          <w:rFonts w:ascii="Raleway" w:hAnsi="Raleway"/>
          <w:sz w:val="15"/>
          <w:szCs w:val="15"/>
        </w:rPr>
        <w:t xml:space="preserve"> (Code des règlements fédéraux), titre 22, para. 96.37(a)).</w:t>
      </w:r>
    </w:p>
  </w:footnote>
  <w:footnote w:id="125">
    <w:p w14:paraId="434F89C6" w14:textId="77777777" w:rsidR="00946232" w:rsidRPr="001E3DBF" w:rsidRDefault="00946232" w:rsidP="00946232">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sidRPr="001E3DBF">
        <w:rPr>
          <w:rFonts w:ascii="Raleway" w:hAnsi="Raleway"/>
          <w:i/>
          <w:iCs/>
          <w:sz w:val="15"/>
          <w:szCs w:val="15"/>
        </w:rPr>
        <w:t>Ibid.</w:t>
      </w:r>
      <w:r w:rsidRPr="001E3DBF">
        <w:rPr>
          <w:rFonts w:ascii="Raleway" w:hAnsi="Raleway"/>
          <w:sz w:val="15"/>
          <w:szCs w:val="15"/>
        </w:rPr>
        <w:t>, titre 22, para. 96.36(a)).</w:t>
      </w:r>
    </w:p>
  </w:footnote>
  <w:footnote w:id="126">
    <w:p w14:paraId="0F017B3D" w14:textId="2480E0FF" w:rsidR="00974DA5" w:rsidRPr="001E3DBF" w:rsidRDefault="00974DA5" w:rsidP="00F5679D">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w:t>
      </w:r>
      <w:hyperlink r:id="rId71" w:history="1">
        <w:r>
          <w:rPr>
            <w:rStyle w:val="Hyperlink"/>
            <w:rFonts w:ascii="Raleway" w:hAnsi="Raleway"/>
            <w:sz w:val="15"/>
            <w:szCs w:val="15"/>
          </w:rPr>
          <w:t>a</w:t>
        </w:r>
        <w:r w:rsidRPr="001E3DBF">
          <w:rPr>
            <w:rStyle w:val="Hyperlink"/>
            <w:rFonts w:ascii="Raleway" w:hAnsi="Raleway"/>
            <w:sz w:val="15"/>
            <w:szCs w:val="15"/>
          </w:rPr>
          <w:t>rrêté du 28 avril 2014 fixant le modèle du décompte des sommes qui seront demandées aux candidats à l</w:t>
        </w:r>
        <w:r>
          <w:rPr>
            <w:rStyle w:val="Hyperlink"/>
            <w:rFonts w:ascii="Raleway" w:hAnsi="Raleway"/>
            <w:sz w:val="15"/>
            <w:szCs w:val="15"/>
          </w:rPr>
          <w:t>’</w:t>
        </w:r>
        <w:r w:rsidRPr="001E3DBF">
          <w:rPr>
            <w:rStyle w:val="Hyperlink"/>
            <w:rFonts w:ascii="Raleway" w:hAnsi="Raleway"/>
            <w:sz w:val="15"/>
            <w:szCs w:val="15"/>
          </w:rPr>
          <w:t>adoption d</w:t>
        </w:r>
        <w:r>
          <w:rPr>
            <w:rStyle w:val="Hyperlink"/>
            <w:rFonts w:ascii="Raleway" w:hAnsi="Raleway"/>
            <w:sz w:val="15"/>
            <w:szCs w:val="15"/>
          </w:rPr>
          <w:t>’</w:t>
        </w:r>
        <w:r w:rsidRPr="001E3DBF">
          <w:rPr>
            <w:rStyle w:val="Hyperlink"/>
            <w:rFonts w:ascii="Raleway" w:hAnsi="Raleway"/>
            <w:sz w:val="15"/>
            <w:szCs w:val="15"/>
          </w:rPr>
          <w:t>un mineur originaire d</w:t>
        </w:r>
        <w:r>
          <w:rPr>
            <w:rStyle w:val="Hyperlink"/>
            <w:rFonts w:ascii="Raleway" w:hAnsi="Raleway"/>
            <w:sz w:val="15"/>
            <w:szCs w:val="15"/>
          </w:rPr>
          <w:t>’</w:t>
        </w:r>
        <w:r w:rsidRPr="001E3DBF">
          <w:rPr>
            <w:rStyle w:val="Hyperlink"/>
            <w:rFonts w:ascii="Raleway" w:hAnsi="Raleway"/>
            <w:sz w:val="15"/>
            <w:szCs w:val="15"/>
          </w:rPr>
          <w:t>un pays étranger par un organisme autorisé et habilité pour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w:t>
      </w:r>
    </w:p>
  </w:footnote>
  <w:footnote w:id="127">
    <w:p w14:paraId="50D966C9" w14:textId="0A4AFE40" w:rsidR="00974DA5" w:rsidRPr="001E3DBF" w:rsidRDefault="00974DA5" w:rsidP="001C0414">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w:t>
      </w:r>
      <w:hyperlink r:id="rId72" w:history="1">
        <w:r w:rsidRPr="001E3DBF">
          <w:rPr>
            <w:rStyle w:val="Hyperlink"/>
            <w:rFonts w:ascii="Raleway" w:hAnsi="Raleway"/>
            <w:sz w:val="15"/>
            <w:szCs w:val="15"/>
          </w:rPr>
          <w:t>loi du 4 mai 1983 – Droit des mineurs à une famille</w:t>
        </w:r>
      </w:hyperlink>
      <w:r w:rsidRPr="001E3DBF">
        <w:rPr>
          <w:rFonts w:ascii="Raleway" w:hAnsi="Raleway"/>
          <w:sz w:val="15"/>
          <w:szCs w:val="15"/>
        </w:rPr>
        <w:t>, art. 39, ter (1)</w:t>
      </w:r>
      <w:r>
        <w:rPr>
          <w:rFonts w:ascii="Raleway" w:hAnsi="Raleway"/>
          <w:sz w:val="15"/>
          <w:szCs w:val="15"/>
        </w:rPr>
        <w:t>)</w:t>
      </w:r>
      <w:r w:rsidRPr="001E3DBF">
        <w:rPr>
          <w:rFonts w:ascii="Raleway" w:hAnsi="Raleway"/>
          <w:sz w:val="15"/>
          <w:szCs w:val="15"/>
        </w:rPr>
        <w:t>.</w:t>
      </w:r>
    </w:p>
  </w:footnote>
  <w:footnote w:id="128">
    <w:p w14:paraId="537D08D1" w14:textId="7ED852C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w:t>
      </w:r>
      <w:hyperlink r:id="rId73" w:history="1">
        <w:r w:rsidRPr="001E3DBF">
          <w:rPr>
            <w:rStyle w:val="Hyperlink"/>
            <w:rFonts w:ascii="Raleway" w:hAnsi="Raleway"/>
            <w:i/>
            <w:iCs/>
            <w:sz w:val="15"/>
            <w:szCs w:val="15"/>
          </w:rPr>
          <w:t>Domestic Administrative Adoption and Alternative Child Care Act</w:t>
        </w:r>
      </w:hyperlink>
      <w:r w:rsidRPr="001E3DBF">
        <w:rPr>
          <w:rFonts w:ascii="Raleway" w:hAnsi="Raleway"/>
          <w:sz w:val="15"/>
          <w:szCs w:val="15"/>
        </w:rPr>
        <w:t xml:space="preserve"> (loi sur l</w:t>
      </w:r>
      <w:r>
        <w:rPr>
          <w:rFonts w:ascii="Raleway" w:hAnsi="Raleway"/>
          <w:sz w:val="15"/>
          <w:szCs w:val="15"/>
        </w:rPr>
        <w:t>’</w:t>
      </w:r>
      <w:r w:rsidRPr="001E3DBF">
        <w:rPr>
          <w:rFonts w:ascii="Raleway" w:hAnsi="Raleway"/>
          <w:sz w:val="15"/>
          <w:szCs w:val="15"/>
        </w:rPr>
        <w:t>adoption nationale et la prise en charge de substitution), 6 janvier </w:t>
      </w:r>
      <w:r>
        <w:rPr>
          <w:rFonts w:ascii="Raleway" w:hAnsi="Raleway"/>
          <w:sz w:val="15"/>
          <w:szCs w:val="15"/>
        </w:rPr>
        <w:t>20</w:t>
      </w:r>
      <w:r w:rsidRPr="001E3DBF">
        <w:rPr>
          <w:rFonts w:ascii="Raleway" w:hAnsi="Raleway"/>
          <w:sz w:val="15"/>
          <w:szCs w:val="15"/>
        </w:rPr>
        <w:t>22, section 8(n), (s) et (w)).</w:t>
      </w:r>
    </w:p>
  </w:footnote>
  <w:footnote w:id="129">
    <w:p w14:paraId="65244839" w14:textId="56B13003" w:rsidR="00974DA5" w:rsidRPr="001E3DBF" w:rsidRDefault="00974DA5" w:rsidP="000A54F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Style w:val="FootnoteReference"/>
          <w:rFonts w:ascii="Raleway" w:hAnsi="Raleway"/>
          <w:sz w:val="15"/>
          <w:szCs w:val="15"/>
        </w:rPr>
        <w:t xml:space="preserve"> </w:t>
      </w:r>
      <w:r w:rsidRPr="001E3DBF">
        <w:rPr>
          <w:rStyle w:val="FootnoteReference"/>
          <w:rFonts w:ascii="Raleway" w:hAnsi="Raleway"/>
          <w:sz w:val="15"/>
          <w:szCs w:val="15"/>
        </w:rPr>
        <w:tab/>
      </w:r>
      <w:r w:rsidRPr="001E3DBF">
        <w:rPr>
          <w:rFonts w:ascii="Raleway" w:hAnsi="Raleway"/>
          <w:sz w:val="15"/>
          <w:szCs w:val="15"/>
        </w:rPr>
        <w:t>Philippines (</w:t>
      </w:r>
      <w:hyperlink r:id="rId74" w:history="1">
        <w:r w:rsidRPr="001E3DBF">
          <w:rPr>
            <w:rStyle w:val="Hyperlink"/>
            <w:rFonts w:ascii="Raleway" w:hAnsi="Raleway"/>
            <w:i/>
            <w:iCs/>
            <w:sz w:val="15"/>
            <w:szCs w:val="15"/>
          </w:rPr>
          <w:t>Inter-Country Adoption Act of 1995</w:t>
        </w:r>
      </w:hyperlink>
      <w:r w:rsidRPr="001E3DBF">
        <w:rPr>
          <w:rFonts w:ascii="Raleway" w:hAnsi="Raleway"/>
          <w:sz w:val="15"/>
          <w:szCs w:val="15"/>
        </w:rPr>
        <w:t xml:space="preserve"> (loi sur l</w:t>
      </w:r>
      <w:r>
        <w:rPr>
          <w:rFonts w:ascii="Raleway" w:hAnsi="Raleway"/>
          <w:sz w:val="15"/>
          <w:szCs w:val="15"/>
        </w:rPr>
        <w:t>’</w:t>
      </w:r>
      <w:r w:rsidRPr="001E3DBF">
        <w:rPr>
          <w:rFonts w:ascii="Raleway" w:hAnsi="Raleway"/>
          <w:sz w:val="15"/>
          <w:szCs w:val="15"/>
        </w:rPr>
        <w:t xml:space="preserve">adoption internationale de 1995), sections 2, 16 et 19). </w:t>
      </w:r>
    </w:p>
  </w:footnote>
  <w:footnote w:id="130">
    <w:p w14:paraId="4561B6AB" w14:textId="18F2F29C" w:rsidR="00974DA5" w:rsidRPr="001E3DBF" w:rsidRDefault="00974DA5" w:rsidP="00257C4A">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République de Corée (Plan de mise en œuvre de la Convention et </w:t>
      </w:r>
      <w:hyperlink r:id="rId75" w:history="1">
        <w:r w:rsidRPr="001E3DBF">
          <w:rPr>
            <w:rStyle w:val="Hyperlink"/>
            <w:rFonts w:ascii="Raleway" w:hAnsi="Raleway"/>
            <w:sz w:val="15"/>
            <w:szCs w:val="15"/>
          </w:rPr>
          <w:t>loi sur l</w:t>
        </w:r>
        <w:r>
          <w:rPr>
            <w:rStyle w:val="Hyperlink"/>
            <w:rFonts w:ascii="Raleway" w:hAnsi="Raleway"/>
            <w:sz w:val="15"/>
            <w:szCs w:val="15"/>
          </w:rPr>
          <w:t>’</w:t>
        </w:r>
        <w:r w:rsidRPr="001E3DBF">
          <w:rPr>
            <w:rStyle w:val="Hyperlink"/>
            <w:rFonts w:ascii="Raleway" w:hAnsi="Raleway"/>
            <w:sz w:val="15"/>
            <w:szCs w:val="15"/>
          </w:rPr>
          <w:t>adoption internationale, loi No 19553, 18 juillet 2023</w:t>
        </w:r>
      </w:hyperlink>
      <w:r w:rsidRPr="001E3DBF">
        <w:rPr>
          <w:rFonts w:ascii="Raleway" w:hAnsi="Raleway"/>
          <w:sz w:val="15"/>
          <w:szCs w:val="15"/>
        </w:rPr>
        <w:t>).</w:t>
      </w:r>
    </w:p>
  </w:footnote>
  <w:footnote w:id="131">
    <w:p w14:paraId="7A1C04E5" w14:textId="3CCFC17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288.</w:t>
      </w:r>
    </w:p>
  </w:footnote>
  <w:footnote w:id="132">
    <w:p w14:paraId="1FF4CB77" w14:textId="229122C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para. 207.</w:t>
      </w:r>
    </w:p>
  </w:footnote>
  <w:footnote w:id="133">
    <w:p w14:paraId="0D2E5AE4" w14:textId="14B003E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 7.</w:t>
      </w:r>
    </w:p>
  </w:footnote>
  <w:footnote w:id="134">
    <w:p w14:paraId="12820700" w14:textId="6BADDF8A" w:rsidR="00974DA5" w:rsidRPr="001E3DBF" w:rsidRDefault="00974DA5" w:rsidP="00CD1418">
      <w:pPr>
        <w:pStyle w:val="PBfootnote"/>
        <w:spacing w:after="0"/>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aussi le chapitre </w:t>
      </w:r>
      <w:r w:rsidRPr="001E3DBF">
        <w:rPr>
          <w:rFonts w:ascii="Raleway" w:hAnsi="Raleway"/>
          <w:sz w:val="15"/>
          <w:szCs w:val="15"/>
        </w:rPr>
        <w:fldChar w:fldCharType="begin"/>
      </w:r>
      <w:r w:rsidRPr="001E3DBF">
        <w:rPr>
          <w:rFonts w:ascii="Raleway" w:hAnsi="Raleway"/>
          <w:sz w:val="15"/>
          <w:szCs w:val="15"/>
        </w:rPr>
        <w:instrText xml:space="preserve"> REF _Ref211003302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6</w:t>
      </w:r>
      <w:r w:rsidRPr="001E3DBF">
        <w:rPr>
          <w:rFonts w:ascii="Raleway" w:hAnsi="Raleway"/>
          <w:sz w:val="15"/>
          <w:szCs w:val="15"/>
        </w:rPr>
        <w:fldChar w:fldCharType="end"/>
      </w:r>
      <w:r w:rsidRPr="001E3DBF">
        <w:rPr>
          <w:rFonts w:ascii="Raleway" w:hAnsi="Raleway"/>
          <w:sz w:val="15"/>
          <w:szCs w:val="15"/>
        </w:rPr>
        <w:t xml:space="preserve"> ci-après, </w:t>
      </w:r>
      <w:r w:rsidR="002E7A3B">
        <w:rPr>
          <w:rFonts w:ascii="Raleway" w:hAnsi="Raleway"/>
          <w:sz w:val="15"/>
          <w:szCs w:val="15"/>
        </w:rPr>
        <w:t>boîte</w:t>
      </w:r>
      <w:r w:rsidRPr="001E3DBF">
        <w:rPr>
          <w:rFonts w:ascii="Raleway" w:hAnsi="Raleway"/>
          <w:sz w:val="15"/>
          <w:szCs w:val="15"/>
        </w:rPr>
        <w:t> 16 : Signalements et suivi.</w:t>
      </w:r>
    </w:p>
  </w:footnote>
  <w:footnote w:id="135">
    <w:p w14:paraId="6FC201F1" w14:textId="57867BD3" w:rsidR="00974DA5" w:rsidRPr="001E3DBF" w:rsidRDefault="00974DA5" w:rsidP="005172E6">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(Profil d</w:t>
      </w:r>
      <w:r>
        <w:rPr>
          <w:rFonts w:ascii="Raleway" w:hAnsi="Raleway"/>
          <w:sz w:val="15"/>
          <w:szCs w:val="15"/>
        </w:rPr>
        <w:t>’</w:t>
      </w:r>
      <w:r w:rsidRPr="001E3DBF">
        <w:rPr>
          <w:rFonts w:ascii="Raleway" w:hAnsi="Raleway"/>
          <w:sz w:val="15"/>
          <w:szCs w:val="15"/>
        </w:rPr>
        <w:t>État électronique EA (2026), Q. 4).</w:t>
      </w:r>
    </w:p>
  </w:footnote>
  <w:footnote w:id="136">
    <w:p w14:paraId="30A9F6F9" w14:textId="5C008D3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sidRPr="001E3DBF">
        <w:rPr>
          <w:rFonts w:ascii="Raleway" w:hAnsi="Raleway"/>
          <w:i/>
          <w:sz w:val="15"/>
          <w:szCs w:val="15"/>
        </w:rPr>
        <w:t>Ibid.</w:t>
      </w:r>
      <w:r w:rsidRPr="001E3DBF">
        <w:rPr>
          <w:rFonts w:ascii="Raleway" w:hAnsi="Raleway"/>
          <w:sz w:val="15"/>
          <w:szCs w:val="15"/>
        </w:rPr>
        <w:t>, Q. 36(b).</w:t>
      </w:r>
    </w:p>
  </w:footnote>
  <w:footnote w:id="137">
    <w:p w14:paraId="66E03E0C" w14:textId="5AE179E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(Profil d</w:t>
      </w:r>
      <w:r>
        <w:rPr>
          <w:rFonts w:ascii="Raleway" w:hAnsi="Raleway"/>
          <w:sz w:val="15"/>
          <w:szCs w:val="15"/>
        </w:rPr>
        <w:t>’</w:t>
      </w:r>
      <w:r w:rsidRPr="001E3DBF">
        <w:rPr>
          <w:rFonts w:ascii="Raleway" w:hAnsi="Raleway"/>
          <w:sz w:val="15"/>
          <w:szCs w:val="15"/>
        </w:rPr>
        <w:t>État EA (2025), Q. 29(b)).</w:t>
      </w:r>
    </w:p>
  </w:footnote>
  <w:footnote w:id="138">
    <w:p w14:paraId="1B8DDB59" w14:textId="2EB53261" w:rsidR="00974DA5" w:rsidRPr="001E3DBF" w:rsidRDefault="00974DA5" w:rsidP="00CC7904">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(communauté flamande, Gouvernement flamand, communiqué de presse, “</w:t>
      </w:r>
      <w:hyperlink r:id="rId76" w:history="1">
        <w:r w:rsidRPr="001E3DBF">
          <w:rPr>
            <w:rStyle w:val="Hyperlink"/>
            <w:rFonts w:ascii="Raleway" w:hAnsi="Raleway"/>
            <w:color w:val="auto"/>
            <w:sz w:val="15"/>
            <w:szCs w:val="15"/>
          </w:rPr>
          <w:t>Drie herkomstlanden krijgen groen licht voor verdere adoptiesamenwerking na uitgebreide screening</w:t>
        </w:r>
      </w:hyperlink>
      <w:r w:rsidRPr="001E3DBF">
        <w:rPr>
          <w:rFonts w:ascii="Raleway" w:hAnsi="Raleway"/>
          <w:sz w:val="15"/>
          <w:szCs w:val="15"/>
        </w:rPr>
        <w:t>” (Trois pays d</w:t>
      </w:r>
      <w:r>
        <w:rPr>
          <w:rFonts w:ascii="Raleway" w:hAnsi="Raleway"/>
          <w:sz w:val="15"/>
          <w:szCs w:val="15"/>
        </w:rPr>
        <w:t>’</w:t>
      </w:r>
      <w:r w:rsidRPr="001E3DBF">
        <w:rPr>
          <w:rFonts w:ascii="Raleway" w:hAnsi="Raleway"/>
          <w:sz w:val="15"/>
          <w:szCs w:val="15"/>
        </w:rPr>
        <w:t>origine obtiennent le feu vert pour la poursuite de la coopération en matière d</w:t>
      </w:r>
      <w:r>
        <w:rPr>
          <w:rFonts w:ascii="Raleway" w:hAnsi="Raleway"/>
          <w:sz w:val="15"/>
          <w:szCs w:val="15"/>
        </w:rPr>
        <w:t>’</w:t>
      </w:r>
      <w:r w:rsidRPr="001E3DBF">
        <w:rPr>
          <w:rFonts w:ascii="Raleway" w:hAnsi="Raleway"/>
          <w:sz w:val="15"/>
          <w:szCs w:val="15"/>
        </w:rPr>
        <w:t xml:space="preserve">adoption après un examen approfondi), 2023). </w:t>
      </w:r>
    </w:p>
  </w:footnote>
  <w:footnote w:id="139">
    <w:p w14:paraId="6A57F019" w14:textId="184E9A04" w:rsidR="00974DA5" w:rsidRPr="001E3DBF" w:rsidRDefault="00974DA5" w:rsidP="001E3DBF">
      <w:pPr>
        <w:pStyle w:val="FootnoteText"/>
        <w:ind w:left="284" w:hanging="284"/>
        <w:rPr>
          <w:rFonts w:ascii="Raleway" w:hAnsi="Raleway"/>
          <w:sz w:val="15"/>
          <w:szCs w:val="15"/>
        </w:rPr>
      </w:pPr>
      <w:r w:rsidRPr="001E3DBF">
        <w:rPr>
          <w:rStyle w:val="FootnoteReference"/>
          <w:rFonts w:ascii="Raleway" w:hAnsi="Raleway"/>
          <w:sz w:val="15"/>
          <w:szCs w:val="15"/>
        </w:rPr>
        <w:footnoteRef/>
      </w:r>
      <w:r w:rsidR="00E6549D">
        <w:rPr>
          <w:rStyle w:val="FootnoteReference"/>
          <w:rFonts w:ascii="Raleway" w:hAnsi="Raleway"/>
          <w:sz w:val="15"/>
          <w:szCs w:val="15"/>
        </w:rPr>
        <w:t xml:space="preserve"> </w:t>
      </w:r>
      <w:r w:rsidRPr="001E3DBF">
        <w:rPr>
          <w:rFonts w:ascii="Raleway" w:hAnsi="Raleway"/>
          <w:sz w:val="15"/>
          <w:szCs w:val="15"/>
        </w:rPr>
        <w:tab/>
        <w:t>Belgique (site web de l</w:t>
      </w:r>
      <w:r>
        <w:rPr>
          <w:rFonts w:ascii="Raleway" w:hAnsi="Raleway"/>
          <w:sz w:val="15"/>
          <w:szCs w:val="15"/>
        </w:rPr>
        <w:t>’</w:t>
      </w:r>
      <w:r w:rsidRPr="001E3DBF">
        <w:rPr>
          <w:rFonts w:ascii="Raleway" w:hAnsi="Raleway"/>
          <w:sz w:val="15"/>
          <w:szCs w:val="15"/>
        </w:rPr>
        <w:t xml:space="preserve">Autorité centrale : </w:t>
      </w:r>
      <w:hyperlink r:id="rId77" w:history="1">
        <w:r w:rsidRPr="001E3DBF">
          <w:rPr>
            <w:rStyle w:val="Hyperlink"/>
            <w:rFonts w:ascii="Raleway" w:hAnsi="Raleway"/>
            <w:sz w:val="15"/>
            <w:szCs w:val="15"/>
          </w:rPr>
          <w:t>Update 2025: Resultaten screening van herkomstlanden voor adoptie | Opgroeien</w:t>
        </w:r>
      </w:hyperlink>
      <w:r w:rsidRPr="001E3DBF">
        <w:rPr>
          <w:rStyle w:val="Hyperlink"/>
          <w:rFonts w:ascii="Raleway" w:hAnsi="Raleway"/>
          <w:sz w:val="15"/>
          <w:szCs w:val="15"/>
        </w:rPr>
        <w:t xml:space="preserve"> </w:t>
      </w:r>
      <w:r w:rsidRPr="00C63608">
        <w:rPr>
          <w:rStyle w:val="Hyperlink"/>
          <w:rFonts w:ascii="Raleway" w:hAnsi="Raleway"/>
          <w:color w:val="auto"/>
          <w:sz w:val="15"/>
          <w:szCs w:val="15"/>
          <w:u w:val="none"/>
        </w:rPr>
        <w:t>(Mise au point 2025 : résultat de l</w:t>
      </w:r>
      <w:r>
        <w:rPr>
          <w:rStyle w:val="Hyperlink"/>
          <w:rFonts w:ascii="Raleway" w:hAnsi="Raleway"/>
          <w:color w:val="auto"/>
          <w:sz w:val="15"/>
          <w:szCs w:val="15"/>
          <w:u w:val="none"/>
        </w:rPr>
        <w:t>’</w:t>
      </w:r>
      <w:r w:rsidRPr="00C63608">
        <w:rPr>
          <w:rStyle w:val="Hyperlink"/>
          <w:rFonts w:ascii="Raleway" w:hAnsi="Raleway"/>
          <w:color w:val="auto"/>
          <w:sz w:val="15"/>
          <w:szCs w:val="15"/>
          <w:u w:val="none"/>
        </w:rPr>
        <w:t>examen des pays d</w:t>
      </w:r>
      <w:r>
        <w:rPr>
          <w:rStyle w:val="Hyperlink"/>
          <w:rFonts w:ascii="Raleway" w:hAnsi="Raleway"/>
          <w:color w:val="auto"/>
          <w:sz w:val="15"/>
          <w:szCs w:val="15"/>
          <w:u w:val="none"/>
        </w:rPr>
        <w:t>’</w:t>
      </w:r>
      <w:r w:rsidRPr="00C63608">
        <w:rPr>
          <w:rStyle w:val="Hyperlink"/>
          <w:rFonts w:ascii="Raleway" w:hAnsi="Raleway"/>
          <w:color w:val="auto"/>
          <w:sz w:val="15"/>
          <w:szCs w:val="15"/>
          <w:u w:val="none"/>
        </w:rPr>
        <w:t>origine en matière d</w:t>
      </w:r>
      <w:r>
        <w:rPr>
          <w:rStyle w:val="Hyperlink"/>
          <w:rFonts w:ascii="Raleway" w:hAnsi="Raleway"/>
          <w:color w:val="auto"/>
          <w:sz w:val="15"/>
          <w:szCs w:val="15"/>
          <w:u w:val="none"/>
        </w:rPr>
        <w:t>’</w:t>
      </w:r>
      <w:r w:rsidRPr="00C63608">
        <w:rPr>
          <w:rStyle w:val="Hyperlink"/>
          <w:rFonts w:ascii="Raleway" w:hAnsi="Raleway"/>
          <w:color w:val="auto"/>
          <w:sz w:val="15"/>
          <w:szCs w:val="15"/>
          <w:u w:val="none"/>
        </w:rPr>
        <w:t>adoption</w:t>
      </w:r>
      <w:r w:rsidRPr="001E3DBF">
        <w:rPr>
          <w:rFonts w:ascii="Raleway" w:hAnsi="Raleway"/>
          <w:sz w:val="15"/>
          <w:szCs w:val="15"/>
        </w:rPr>
        <w:t>).</w:t>
      </w:r>
    </w:p>
  </w:footnote>
  <w:footnote w:id="140">
    <w:p w14:paraId="4C6CDBDC" w14:textId="3C0EB72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(Québec) (</w:t>
      </w:r>
      <w:hyperlink r:id="rId78" w:history="1">
        <w:r w:rsidRPr="001E3DBF">
          <w:rPr>
            <w:rStyle w:val="Hyperlink"/>
            <w:rFonts w:ascii="Raleway" w:hAnsi="Raleway"/>
            <w:sz w:val="15"/>
            <w:szCs w:val="15"/>
          </w:rPr>
          <w:t>loi sur la protection de la jeunesse</w:t>
        </w:r>
      </w:hyperlink>
      <w:r w:rsidRPr="001E3DBF">
        <w:rPr>
          <w:rFonts w:ascii="Raleway" w:hAnsi="Raleway"/>
          <w:sz w:val="15"/>
          <w:szCs w:val="15"/>
        </w:rPr>
        <w:t>, chapitre P.34.1, 1979, art. 71.28 à 72.4).</w:t>
      </w:r>
    </w:p>
  </w:footnote>
  <w:footnote w:id="141">
    <w:p w14:paraId="047BBCC1" w14:textId="64A304F9" w:rsidR="00974DA5" w:rsidRPr="001E3DBF" w:rsidRDefault="00974DA5" w:rsidP="00CC7904">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w:t>
      </w:r>
      <w:hyperlink r:id="rId79" w:history="1">
        <w:r w:rsidRPr="001E3DBF">
          <w:rPr>
            <w:rStyle w:val="Hyperlink"/>
            <w:rFonts w:ascii="Raleway" w:hAnsi="Raleway"/>
            <w:sz w:val="15"/>
            <w:szCs w:val="15"/>
          </w:rPr>
          <w:t>loi n° 2022-219 du 21 février 2022 visant à réformer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xml:space="preserve">,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_Ref231545624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93</w:t>
      </w:r>
      <w:r>
        <w:rPr>
          <w:rFonts w:ascii="Raleway" w:hAnsi="Raleway"/>
          <w:sz w:val="15"/>
          <w:szCs w:val="15"/>
        </w:rPr>
        <w:fldChar w:fldCharType="end"/>
      </w:r>
      <w:r>
        <w:rPr>
          <w:rFonts w:ascii="Raleway" w:hAnsi="Raleway"/>
          <w:sz w:val="15"/>
          <w:szCs w:val="15"/>
        </w:rPr>
        <w:t xml:space="preserve">, </w:t>
      </w:r>
      <w:r w:rsidRPr="001E3DBF">
        <w:rPr>
          <w:rFonts w:ascii="Raleway" w:hAnsi="Raleway"/>
          <w:sz w:val="15"/>
          <w:szCs w:val="15"/>
        </w:rPr>
        <w:t xml:space="preserve">art. 15(I)) ; voir aussi le rapport français de 2023, </w:t>
      </w:r>
      <w:r w:rsidRPr="001E3DBF">
        <w:rPr>
          <w:rFonts w:ascii="Raleway" w:hAnsi="Raleway"/>
          <w:i/>
          <w:sz w:val="15"/>
          <w:szCs w:val="15"/>
        </w:rPr>
        <w:t xml:space="preserve">supra </w:t>
      </w:r>
      <w:r w:rsidRPr="001E3DBF">
        <w:rPr>
          <w:rFonts w:ascii="Raleway" w:hAnsi="Raleway"/>
          <w:sz w:val="15"/>
          <w:szCs w:val="15"/>
        </w:rPr>
        <w:t xml:space="preserve">note </w:t>
      </w:r>
      <w:r w:rsidRPr="001E3DBF">
        <w:rPr>
          <w:rFonts w:ascii="Raleway" w:hAnsi="Raleway"/>
          <w:sz w:val="15"/>
          <w:szCs w:val="15"/>
        </w:rPr>
        <w:fldChar w:fldCharType="begin"/>
      </w:r>
      <w:r w:rsidRPr="001E3DBF">
        <w:rPr>
          <w:rFonts w:ascii="Raleway" w:hAnsi="Raleway"/>
          <w:sz w:val="15"/>
          <w:szCs w:val="15"/>
        </w:rPr>
        <w:instrText xml:space="preserve"> NOTEREF _Ref203724733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10</w:t>
      </w:r>
      <w:r w:rsidRPr="001E3DBF">
        <w:rPr>
          <w:rFonts w:ascii="Raleway" w:hAnsi="Raleway"/>
          <w:sz w:val="15"/>
          <w:szCs w:val="15"/>
        </w:rPr>
        <w:fldChar w:fldCharType="end"/>
      </w:r>
      <w:r w:rsidRPr="001E3DBF">
        <w:rPr>
          <w:rFonts w:ascii="Raleway" w:hAnsi="Raleway"/>
          <w:sz w:val="15"/>
          <w:szCs w:val="15"/>
        </w:rPr>
        <w:t>, p. 62) ; Belgique (communauté flamande, communiqué de presse,</w:t>
      </w:r>
      <w:r>
        <w:rPr>
          <w:rFonts w:ascii="Raleway" w:hAnsi="Raleway"/>
          <w:sz w:val="15"/>
          <w:szCs w:val="15"/>
        </w:rPr>
        <w:t xml:space="preserve">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_Ref231290791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137</w:t>
      </w:r>
      <w:r>
        <w:rPr>
          <w:rFonts w:ascii="Raleway" w:hAnsi="Raleway"/>
          <w:sz w:val="15"/>
          <w:szCs w:val="15"/>
        </w:rPr>
        <w:fldChar w:fldCharType="end"/>
      </w:r>
      <w:r w:rsidRPr="001E3DBF">
        <w:rPr>
          <w:rFonts w:ascii="Raleway" w:hAnsi="Raleway"/>
          <w:sz w:val="15"/>
          <w:szCs w:val="15"/>
        </w:rPr>
        <w:t xml:space="preserve">). </w:t>
      </w:r>
    </w:p>
  </w:footnote>
  <w:footnote w:id="142">
    <w:p w14:paraId="7CBEE7D7" w14:textId="6EB85F79" w:rsidR="00974DA5" w:rsidRPr="001E3DBF" w:rsidRDefault="00974DA5" w:rsidP="001E3DBF">
      <w:pPr>
        <w:pStyle w:val="FootnoteText"/>
        <w:ind w:left="284" w:hanging="284"/>
        <w:rPr>
          <w:rFonts w:ascii="Raleway" w:hAnsi="Raleway"/>
          <w:sz w:val="15"/>
          <w:szCs w:val="15"/>
        </w:rPr>
      </w:pPr>
      <w:r w:rsidRPr="001E3DBF">
        <w:rPr>
          <w:rStyle w:val="FootnoteReference"/>
          <w:rFonts w:ascii="Raleway" w:hAnsi="Raleway"/>
          <w:sz w:val="15"/>
          <w:szCs w:val="15"/>
        </w:rPr>
        <w:footnoteRef/>
      </w:r>
      <w:r w:rsidR="00E6549D">
        <w:rPr>
          <w:rStyle w:val="FootnoteReference"/>
          <w:rFonts w:ascii="Raleway" w:hAnsi="Raleway"/>
          <w:sz w:val="15"/>
          <w:szCs w:val="15"/>
        </w:rPr>
        <w:t xml:space="preserve"> </w:t>
      </w:r>
      <w:r w:rsidRPr="001E3DBF">
        <w:rPr>
          <w:rFonts w:ascii="Raleway" w:hAnsi="Raleway"/>
          <w:sz w:val="15"/>
          <w:szCs w:val="15"/>
        </w:rPr>
        <w:tab/>
        <w:t>Italie (site web de l</w:t>
      </w:r>
      <w:r>
        <w:rPr>
          <w:rFonts w:ascii="Raleway" w:hAnsi="Raleway"/>
          <w:sz w:val="15"/>
          <w:szCs w:val="15"/>
        </w:rPr>
        <w:t>’</w:t>
      </w:r>
      <w:r w:rsidRPr="001E3DBF">
        <w:rPr>
          <w:rFonts w:ascii="Raleway" w:hAnsi="Raleway"/>
          <w:sz w:val="15"/>
          <w:szCs w:val="15"/>
        </w:rPr>
        <w:t xml:space="preserve">Autorité centrale : </w:t>
      </w:r>
      <w:hyperlink r:id="rId80" w:history="1">
        <w:r w:rsidRPr="001E3DBF">
          <w:rPr>
            <w:rStyle w:val="Hyperlink"/>
            <w:rFonts w:ascii="Raleway" w:hAnsi="Raleway"/>
            <w:i/>
            <w:sz w:val="15"/>
            <w:szCs w:val="15"/>
          </w:rPr>
          <w:t>Albo degli Enti autorizzati</w:t>
        </w:r>
      </w:hyperlink>
      <w:r w:rsidRPr="001E3DBF">
        <w:rPr>
          <w:rFonts w:ascii="Raleway" w:hAnsi="Raleway"/>
          <w:sz w:val="15"/>
          <w:szCs w:val="15"/>
        </w:rPr>
        <w:t xml:space="preserve"> (Registre des organismes agréés)).</w:t>
      </w:r>
    </w:p>
  </w:footnote>
  <w:footnote w:id="143">
    <w:p w14:paraId="1C73B269" w14:textId="3EB1853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(Profil d</w:t>
      </w:r>
      <w:r>
        <w:rPr>
          <w:rFonts w:ascii="Raleway" w:hAnsi="Raleway"/>
          <w:sz w:val="15"/>
          <w:szCs w:val="15"/>
        </w:rPr>
        <w:t>’</w:t>
      </w:r>
      <w:r w:rsidRPr="001E3DBF">
        <w:rPr>
          <w:rFonts w:ascii="Raleway" w:hAnsi="Raleway"/>
          <w:sz w:val="15"/>
          <w:szCs w:val="15"/>
        </w:rPr>
        <w:t xml:space="preserve">État EO (2025), Q. 7.1(b) </w:t>
      </w:r>
      <w:r>
        <w:rPr>
          <w:rFonts w:ascii="Raleway" w:hAnsi="Raleway"/>
          <w:sz w:val="15"/>
          <w:szCs w:val="15"/>
        </w:rPr>
        <w:t>et</w:t>
      </w:r>
      <w:r w:rsidRPr="001E3DBF">
        <w:rPr>
          <w:rFonts w:ascii="Raleway" w:hAnsi="Raleway"/>
          <w:sz w:val="15"/>
          <w:szCs w:val="15"/>
        </w:rPr>
        <w:t xml:space="preserve"> (d)).</w:t>
      </w:r>
    </w:p>
  </w:footnote>
  <w:footnote w:id="144">
    <w:p w14:paraId="6AC05A6D" w14:textId="7DB95CA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Viet Nam (</w:t>
      </w:r>
      <w:hyperlink r:id="rId81" w:history="1">
        <w:r w:rsidRPr="001E3DBF">
          <w:rPr>
            <w:rStyle w:val="Hyperlink"/>
            <w:rFonts w:ascii="Raleway" w:hAnsi="Raleway"/>
            <w:sz w:val="15"/>
            <w:szCs w:val="15"/>
          </w:rPr>
          <w:t>loi sur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loi No</w:t>
      </w:r>
      <w:r w:rsidR="00E6549D">
        <w:rPr>
          <w:rFonts w:ascii="Raleway" w:hAnsi="Raleway"/>
          <w:sz w:val="15"/>
          <w:szCs w:val="15"/>
        </w:rPr>
        <w:t xml:space="preserve"> </w:t>
      </w:r>
      <w:r w:rsidRPr="001E3DBF">
        <w:rPr>
          <w:rFonts w:ascii="Raleway" w:hAnsi="Raleway"/>
          <w:sz w:val="15"/>
          <w:szCs w:val="15"/>
        </w:rPr>
        <w:t>52/2010/QH12, art. 43 à 49).</w:t>
      </w:r>
    </w:p>
  </w:footnote>
  <w:footnote w:id="145">
    <w:p w14:paraId="29905F00" w14:textId="43779D6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les réponses au Profil d</w:t>
      </w:r>
      <w:r>
        <w:rPr>
          <w:rFonts w:ascii="Raleway" w:hAnsi="Raleway"/>
          <w:sz w:val="15"/>
          <w:szCs w:val="15"/>
        </w:rPr>
        <w:t>’</w:t>
      </w:r>
      <w:r w:rsidRPr="001E3DBF">
        <w:rPr>
          <w:rFonts w:ascii="Raleway" w:hAnsi="Raleway"/>
          <w:sz w:val="15"/>
          <w:szCs w:val="15"/>
        </w:rPr>
        <w:t>État (électronique) EO, Q. 35(b) et au Profil d</w:t>
      </w:r>
      <w:r>
        <w:rPr>
          <w:rFonts w:ascii="Raleway" w:hAnsi="Raleway"/>
          <w:sz w:val="15"/>
          <w:szCs w:val="15"/>
        </w:rPr>
        <w:t>’</w:t>
      </w:r>
      <w:r w:rsidRPr="001E3DBF">
        <w:rPr>
          <w:rFonts w:ascii="Raleway" w:hAnsi="Raleway"/>
          <w:sz w:val="15"/>
          <w:szCs w:val="15"/>
        </w:rPr>
        <w:t xml:space="preserve">État (électronique) EA, Q. 31(c). </w:t>
      </w:r>
    </w:p>
  </w:footnote>
  <w:footnote w:id="146">
    <w:p w14:paraId="320C8BFD" w14:textId="7777777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Éthiopie (Code pénal, art. 597).</w:t>
      </w:r>
    </w:p>
  </w:footnote>
  <w:footnote w:id="147">
    <w:p w14:paraId="6BEE0AEE" w14:textId="4D39C4D6" w:rsidR="00974DA5" w:rsidRPr="00124601"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24601">
        <w:rPr>
          <w:rFonts w:ascii="Raleway" w:hAnsi="Raleway"/>
          <w:sz w:val="15"/>
          <w:szCs w:val="15"/>
        </w:rPr>
        <w:t xml:space="preserve"> </w:t>
      </w:r>
      <w:r w:rsidRPr="00124601">
        <w:rPr>
          <w:rFonts w:ascii="Raleway" w:hAnsi="Raleway"/>
          <w:sz w:val="15"/>
          <w:szCs w:val="15"/>
        </w:rPr>
        <w:tab/>
        <w:t xml:space="preserve">D. Smolin, </w:t>
      </w:r>
      <w:r w:rsidRPr="00124601">
        <w:rPr>
          <w:rFonts w:ascii="Raleway" w:hAnsi="Raleway"/>
          <w:i/>
          <w:iCs/>
          <w:sz w:val="15"/>
          <w:szCs w:val="15"/>
        </w:rPr>
        <w:t>supra</w:t>
      </w:r>
      <w:r w:rsidRPr="00124601">
        <w:rPr>
          <w:rFonts w:ascii="Raleway" w:hAnsi="Raleway"/>
          <w:sz w:val="15"/>
          <w:szCs w:val="15"/>
        </w:rPr>
        <w:t xml:space="preserve"> note </w:t>
      </w:r>
      <w:r w:rsidRPr="001E3DBF">
        <w:rPr>
          <w:rFonts w:ascii="Raleway" w:hAnsi="Raleway"/>
          <w:sz w:val="15"/>
          <w:szCs w:val="15"/>
        </w:rPr>
        <w:fldChar w:fldCharType="begin"/>
      </w:r>
      <w:r w:rsidRPr="00124601">
        <w:rPr>
          <w:rFonts w:ascii="Raleway" w:hAnsi="Raleway"/>
          <w:sz w:val="15"/>
          <w:szCs w:val="15"/>
        </w:rPr>
        <w:instrText xml:space="preserve"> NOTEREF _Ref142552927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80</w:t>
      </w:r>
      <w:r w:rsidRPr="001E3DBF">
        <w:rPr>
          <w:rFonts w:ascii="Raleway" w:hAnsi="Raleway"/>
          <w:sz w:val="15"/>
          <w:szCs w:val="15"/>
        </w:rPr>
        <w:fldChar w:fldCharType="end"/>
      </w:r>
      <w:r w:rsidRPr="00124601">
        <w:rPr>
          <w:rFonts w:ascii="Raleway" w:hAnsi="Raleway"/>
          <w:sz w:val="15"/>
          <w:szCs w:val="15"/>
        </w:rPr>
        <w:t>, p. 5.</w:t>
      </w:r>
    </w:p>
  </w:footnote>
  <w:footnote w:id="148">
    <w:p w14:paraId="2164409D" w14:textId="411BDE8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les réponses au Profil d</w:t>
      </w:r>
      <w:r>
        <w:rPr>
          <w:rFonts w:ascii="Raleway" w:hAnsi="Raleway"/>
          <w:sz w:val="15"/>
          <w:szCs w:val="15"/>
        </w:rPr>
        <w:t>’</w:t>
      </w:r>
      <w:r w:rsidRPr="001E3DBF">
        <w:rPr>
          <w:rFonts w:ascii="Raleway" w:hAnsi="Raleway"/>
          <w:sz w:val="15"/>
          <w:szCs w:val="15"/>
        </w:rPr>
        <w:t>État (électronique) EO, Q. 35(c) et au Profil d</w:t>
      </w:r>
      <w:r>
        <w:rPr>
          <w:rFonts w:ascii="Raleway" w:hAnsi="Raleway"/>
          <w:sz w:val="15"/>
          <w:szCs w:val="15"/>
        </w:rPr>
        <w:t>’</w:t>
      </w:r>
      <w:r w:rsidRPr="001E3DBF">
        <w:rPr>
          <w:rFonts w:ascii="Raleway" w:hAnsi="Raleway"/>
          <w:sz w:val="15"/>
          <w:szCs w:val="15"/>
        </w:rPr>
        <w:t>État (électronique) EA, Q. 31(c).</w:t>
      </w:r>
    </w:p>
  </w:footnote>
  <w:footnote w:id="149">
    <w:p w14:paraId="1E0F9650" w14:textId="5D10742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 Mezmur, “</w:t>
      </w:r>
      <w:hyperlink r:id="rId82" w:history="1">
        <w:r w:rsidRPr="001E3DBF">
          <w:rPr>
            <w:rStyle w:val="Hyperlink"/>
            <w:rFonts w:ascii="Raleway" w:hAnsi="Raleway"/>
            <w:sz w:val="15"/>
            <w:szCs w:val="15"/>
          </w:rPr>
          <w:t xml:space="preserve">« Les péchés des </w:t>
        </w:r>
        <w:r>
          <w:rPr>
            <w:rStyle w:val="Hyperlink"/>
            <w:rFonts w:ascii="Raleway" w:hAnsi="Raleway"/>
            <w:sz w:val="15"/>
            <w:szCs w:val="15"/>
          </w:rPr>
          <w:t>‘</w:t>
        </w:r>
        <w:r w:rsidRPr="001E3DBF">
          <w:rPr>
            <w:rStyle w:val="Hyperlink"/>
            <w:rFonts w:ascii="Raleway" w:hAnsi="Raleway"/>
            <w:sz w:val="15"/>
            <w:szCs w:val="15"/>
          </w:rPr>
          <w:t>sauveurs</w:t>
        </w:r>
        <w:r>
          <w:rPr>
            <w:rStyle w:val="Hyperlink"/>
            <w:rFonts w:ascii="Raleway" w:hAnsi="Raleway"/>
            <w:sz w:val="15"/>
            <w:szCs w:val="15"/>
          </w:rPr>
          <w:t>’</w:t>
        </w:r>
        <w:r w:rsidRPr="001E3DBF">
          <w:rPr>
            <w:rStyle w:val="Hyperlink"/>
            <w:rFonts w:ascii="Raleway" w:hAnsi="Raleway"/>
            <w:sz w:val="15"/>
            <w:szCs w:val="15"/>
          </w:rPr>
          <w:t xml:space="preserve"> » : la traite d</w:t>
        </w:r>
        <w:r>
          <w:rPr>
            <w:rStyle w:val="Hyperlink"/>
            <w:rFonts w:ascii="Raleway" w:hAnsi="Raleway"/>
            <w:sz w:val="15"/>
            <w:szCs w:val="15"/>
          </w:rPr>
          <w:t>’</w:t>
        </w:r>
        <w:r w:rsidRPr="001E3DBF">
          <w:rPr>
            <w:rStyle w:val="Hyperlink"/>
            <w:rFonts w:ascii="Raleway" w:hAnsi="Raleway"/>
            <w:sz w:val="15"/>
            <w:szCs w:val="15"/>
          </w:rPr>
          <w:t>enfants dans le contexte de l</w:t>
        </w:r>
        <w:r>
          <w:rPr>
            <w:rStyle w:val="Hyperlink"/>
            <w:rFonts w:ascii="Raleway" w:hAnsi="Raleway"/>
            <w:sz w:val="15"/>
            <w:szCs w:val="15"/>
          </w:rPr>
          <w:t>’</w:t>
        </w:r>
        <w:r w:rsidRPr="001E3DBF">
          <w:rPr>
            <w:rStyle w:val="Hyperlink"/>
            <w:rFonts w:ascii="Raleway" w:hAnsi="Raleway"/>
            <w:sz w:val="15"/>
            <w:szCs w:val="15"/>
          </w:rPr>
          <w:t>adoption internationale en Afrique</w:t>
        </w:r>
      </w:hyperlink>
      <w:r w:rsidRPr="001E3DBF">
        <w:rPr>
          <w:rFonts w:ascii="Raleway" w:hAnsi="Raleway"/>
          <w:sz w:val="15"/>
          <w:szCs w:val="15"/>
        </w:rPr>
        <w:t>”, Doc. info. No 2 à l</w:t>
      </w:r>
      <w:r>
        <w:rPr>
          <w:rFonts w:ascii="Raleway" w:hAnsi="Raleway"/>
          <w:sz w:val="15"/>
          <w:szCs w:val="15"/>
        </w:rPr>
        <w:t>’</w:t>
      </w:r>
      <w:r w:rsidRPr="001E3DBF">
        <w:rPr>
          <w:rFonts w:ascii="Raleway" w:hAnsi="Raleway"/>
          <w:sz w:val="15"/>
          <w:szCs w:val="15"/>
        </w:rPr>
        <w:t xml:space="preserve">intention de la </w:t>
      </w:r>
      <w:r>
        <w:rPr>
          <w:rFonts w:ascii="Raleway" w:hAnsi="Raleway"/>
          <w:sz w:val="15"/>
          <w:szCs w:val="15"/>
        </w:rPr>
        <w:t>CS</w:t>
      </w:r>
      <w:r w:rsidRPr="001E3DBF">
        <w:rPr>
          <w:rFonts w:ascii="Raleway" w:hAnsi="Raleway"/>
          <w:sz w:val="15"/>
          <w:szCs w:val="15"/>
        </w:rPr>
        <w:t xml:space="preserve"> de juin 2010 sur le fonctionnement pratique de la Convention Adoption de 1993,</w:t>
      </w:r>
      <w:r>
        <w:rPr>
          <w:rFonts w:ascii="Raleway" w:hAnsi="Raleway"/>
          <w:sz w:val="15"/>
          <w:szCs w:val="15"/>
        </w:rPr>
        <w:t xml:space="preserve"> (traduction non révisée)</w:t>
      </w:r>
      <w:r w:rsidRPr="001E3DBF">
        <w:rPr>
          <w:rFonts w:ascii="Raleway" w:hAnsi="Raleway"/>
          <w:sz w:val="15"/>
          <w:szCs w:val="15"/>
        </w:rPr>
        <w:t xml:space="preserve"> p. 10. Voir aussi 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sz w:val="15"/>
          <w:szCs w:val="15"/>
        </w:rPr>
        <w:t>supra</w:t>
      </w:r>
      <w:r w:rsidRPr="001E3DBF">
        <w:rPr>
          <w:rFonts w:ascii="Raleway" w:hAnsi="Raleway"/>
          <w:sz w:val="15"/>
          <w:szCs w:val="15"/>
        </w:rPr>
        <w:t xml:space="preserve"> note</w:t>
      </w:r>
      <w:r w:rsidR="00E6549D">
        <w:rPr>
          <w:rFonts w:ascii="Raleway" w:hAnsi="Raleway"/>
          <w:sz w:val="15"/>
          <w:szCs w:val="15"/>
        </w:rPr>
        <w:t xml:space="preserv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sidRPr="001E3DBF">
        <w:rPr>
          <w:rFonts w:ascii="Raleway" w:hAnsi="Raleway"/>
          <w:sz w:val="15"/>
          <w:szCs w:val="15"/>
        </w:rPr>
        <w:t>, para. 99.</w:t>
      </w:r>
    </w:p>
  </w:footnote>
  <w:footnote w:id="150">
    <w:p w14:paraId="57063548" w14:textId="58DC58F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 Mezmur, </w:t>
      </w:r>
      <w:r w:rsidRPr="001E3DBF">
        <w:rPr>
          <w:rFonts w:ascii="Raleway" w:hAnsi="Raleway"/>
          <w:i/>
          <w:iCs/>
          <w:sz w:val="15"/>
          <w:szCs w:val="15"/>
        </w:rPr>
        <w:t>supra</w:t>
      </w:r>
      <w:r w:rsidRPr="001E3DBF">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_Ref209019668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148</w:t>
      </w:r>
      <w:r>
        <w:rPr>
          <w:rFonts w:ascii="Raleway" w:hAnsi="Raleway"/>
          <w:sz w:val="15"/>
          <w:szCs w:val="15"/>
        </w:rPr>
        <w:fldChar w:fldCharType="end"/>
      </w:r>
      <w:r w:rsidRPr="001E3DBF">
        <w:rPr>
          <w:rFonts w:ascii="Raleway" w:hAnsi="Raleway"/>
          <w:sz w:val="15"/>
          <w:szCs w:val="15"/>
        </w:rPr>
        <w:t>, p. 14.</w:t>
      </w:r>
    </w:p>
  </w:footnote>
  <w:footnote w:id="151">
    <w:p w14:paraId="2436EA2B" w14:textId="24D2D4B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par ex. la situation au Népal avant la suspension par les États-Unis de l</w:t>
      </w:r>
      <w:r>
        <w:rPr>
          <w:rFonts w:ascii="Raleway" w:hAnsi="Raleway"/>
          <w:sz w:val="15"/>
          <w:szCs w:val="15"/>
        </w:rPr>
        <w:t>’</w:t>
      </w:r>
      <w:r w:rsidRPr="001E3DBF">
        <w:rPr>
          <w:rFonts w:ascii="Raleway" w:hAnsi="Raleway"/>
          <w:sz w:val="15"/>
          <w:szCs w:val="15"/>
        </w:rPr>
        <w:t>adoption d</w:t>
      </w:r>
      <w:r>
        <w:rPr>
          <w:rFonts w:ascii="Raleway" w:hAnsi="Raleway"/>
          <w:sz w:val="15"/>
          <w:szCs w:val="15"/>
        </w:rPr>
        <w:t>’</w:t>
      </w:r>
      <w:r w:rsidRPr="001E3DBF">
        <w:rPr>
          <w:rFonts w:ascii="Raleway" w:hAnsi="Raleway"/>
          <w:sz w:val="15"/>
          <w:szCs w:val="15"/>
        </w:rPr>
        <w:t>enfants qui étaient présentés comme ayant été abandonnés. « Les enquêtes sur les enfants signalés comme abandonnés sont fréquemment entravées par l</w:t>
      </w:r>
      <w:r>
        <w:rPr>
          <w:rFonts w:ascii="Raleway" w:hAnsi="Raleway"/>
          <w:sz w:val="15"/>
          <w:szCs w:val="15"/>
        </w:rPr>
        <w:t>’</w:t>
      </w:r>
      <w:r w:rsidRPr="001E3DBF">
        <w:rPr>
          <w:rFonts w:ascii="Raleway" w:hAnsi="Raleway"/>
          <w:sz w:val="15"/>
          <w:szCs w:val="15"/>
        </w:rPr>
        <w:t>indisponibilité des fonctionnaires nommés dans les rapports d</w:t>
      </w:r>
      <w:r>
        <w:rPr>
          <w:rFonts w:ascii="Raleway" w:hAnsi="Raleway"/>
          <w:sz w:val="15"/>
          <w:szCs w:val="15"/>
        </w:rPr>
        <w:t>’</w:t>
      </w:r>
      <w:r w:rsidRPr="001E3DBF">
        <w:rPr>
          <w:rFonts w:ascii="Raleway" w:hAnsi="Raleway"/>
          <w:sz w:val="15"/>
          <w:szCs w:val="15"/>
        </w:rPr>
        <w:t>abandon. Les fonctionnaires de police et des orphelinats refusent souvent d</w:t>
      </w:r>
      <w:r>
        <w:rPr>
          <w:rFonts w:ascii="Raleway" w:hAnsi="Raleway"/>
          <w:sz w:val="15"/>
          <w:szCs w:val="15"/>
        </w:rPr>
        <w:t>’</w:t>
      </w:r>
      <w:r w:rsidRPr="001E3DBF">
        <w:rPr>
          <w:rFonts w:ascii="Raleway" w:hAnsi="Raleway"/>
          <w:sz w:val="15"/>
          <w:szCs w:val="15"/>
        </w:rPr>
        <w:t xml:space="preserve">aider le personnel consulaire dans leurs efforts visant à confirmer les informations en les comparant aux registres officiels des services de police et des orphelinats. » Voir </w:t>
      </w:r>
      <w:hyperlink r:id="rId83" w:history="1">
        <w:r w:rsidRPr="001E3DBF">
          <w:rPr>
            <w:rStyle w:val="Hyperlink"/>
            <w:rFonts w:ascii="Raleway" w:hAnsi="Raleway"/>
            <w:i/>
            <w:iCs/>
            <w:sz w:val="15"/>
            <w:szCs w:val="15"/>
          </w:rPr>
          <w:t>Joint Statement of Suspension of Processing for New Adoption Cases based on Abandonment in Nepal</w:t>
        </w:r>
      </w:hyperlink>
      <w:r w:rsidRPr="001E3DBF">
        <w:rPr>
          <w:rFonts w:ascii="Raleway" w:hAnsi="Raleway"/>
          <w:sz w:val="15"/>
          <w:szCs w:val="15"/>
        </w:rPr>
        <w:t xml:space="preserve"> (Déclaration conjointe de suspension des nouvelles procédures d</w:t>
      </w:r>
      <w:r>
        <w:rPr>
          <w:rFonts w:ascii="Raleway" w:hAnsi="Raleway"/>
          <w:sz w:val="15"/>
          <w:szCs w:val="15"/>
        </w:rPr>
        <w:t>’</w:t>
      </w:r>
      <w:r w:rsidRPr="001E3DBF">
        <w:rPr>
          <w:rFonts w:ascii="Raleway" w:hAnsi="Raleway"/>
          <w:sz w:val="15"/>
          <w:szCs w:val="15"/>
        </w:rPr>
        <w:t>adoption fondées sur l</w:t>
      </w:r>
      <w:r>
        <w:rPr>
          <w:rFonts w:ascii="Raleway" w:hAnsi="Raleway"/>
          <w:sz w:val="15"/>
          <w:szCs w:val="15"/>
        </w:rPr>
        <w:t>’</w:t>
      </w:r>
      <w:r w:rsidRPr="001E3DBF">
        <w:rPr>
          <w:rFonts w:ascii="Raleway" w:hAnsi="Raleway"/>
          <w:sz w:val="15"/>
          <w:szCs w:val="15"/>
        </w:rPr>
        <w:t>abandon au Népal), 6 août 2010.</w:t>
      </w:r>
    </w:p>
  </w:footnote>
  <w:footnote w:id="152">
    <w:p w14:paraId="69C23362" w14:textId="0B0E9D6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Pr>
          <w:rFonts w:ascii="Raleway" w:hAnsi="Raleway"/>
          <w:sz w:val="15"/>
          <w:szCs w:val="15"/>
        </w:rPr>
        <w:t xml:space="preserve"> </w:t>
      </w:r>
      <w:r>
        <w:rPr>
          <w:rFonts w:ascii="Raleway" w:hAnsi="Raleway"/>
          <w:sz w:val="15"/>
          <w:szCs w:val="15"/>
        </w:rPr>
        <w:tab/>
        <w:t>Sans prétendre à l’exhaustivité</w:t>
      </w:r>
      <w:r w:rsidRPr="001E3DBF">
        <w:rPr>
          <w:rFonts w:ascii="Raleway" w:hAnsi="Raleway"/>
          <w:sz w:val="15"/>
          <w:szCs w:val="15"/>
        </w:rPr>
        <w:t xml:space="preserve">, voici quelques exemples des condamnations les plus notables : </w:t>
      </w:r>
    </w:p>
    <w:p w14:paraId="5A3A268B" w14:textId="000B95CD" w:rsidR="00974DA5" w:rsidRPr="001E3DBF" w:rsidRDefault="00974DA5" w:rsidP="00ED36D0">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Affaire Galindo (adoptions internationales entre le Cambodge et les États-Unis) : L. Galindo a été condamnée par un tribunal américain à 18 mois de prison, 3 ans de liberté surveillée et 300 heures de service d</w:t>
      </w:r>
      <w:r>
        <w:rPr>
          <w:rFonts w:ascii="Raleway" w:hAnsi="Raleway"/>
          <w:sz w:val="15"/>
          <w:szCs w:val="15"/>
        </w:rPr>
        <w:t>’</w:t>
      </w:r>
      <w:r w:rsidRPr="001E3DBF">
        <w:rPr>
          <w:rFonts w:ascii="Raleway" w:hAnsi="Raleway"/>
          <w:sz w:val="15"/>
          <w:szCs w:val="15"/>
        </w:rPr>
        <w:t>intérêt général ainsi qu</w:t>
      </w:r>
      <w:r>
        <w:rPr>
          <w:rFonts w:ascii="Raleway" w:hAnsi="Raleway"/>
          <w:sz w:val="15"/>
          <w:szCs w:val="15"/>
        </w:rPr>
        <w:t>’</w:t>
      </w:r>
      <w:r w:rsidRPr="001E3DBF">
        <w:rPr>
          <w:rFonts w:ascii="Raleway" w:hAnsi="Raleway"/>
          <w:sz w:val="15"/>
          <w:szCs w:val="15"/>
        </w:rPr>
        <w:t>à plus de 60 000 dollars américains à titre de réparation après avoir reconnu qu</w:t>
      </w:r>
      <w:r>
        <w:rPr>
          <w:rFonts w:ascii="Raleway" w:hAnsi="Raleway"/>
          <w:sz w:val="15"/>
          <w:szCs w:val="15"/>
        </w:rPr>
        <w:t>’</w:t>
      </w:r>
      <w:r w:rsidRPr="001E3DBF">
        <w:rPr>
          <w:rFonts w:ascii="Raleway" w:hAnsi="Raleway"/>
          <w:sz w:val="15"/>
          <w:szCs w:val="15"/>
        </w:rPr>
        <w:t xml:space="preserve">elle avait organisé le dispositif par lequel </w:t>
      </w:r>
      <w:r>
        <w:rPr>
          <w:rFonts w:ascii="Raleway" w:hAnsi="Raleway"/>
          <w:sz w:val="15"/>
          <w:szCs w:val="15"/>
        </w:rPr>
        <w:t>plusieurs</w:t>
      </w:r>
      <w:r w:rsidRPr="001E3DBF">
        <w:rPr>
          <w:rFonts w:ascii="Raleway" w:hAnsi="Raleway"/>
          <w:sz w:val="15"/>
          <w:szCs w:val="15"/>
        </w:rPr>
        <w:t xml:space="preserve"> enfants cambodgiens </w:t>
      </w:r>
      <w:r>
        <w:rPr>
          <w:rFonts w:ascii="Raleway" w:hAnsi="Raleway"/>
          <w:sz w:val="15"/>
          <w:szCs w:val="15"/>
        </w:rPr>
        <w:t xml:space="preserve">avaient été </w:t>
      </w:r>
      <w:r w:rsidRPr="001E3DBF">
        <w:rPr>
          <w:rFonts w:ascii="Raleway" w:hAnsi="Raleway"/>
          <w:sz w:val="15"/>
          <w:szCs w:val="15"/>
        </w:rPr>
        <w:t>enlevés à leurs familles et déclarés orphelins sur les formulaires d</w:t>
      </w:r>
      <w:r>
        <w:rPr>
          <w:rFonts w:ascii="Raleway" w:hAnsi="Raleway"/>
          <w:sz w:val="15"/>
          <w:szCs w:val="15"/>
        </w:rPr>
        <w:t>’</w:t>
      </w:r>
      <w:r w:rsidRPr="001E3DBF">
        <w:rPr>
          <w:rFonts w:ascii="Raleway" w:hAnsi="Raleway"/>
          <w:sz w:val="15"/>
          <w:szCs w:val="15"/>
        </w:rPr>
        <w:t xml:space="preserve">immigration. </w:t>
      </w:r>
    </w:p>
    <w:p w14:paraId="03E58A93" w14:textId="022DA7B2" w:rsidR="00974DA5" w:rsidRPr="001E3DBF" w:rsidRDefault="00974DA5" w:rsidP="00ED36D0">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 xml:space="preserve">Adoptions illégales au Guatemala : plusieurs personnes ont été condamnées pour adoption illicite, notamment </w:t>
      </w:r>
      <w:r>
        <w:rPr>
          <w:rFonts w:ascii="Raleway" w:hAnsi="Raleway"/>
          <w:sz w:val="15"/>
          <w:szCs w:val="15"/>
        </w:rPr>
        <w:t>Mmes </w:t>
      </w:r>
      <w:r w:rsidRPr="001E3DBF">
        <w:rPr>
          <w:rFonts w:ascii="Raleway" w:hAnsi="Raleway"/>
          <w:sz w:val="15"/>
          <w:szCs w:val="15"/>
        </w:rPr>
        <w:t>Valle Flores de Mejia et Noriega Cano, qui ont été respectivement condamnées par un tribunal guatémaltèque à 21 et 16 ans d</w:t>
      </w:r>
      <w:r>
        <w:rPr>
          <w:rFonts w:ascii="Raleway" w:hAnsi="Raleway"/>
          <w:sz w:val="15"/>
          <w:szCs w:val="15"/>
        </w:rPr>
        <w:t>’</w:t>
      </w:r>
      <w:r w:rsidRPr="001E3DBF">
        <w:rPr>
          <w:rFonts w:ascii="Raleway" w:hAnsi="Raleway"/>
          <w:sz w:val="15"/>
          <w:szCs w:val="15"/>
        </w:rPr>
        <w:t>emprisonnement après avoir été jugées coupables de traite d</w:t>
      </w:r>
      <w:r>
        <w:rPr>
          <w:rFonts w:ascii="Raleway" w:hAnsi="Raleway"/>
          <w:sz w:val="15"/>
          <w:szCs w:val="15"/>
        </w:rPr>
        <w:t>’</w:t>
      </w:r>
      <w:r w:rsidRPr="001E3DBF">
        <w:rPr>
          <w:rFonts w:ascii="Raleway" w:hAnsi="Raleway"/>
          <w:sz w:val="15"/>
          <w:szCs w:val="15"/>
        </w:rPr>
        <w:t>êtres humains, de falsification de documents et d</w:t>
      </w:r>
      <w:r>
        <w:rPr>
          <w:rFonts w:ascii="Raleway" w:hAnsi="Raleway"/>
          <w:sz w:val="15"/>
          <w:szCs w:val="15"/>
        </w:rPr>
        <w:t>’</w:t>
      </w:r>
      <w:r w:rsidRPr="001E3DBF">
        <w:rPr>
          <w:rFonts w:ascii="Raleway" w:hAnsi="Raleway"/>
          <w:sz w:val="15"/>
          <w:szCs w:val="15"/>
        </w:rPr>
        <w:t xml:space="preserve">entreprise criminelle. Voir </w:t>
      </w:r>
      <w:hyperlink r:id="rId84" w:history="1">
        <w:r w:rsidRPr="001E3DBF">
          <w:rPr>
            <w:rStyle w:val="Hyperlink"/>
            <w:rFonts w:ascii="Raleway" w:hAnsi="Raleway"/>
            <w:i/>
            <w:iCs/>
            <w:sz w:val="15"/>
            <w:szCs w:val="15"/>
          </w:rPr>
          <w:t>Press Release 055: CICIG and MP request maximum penalties in illegal adoption case</w:t>
        </w:r>
      </w:hyperlink>
      <w:r w:rsidRPr="001E3DBF">
        <w:rPr>
          <w:rFonts w:ascii="Raleway" w:hAnsi="Raleway"/>
          <w:sz w:val="15"/>
          <w:szCs w:val="15"/>
        </w:rPr>
        <w:t xml:space="preserve"> (Communiqué de presse 055 : la CICIG et le bureau du Procureur requièrent la peine maximale pour adoption illégale) disponible sur le site web de la </w:t>
      </w:r>
      <w:r w:rsidRPr="001E3DBF">
        <w:rPr>
          <w:rFonts w:ascii="Raleway" w:hAnsi="Raleway"/>
          <w:i/>
          <w:sz w:val="15"/>
          <w:szCs w:val="15"/>
        </w:rPr>
        <w:t>Comisión International contra la impunidad en Guatemala</w:t>
      </w:r>
      <w:r w:rsidR="00E6549D">
        <w:rPr>
          <w:rFonts w:ascii="Raleway" w:hAnsi="Raleway"/>
          <w:i/>
          <w:sz w:val="15"/>
          <w:szCs w:val="15"/>
        </w:rPr>
        <w:t xml:space="preserve"> </w:t>
      </w:r>
      <w:r w:rsidRPr="001E3DBF">
        <w:rPr>
          <w:rFonts w:ascii="Raleway" w:hAnsi="Raleway"/>
          <w:sz w:val="15"/>
          <w:szCs w:val="15"/>
        </w:rPr>
        <w:t>(Commission internationale contre l</w:t>
      </w:r>
      <w:r>
        <w:rPr>
          <w:rFonts w:ascii="Raleway" w:hAnsi="Raleway"/>
          <w:sz w:val="15"/>
          <w:szCs w:val="15"/>
        </w:rPr>
        <w:t>’</w:t>
      </w:r>
      <w:r w:rsidRPr="001E3DBF">
        <w:rPr>
          <w:rFonts w:ascii="Raleway" w:hAnsi="Raleway"/>
          <w:sz w:val="15"/>
          <w:szCs w:val="15"/>
        </w:rPr>
        <w:t>impunité au Guatemala).</w:t>
      </w:r>
    </w:p>
    <w:p w14:paraId="1801E858" w14:textId="0CC7FE45" w:rsidR="00974DA5" w:rsidRPr="001E3DBF" w:rsidRDefault="00974DA5" w:rsidP="00ED36D0">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Arche de Zoé (adoptions internationa</w:t>
      </w:r>
      <w:r>
        <w:rPr>
          <w:rFonts w:ascii="Raleway" w:hAnsi="Raleway"/>
          <w:sz w:val="15"/>
          <w:szCs w:val="15"/>
        </w:rPr>
        <w:t>les entre le Tchad et la France</w:t>
      </w:r>
      <w:r w:rsidRPr="001E3DBF">
        <w:rPr>
          <w:rFonts w:ascii="Raleway" w:hAnsi="Raleway"/>
          <w:sz w:val="15"/>
          <w:szCs w:val="15"/>
        </w:rPr>
        <w:t>) : six personnes mêlées à l</w:t>
      </w:r>
      <w:r>
        <w:rPr>
          <w:rFonts w:ascii="Raleway" w:hAnsi="Raleway"/>
          <w:sz w:val="15"/>
          <w:szCs w:val="15"/>
        </w:rPr>
        <w:t>’</w:t>
      </w:r>
      <w:r w:rsidRPr="001E3DBF">
        <w:rPr>
          <w:rFonts w:ascii="Raleway" w:hAnsi="Raleway"/>
          <w:sz w:val="15"/>
          <w:szCs w:val="15"/>
        </w:rPr>
        <w:t>affaire de l</w:t>
      </w:r>
      <w:r>
        <w:rPr>
          <w:rFonts w:ascii="Raleway" w:hAnsi="Raleway"/>
          <w:sz w:val="15"/>
          <w:szCs w:val="15"/>
        </w:rPr>
        <w:t>’</w:t>
      </w:r>
      <w:r w:rsidRPr="001E3DBF">
        <w:rPr>
          <w:rFonts w:ascii="Raleway" w:hAnsi="Raleway"/>
          <w:sz w:val="15"/>
          <w:szCs w:val="15"/>
        </w:rPr>
        <w:t>Arche de Zoé ont été condamnées par un tribunal tchadien à huit ans de prison pour enlèvement d</w:t>
      </w:r>
      <w:r>
        <w:rPr>
          <w:rFonts w:ascii="Raleway" w:hAnsi="Raleway"/>
          <w:sz w:val="15"/>
          <w:szCs w:val="15"/>
        </w:rPr>
        <w:t>’</w:t>
      </w:r>
      <w:r w:rsidRPr="001E3DBF">
        <w:rPr>
          <w:rFonts w:ascii="Raleway" w:hAnsi="Raleway"/>
          <w:sz w:val="15"/>
          <w:szCs w:val="15"/>
        </w:rPr>
        <w:t>enfants et faux et usage de faux pour avoir tenté d</w:t>
      </w:r>
      <w:r>
        <w:rPr>
          <w:rFonts w:ascii="Raleway" w:hAnsi="Raleway"/>
          <w:sz w:val="15"/>
          <w:szCs w:val="15"/>
        </w:rPr>
        <w:t>’</w:t>
      </w:r>
      <w:r w:rsidRPr="001E3DBF">
        <w:rPr>
          <w:rFonts w:ascii="Raleway" w:hAnsi="Raleway"/>
          <w:sz w:val="15"/>
          <w:szCs w:val="15"/>
        </w:rPr>
        <w:t xml:space="preserve">emmener par avion 103 enfants en vue de leur adoption en France après avoir induit les familles </w:t>
      </w:r>
      <w:r>
        <w:rPr>
          <w:rFonts w:ascii="Raleway" w:hAnsi="Raleway"/>
          <w:sz w:val="15"/>
          <w:szCs w:val="15"/>
        </w:rPr>
        <w:t>d’origine</w:t>
      </w:r>
      <w:r w:rsidRPr="001E3DBF">
        <w:rPr>
          <w:rFonts w:ascii="Raleway" w:hAnsi="Raleway"/>
          <w:sz w:val="15"/>
          <w:szCs w:val="15"/>
        </w:rPr>
        <w:t xml:space="preserve"> en erreur. Voir B. Mezmur, </w:t>
      </w:r>
      <w:r w:rsidRPr="001E3DBF">
        <w:rPr>
          <w:rFonts w:ascii="Raleway" w:hAnsi="Raleway"/>
          <w:i/>
          <w:iCs/>
          <w:sz w:val="15"/>
          <w:szCs w:val="15"/>
        </w:rPr>
        <w:t>supra</w:t>
      </w:r>
      <w:r w:rsidRPr="001E3DBF">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_Ref209019668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148</w:t>
      </w:r>
      <w:r>
        <w:rPr>
          <w:rFonts w:ascii="Raleway" w:hAnsi="Raleway"/>
          <w:sz w:val="15"/>
          <w:szCs w:val="15"/>
        </w:rPr>
        <w:fldChar w:fldCharType="end"/>
      </w:r>
      <w:r w:rsidRPr="001E3DBF">
        <w:rPr>
          <w:rFonts w:ascii="Raleway" w:hAnsi="Raleway"/>
          <w:sz w:val="15"/>
          <w:szCs w:val="15"/>
        </w:rPr>
        <w:t xml:space="preserve">, p. 14. </w:t>
      </w:r>
    </w:p>
    <w:p w14:paraId="1C3B41A0" w14:textId="02757AB4" w:rsidR="00974DA5" w:rsidRPr="001E3DBF" w:rsidRDefault="00974DA5" w:rsidP="00ED36D0">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Affaire Hunan en Chine : un tribunal chinois a condamné trois personnes à 15 ans d</w:t>
      </w:r>
      <w:r>
        <w:rPr>
          <w:rFonts w:ascii="Raleway" w:hAnsi="Raleway"/>
          <w:sz w:val="15"/>
          <w:szCs w:val="15"/>
        </w:rPr>
        <w:t>’</w:t>
      </w:r>
      <w:r w:rsidRPr="001E3DBF">
        <w:rPr>
          <w:rFonts w:ascii="Raleway" w:hAnsi="Raleway"/>
          <w:sz w:val="15"/>
          <w:szCs w:val="15"/>
        </w:rPr>
        <w:t>emprisonnement et à une amende de 50 000 yens, et six autres p</w:t>
      </w:r>
      <w:r>
        <w:rPr>
          <w:rFonts w:ascii="Raleway" w:hAnsi="Raleway"/>
          <w:sz w:val="15"/>
          <w:szCs w:val="15"/>
        </w:rPr>
        <w:t>ersonnes à des peines de 3 à 13 </w:t>
      </w:r>
      <w:r w:rsidRPr="001E3DBF">
        <w:rPr>
          <w:rFonts w:ascii="Raleway" w:hAnsi="Raleway"/>
          <w:sz w:val="15"/>
          <w:szCs w:val="15"/>
        </w:rPr>
        <w:t>ans</w:t>
      </w:r>
      <w:r>
        <w:rPr>
          <w:rFonts w:ascii="Raleway" w:hAnsi="Raleway"/>
          <w:sz w:val="15"/>
          <w:szCs w:val="15"/>
        </w:rPr>
        <w:t xml:space="preserve"> </w:t>
      </w:r>
      <w:r w:rsidRPr="001E3DBF">
        <w:rPr>
          <w:rFonts w:ascii="Raleway" w:hAnsi="Raleway"/>
          <w:sz w:val="15"/>
          <w:szCs w:val="15"/>
        </w:rPr>
        <w:t>d</w:t>
      </w:r>
      <w:r>
        <w:rPr>
          <w:rFonts w:ascii="Raleway" w:hAnsi="Raleway"/>
          <w:sz w:val="15"/>
          <w:szCs w:val="15"/>
        </w:rPr>
        <w:t>’</w:t>
      </w:r>
      <w:r w:rsidRPr="001E3DBF">
        <w:rPr>
          <w:rFonts w:ascii="Raleway" w:hAnsi="Raleway"/>
          <w:sz w:val="15"/>
          <w:szCs w:val="15"/>
        </w:rPr>
        <w:t>emprisonnement à l</w:t>
      </w:r>
      <w:r>
        <w:rPr>
          <w:rFonts w:ascii="Raleway" w:hAnsi="Raleway"/>
          <w:sz w:val="15"/>
          <w:szCs w:val="15"/>
        </w:rPr>
        <w:t>’</w:t>
      </w:r>
      <w:r w:rsidRPr="001E3DBF">
        <w:rPr>
          <w:rFonts w:ascii="Raleway" w:hAnsi="Raleway"/>
          <w:sz w:val="15"/>
          <w:szCs w:val="15"/>
        </w:rPr>
        <w:t>issue d</w:t>
      </w:r>
      <w:r>
        <w:rPr>
          <w:rFonts w:ascii="Raleway" w:hAnsi="Raleway"/>
          <w:sz w:val="15"/>
          <w:szCs w:val="15"/>
        </w:rPr>
        <w:t>’</w:t>
      </w:r>
      <w:r w:rsidRPr="001E3DBF">
        <w:rPr>
          <w:rFonts w:ascii="Raleway" w:hAnsi="Raleway"/>
          <w:sz w:val="15"/>
          <w:szCs w:val="15"/>
        </w:rPr>
        <w:t xml:space="preserve">une enquête </w:t>
      </w:r>
      <w:r>
        <w:rPr>
          <w:rFonts w:ascii="Raleway" w:hAnsi="Raleway"/>
          <w:sz w:val="15"/>
          <w:szCs w:val="15"/>
        </w:rPr>
        <w:t>portant sur</w:t>
      </w:r>
      <w:r w:rsidRPr="001E3DBF">
        <w:rPr>
          <w:rFonts w:ascii="Raleway" w:hAnsi="Raleway"/>
          <w:sz w:val="15"/>
          <w:szCs w:val="15"/>
        </w:rPr>
        <w:t xml:space="preserve"> l</w:t>
      </w:r>
      <w:r>
        <w:rPr>
          <w:rFonts w:ascii="Raleway" w:hAnsi="Raleway"/>
          <w:sz w:val="15"/>
          <w:szCs w:val="15"/>
        </w:rPr>
        <w:t>’</w:t>
      </w:r>
      <w:r w:rsidRPr="001E3DBF">
        <w:rPr>
          <w:rFonts w:ascii="Raleway" w:hAnsi="Raleway"/>
          <w:sz w:val="15"/>
          <w:szCs w:val="15"/>
        </w:rPr>
        <w:t>achat d</w:t>
      </w:r>
      <w:r>
        <w:rPr>
          <w:rFonts w:ascii="Raleway" w:hAnsi="Raleway"/>
          <w:sz w:val="15"/>
          <w:szCs w:val="15"/>
        </w:rPr>
        <w:t>’enfants. Voir P.J. Meier et X. </w:t>
      </w:r>
      <w:r w:rsidRPr="001E3DBF">
        <w:rPr>
          <w:rFonts w:ascii="Raleway" w:hAnsi="Raleway"/>
          <w:sz w:val="15"/>
          <w:szCs w:val="15"/>
        </w:rPr>
        <w:t>Zhang, “</w:t>
      </w:r>
      <w:r w:rsidRPr="001E3DBF">
        <w:rPr>
          <w:rFonts w:ascii="Raleway" w:hAnsi="Raleway"/>
          <w:i/>
          <w:iCs/>
          <w:sz w:val="15"/>
          <w:szCs w:val="15"/>
        </w:rPr>
        <w:t>Sold into Adoption: the Hunan baby trafficking scandal exposes vulnerabilities in Chinese adoptions to the United States</w:t>
      </w:r>
      <w:r w:rsidRPr="001E3DBF">
        <w:rPr>
          <w:rFonts w:ascii="Raleway" w:hAnsi="Raleway"/>
          <w:sz w:val="15"/>
          <w:szCs w:val="15"/>
        </w:rPr>
        <w:t>” (Vendus pour l</w:t>
      </w:r>
      <w:r>
        <w:rPr>
          <w:rFonts w:ascii="Raleway" w:hAnsi="Raleway"/>
          <w:sz w:val="15"/>
          <w:szCs w:val="15"/>
        </w:rPr>
        <w:t>’</w:t>
      </w:r>
      <w:r w:rsidRPr="001E3DBF">
        <w:rPr>
          <w:rFonts w:ascii="Raleway" w:hAnsi="Raleway"/>
          <w:sz w:val="15"/>
          <w:szCs w:val="15"/>
        </w:rPr>
        <w:t>adoption : le scandale de la traite des bébés de Hunan met en lumière les vulnérabilités des adoptions chinoises vers les États-Unis), Cumberland Law Review, Vol. 39, No 1, 2008-2009.</w:t>
      </w:r>
    </w:p>
    <w:p w14:paraId="6B6AC447" w14:textId="4CDC1A7E" w:rsidR="00974DA5" w:rsidRPr="001E3DBF" w:rsidRDefault="00974DA5" w:rsidP="00ED36D0">
      <w:pPr>
        <w:pStyle w:val="FootnoteText"/>
        <w:ind w:left="426" w:hanging="143"/>
        <w:rPr>
          <w:rFonts w:ascii="Raleway" w:hAnsi="Raleway"/>
          <w:sz w:val="15"/>
          <w:szCs w:val="15"/>
        </w:rPr>
      </w:pPr>
      <w:r w:rsidRPr="001E3DBF">
        <w:rPr>
          <w:rFonts w:ascii="Raleway" w:hAnsi="Raleway"/>
          <w:sz w:val="15"/>
          <w:szCs w:val="15"/>
        </w:rPr>
        <w:t xml:space="preserve">- </w:t>
      </w:r>
      <w:r w:rsidRPr="001E3DBF">
        <w:rPr>
          <w:rFonts w:ascii="Raleway" w:hAnsi="Raleway"/>
          <w:sz w:val="15"/>
          <w:szCs w:val="15"/>
        </w:rPr>
        <w:tab/>
        <w:t>Traite d</w:t>
      </w:r>
      <w:r>
        <w:rPr>
          <w:rFonts w:ascii="Raleway" w:hAnsi="Raleway"/>
          <w:sz w:val="15"/>
          <w:szCs w:val="15"/>
        </w:rPr>
        <w:t>’</w:t>
      </w:r>
      <w:r w:rsidRPr="001E3DBF">
        <w:rPr>
          <w:rFonts w:ascii="Raleway" w:hAnsi="Raleway"/>
          <w:sz w:val="15"/>
          <w:szCs w:val="15"/>
        </w:rPr>
        <w:t>enfants à Madagascar : ont respectivement été démantelés en 2004 et 2005</w:t>
      </w:r>
      <w:r>
        <w:rPr>
          <w:rFonts w:ascii="Raleway" w:hAnsi="Raleway"/>
          <w:sz w:val="15"/>
          <w:szCs w:val="15"/>
        </w:rPr>
        <w:t>,</w:t>
      </w:r>
      <w:r w:rsidRPr="001E3DBF">
        <w:rPr>
          <w:rFonts w:ascii="Raleway" w:hAnsi="Raleway"/>
          <w:sz w:val="15"/>
          <w:szCs w:val="15"/>
        </w:rPr>
        <w:t xml:space="preserve"> cinq et deux réseaux de traite d</w:t>
      </w:r>
      <w:r>
        <w:rPr>
          <w:rFonts w:ascii="Raleway" w:hAnsi="Raleway"/>
          <w:sz w:val="15"/>
          <w:szCs w:val="15"/>
        </w:rPr>
        <w:t>’</w:t>
      </w:r>
      <w:r w:rsidRPr="001E3DBF">
        <w:rPr>
          <w:rFonts w:ascii="Raleway" w:hAnsi="Raleway"/>
          <w:sz w:val="15"/>
          <w:szCs w:val="15"/>
        </w:rPr>
        <w:t>enfants. Voir Nations Unies, Comité des droits de l</w:t>
      </w:r>
      <w:r>
        <w:rPr>
          <w:rFonts w:ascii="Raleway" w:hAnsi="Raleway"/>
          <w:sz w:val="15"/>
          <w:szCs w:val="15"/>
        </w:rPr>
        <w:t>’</w:t>
      </w:r>
      <w:r w:rsidRPr="001E3DBF">
        <w:rPr>
          <w:rFonts w:ascii="Raleway" w:hAnsi="Raleway"/>
          <w:sz w:val="15"/>
          <w:szCs w:val="15"/>
        </w:rPr>
        <w:t>enfant, Examen des rapports présentés par les États parties en application de l</w:t>
      </w:r>
      <w:r>
        <w:rPr>
          <w:rFonts w:ascii="Raleway" w:hAnsi="Raleway"/>
          <w:sz w:val="15"/>
          <w:szCs w:val="15"/>
        </w:rPr>
        <w:t>’</w:t>
      </w:r>
      <w:r w:rsidRPr="001E3DBF">
        <w:rPr>
          <w:rFonts w:ascii="Raleway" w:hAnsi="Raleway"/>
          <w:sz w:val="15"/>
          <w:szCs w:val="15"/>
        </w:rPr>
        <w:t xml:space="preserve">article 44 de la Convention : Troisième et quatrième rapports périodiques des États parties devant être soumis en 2008 (Madagascar), </w:t>
      </w:r>
      <w:hyperlink r:id="rId85" w:history="1">
        <w:r w:rsidRPr="001E3DBF">
          <w:rPr>
            <w:rStyle w:val="Hyperlink"/>
            <w:rFonts w:ascii="Raleway" w:hAnsi="Raleway"/>
            <w:sz w:val="15"/>
            <w:szCs w:val="15"/>
          </w:rPr>
          <w:t>Doc. ONU CRC/C/MDG/3-4</w:t>
        </w:r>
      </w:hyperlink>
      <w:r w:rsidRPr="001E3DBF">
        <w:rPr>
          <w:rFonts w:ascii="Raleway" w:hAnsi="Raleway"/>
          <w:sz w:val="15"/>
          <w:szCs w:val="15"/>
        </w:rPr>
        <w:t xml:space="preserve">, para. 226 et 227. </w:t>
      </w:r>
    </w:p>
  </w:footnote>
  <w:footnote w:id="153">
    <w:p w14:paraId="54D54304" w14:textId="111E03F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sidRPr="001E3DBF">
        <w:rPr>
          <w:rFonts w:ascii="Raleway" w:hAnsi="Raleway"/>
          <w:sz w:val="15"/>
          <w:szCs w:val="15"/>
        </w:rPr>
        <w:t>, para. 95.</w:t>
      </w:r>
    </w:p>
  </w:footnote>
  <w:footnote w:id="154">
    <w:p w14:paraId="1478E0D9" w14:textId="6BD042A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Il peut par ex. arriver que les FPA ne puissent pas démontrer de façon absolument certaine qu</w:t>
      </w:r>
      <w:r>
        <w:rPr>
          <w:rFonts w:ascii="Raleway" w:hAnsi="Raleway"/>
          <w:sz w:val="15"/>
          <w:szCs w:val="15"/>
        </w:rPr>
        <w:t>’</w:t>
      </w:r>
      <w:r w:rsidRPr="001E3DBF">
        <w:rPr>
          <w:rFonts w:ascii="Raleway" w:hAnsi="Raleway"/>
          <w:sz w:val="15"/>
          <w:szCs w:val="15"/>
        </w:rPr>
        <w:t>un OAA a commis une violation parce qu</w:t>
      </w:r>
      <w:r>
        <w:rPr>
          <w:rFonts w:ascii="Raleway" w:hAnsi="Raleway"/>
          <w:sz w:val="15"/>
          <w:szCs w:val="15"/>
        </w:rPr>
        <w:t>’</w:t>
      </w:r>
      <w:r w:rsidRPr="001E3DBF">
        <w:rPr>
          <w:rFonts w:ascii="Raleway" w:hAnsi="Raleway"/>
          <w:sz w:val="15"/>
          <w:szCs w:val="15"/>
        </w:rPr>
        <w:t>ils n</w:t>
      </w:r>
      <w:r>
        <w:rPr>
          <w:rFonts w:ascii="Raleway" w:hAnsi="Raleway"/>
          <w:sz w:val="15"/>
          <w:szCs w:val="15"/>
        </w:rPr>
        <w:t>’</w:t>
      </w:r>
      <w:r w:rsidRPr="001E3DBF">
        <w:rPr>
          <w:rFonts w:ascii="Raleway" w:hAnsi="Raleway"/>
          <w:sz w:val="15"/>
          <w:szCs w:val="15"/>
        </w:rPr>
        <w:t>ont pas les moyens de recueillir des preuves dans l</w:t>
      </w:r>
      <w:r>
        <w:rPr>
          <w:rFonts w:ascii="Raleway" w:hAnsi="Raleway"/>
          <w:sz w:val="15"/>
          <w:szCs w:val="15"/>
        </w:rPr>
        <w:t>’</w:t>
      </w:r>
      <w:r w:rsidRPr="001E3DBF">
        <w:rPr>
          <w:rFonts w:ascii="Raleway" w:hAnsi="Raleway"/>
          <w:sz w:val="15"/>
          <w:szCs w:val="15"/>
        </w:rPr>
        <w:t>État d</w:t>
      </w:r>
      <w:r>
        <w:rPr>
          <w:rFonts w:ascii="Raleway" w:hAnsi="Raleway"/>
          <w:sz w:val="15"/>
          <w:szCs w:val="15"/>
        </w:rPr>
        <w:t>’</w:t>
      </w:r>
      <w:r w:rsidRPr="001E3DBF">
        <w:rPr>
          <w:rFonts w:ascii="Raleway" w:hAnsi="Raleway"/>
          <w:sz w:val="15"/>
          <w:szCs w:val="15"/>
        </w:rPr>
        <w:t>origine. Pour tenir compte de l</w:t>
      </w:r>
      <w:r>
        <w:rPr>
          <w:rFonts w:ascii="Raleway" w:hAnsi="Raleway"/>
          <w:sz w:val="15"/>
          <w:szCs w:val="15"/>
        </w:rPr>
        <w:t>’</w:t>
      </w:r>
      <w:r w:rsidRPr="001E3DBF">
        <w:rPr>
          <w:rFonts w:ascii="Raleway" w:hAnsi="Raleway"/>
          <w:sz w:val="15"/>
          <w:szCs w:val="15"/>
        </w:rPr>
        <w:t>équilibre entre les parties, les États peuvent envisager d</w:t>
      </w:r>
      <w:r>
        <w:rPr>
          <w:rFonts w:ascii="Raleway" w:hAnsi="Raleway"/>
          <w:sz w:val="15"/>
          <w:szCs w:val="15"/>
        </w:rPr>
        <w:t>’</w:t>
      </w:r>
      <w:r w:rsidRPr="001E3DBF">
        <w:rPr>
          <w:rFonts w:ascii="Raleway" w:hAnsi="Raleway"/>
          <w:sz w:val="15"/>
          <w:szCs w:val="15"/>
        </w:rPr>
        <w:t>exiger qu</w:t>
      </w:r>
      <w:r>
        <w:rPr>
          <w:rFonts w:ascii="Raleway" w:hAnsi="Raleway"/>
          <w:sz w:val="15"/>
          <w:szCs w:val="15"/>
        </w:rPr>
        <w:t>’</w:t>
      </w:r>
      <w:r w:rsidRPr="001E3DBF">
        <w:rPr>
          <w:rFonts w:ascii="Raleway" w:hAnsi="Raleway"/>
          <w:sz w:val="15"/>
          <w:szCs w:val="15"/>
        </w:rPr>
        <w:t xml:space="preserve">il soit prouvé que </w:t>
      </w:r>
      <w:r w:rsidRPr="001E3DBF">
        <w:rPr>
          <w:rFonts w:ascii="Raleway" w:hAnsi="Raleway"/>
          <w:i/>
          <w:iCs/>
          <w:sz w:val="15"/>
          <w:szCs w:val="15"/>
        </w:rPr>
        <w:t>l</w:t>
      </w:r>
      <w:r>
        <w:rPr>
          <w:rFonts w:ascii="Raleway" w:hAnsi="Raleway"/>
          <w:i/>
          <w:iCs/>
          <w:sz w:val="15"/>
          <w:szCs w:val="15"/>
        </w:rPr>
        <w:t>’</w:t>
      </w:r>
      <w:r w:rsidRPr="001E3DBF">
        <w:rPr>
          <w:rFonts w:ascii="Raleway" w:hAnsi="Raleway"/>
          <w:i/>
          <w:iCs/>
          <w:sz w:val="15"/>
          <w:szCs w:val="15"/>
        </w:rPr>
        <w:t>hypothèse la plus probable</w:t>
      </w:r>
      <w:r w:rsidRPr="001E3DBF">
        <w:rPr>
          <w:rFonts w:ascii="Raleway" w:hAnsi="Raleway"/>
          <w:sz w:val="15"/>
          <w:szCs w:val="15"/>
        </w:rPr>
        <w:t xml:space="preserve"> est qu</w:t>
      </w:r>
      <w:r>
        <w:rPr>
          <w:rFonts w:ascii="Raleway" w:hAnsi="Raleway"/>
          <w:sz w:val="15"/>
          <w:szCs w:val="15"/>
        </w:rPr>
        <w:t>’</w:t>
      </w:r>
      <w:r w:rsidRPr="001E3DBF">
        <w:rPr>
          <w:rFonts w:ascii="Raleway" w:hAnsi="Raleway"/>
          <w:sz w:val="15"/>
          <w:szCs w:val="15"/>
        </w:rPr>
        <w:t>un OAA a commis une violation.</w:t>
      </w:r>
    </w:p>
  </w:footnote>
  <w:footnote w:id="155">
    <w:p w14:paraId="7C56A9FD" w14:textId="09F172C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Cela peut notamment être le cas aux États-Unis (Code des règlements fédéraux</w:t>
      </w:r>
      <w:r>
        <w:rPr>
          <w:rFonts w:ascii="Raleway" w:hAnsi="Raleway"/>
          <w:sz w:val="15"/>
          <w:szCs w:val="15"/>
        </w:rPr>
        <w:t xml:space="preserve">, </w:t>
      </w:r>
      <w:r w:rsidRPr="006D6548">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_Ref231303536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123</w:t>
      </w:r>
      <w:r>
        <w:rPr>
          <w:rFonts w:ascii="Raleway" w:hAnsi="Raleway"/>
          <w:sz w:val="15"/>
          <w:szCs w:val="15"/>
        </w:rPr>
        <w:fldChar w:fldCharType="end"/>
      </w:r>
      <w:r>
        <w:rPr>
          <w:rFonts w:ascii="Raleway" w:hAnsi="Raleway"/>
          <w:sz w:val="15"/>
          <w:szCs w:val="15"/>
        </w:rPr>
        <w:t xml:space="preserve">, </w:t>
      </w:r>
      <w:r w:rsidRPr="00916D27">
        <w:rPr>
          <w:rFonts w:ascii="Raleway" w:hAnsi="Raleway"/>
          <w:sz w:val="15"/>
          <w:szCs w:val="15"/>
        </w:rPr>
        <w:t>titre</w:t>
      </w:r>
      <w:r w:rsidRPr="001E3DBF">
        <w:rPr>
          <w:rFonts w:ascii="Raleway" w:hAnsi="Raleway"/>
          <w:sz w:val="15"/>
          <w:szCs w:val="15"/>
        </w:rPr>
        <w:t> 22, para. 96.75(a)).</w:t>
      </w:r>
    </w:p>
  </w:footnote>
  <w:footnote w:id="156">
    <w:p w14:paraId="23C441DA" w14:textId="6A6FC3B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chapitres 7.4.5 et 7.6 pour plus d</w:t>
      </w:r>
      <w:r>
        <w:rPr>
          <w:rFonts w:ascii="Raleway" w:hAnsi="Raleway"/>
          <w:sz w:val="15"/>
          <w:szCs w:val="15"/>
        </w:rPr>
        <w:t>’</w:t>
      </w:r>
      <w:r w:rsidRPr="001E3DBF">
        <w:rPr>
          <w:rFonts w:ascii="Raleway" w:hAnsi="Raleway"/>
          <w:sz w:val="15"/>
          <w:szCs w:val="15"/>
        </w:rPr>
        <w:t>informations sur les OAA.</w:t>
      </w:r>
    </w:p>
  </w:footnote>
  <w:footnote w:id="157">
    <w:p w14:paraId="7D9EFCB6" w14:textId="6DB42ED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HCCH, </w:t>
      </w:r>
      <w:hyperlink r:id="rId86" w:history="1">
        <w:r w:rsidRPr="001E3DBF">
          <w:rPr>
            <w:rStyle w:val="Hyperlink"/>
            <w:rFonts w:ascii="Raleway" w:hAnsi="Raleway"/>
            <w:i/>
            <w:sz w:val="15"/>
            <w:szCs w:val="15"/>
          </w:rPr>
          <w:t>Note sur la résidence habituelle et le champ d</w:t>
        </w:r>
        <w:r>
          <w:rPr>
            <w:rStyle w:val="Hyperlink"/>
            <w:rFonts w:ascii="Raleway" w:hAnsi="Raleway"/>
            <w:i/>
            <w:sz w:val="15"/>
            <w:szCs w:val="15"/>
          </w:rPr>
          <w:t>’</w:t>
        </w:r>
        <w:r w:rsidRPr="001E3DBF">
          <w:rPr>
            <w:rStyle w:val="Hyperlink"/>
            <w:rFonts w:ascii="Raleway" w:hAnsi="Raleway"/>
            <w:i/>
            <w:sz w:val="15"/>
            <w:szCs w:val="15"/>
          </w:rPr>
          <w:t>application de la Convention Adoption de 1993</w:t>
        </w:r>
      </w:hyperlink>
      <w:r w:rsidRPr="001E3DBF">
        <w:rPr>
          <w:rFonts w:ascii="Raleway" w:hAnsi="Raleway"/>
          <w:sz w:val="15"/>
          <w:szCs w:val="15"/>
        </w:rPr>
        <w:t xml:space="preserve">, 2018, chapitre 6, para. 78. Voir aussi 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para. 532.</w:t>
      </w:r>
    </w:p>
  </w:footnote>
  <w:footnote w:id="158">
    <w:p w14:paraId="10FAE8E0" w14:textId="7777777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Art. 24 de la Convention.</w:t>
      </w:r>
    </w:p>
  </w:footnote>
  <w:footnote w:id="159">
    <w:p w14:paraId="5EF1FE89" w14:textId="551A7C9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w:t>
      </w:r>
      <w:r>
        <w:rPr>
          <w:rFonts w:ascii="Raleway" w:hAnsi="Raleway"/>
          <w:sz w:val="15"/>
          <w:szCs w:val="15"/>
        </w:rPr>
        <w:t>’</w:t>
      </w:r>
      <w:r w:rsidRPr="001E3DBF">
        <w:rPr>
          <w:rFonts w:ascii="Raleway" w:hAnsi="Raleway"/>
          <w:sz w:val="15"/>
          <w:szCs w:val="15"/>
        </w:rPr>
        <w:t xml:space="preserve">article 32 de la Convention ne dit rien des conséquences de sa violation, mais à coup sûr, il serait excessif dans la plupart des cas de refuser la reconnaissance automatique, voir Rapport explicatif,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_Ref142552392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8</w:t>
      </w:r>
      <w:r w:rsidRPr="001E3DBF">
        <w:rPr>
          <w:rFonts w:ascii="Raleway" w:hAnsi="Raleway"/>
          <w:sz w:val="15"/>
          <w:szCs w:val="15"/>
        </w:rPr>
        <w:fldChar w:fldCharType="end"/>
      </w:r>
      <w:r w:rsidRPr="001E3DBF">
        <w:rPr>
          <w:rFonts w:ascii="Raleway" w:hAnsi="Raleway"/>
          <w:sz w:val="15"/>
          <w:szCs w:val="15"/>
        </w:rPr>
        <w:t>, para. 529.</w:t>
      </w:r>
    </w:p>
  </w:footnote>
  <w:footnote w:id="160">
    <w:p w14:paraId="69B4C2A5" w14:textId="5312BDD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(Profil d</w:t>
      </w:r>
      <w:r>
        <w:rPr>
          <w:rFonts w:ascii="Raleway" w:hAnsi="Raleway"/>
          <w:sz w:val="15"/>
          <w:szCs w:val="15"/>
        </w:rPr>
        <w:t>’</w:t>
      </w:r>
      <w:r w:rsidRPr="001E3DBF">
        <w:rPr>
          <w:rFonts w:ascii="Raleway" w:hAnsi="Raleway"/>
          <w:sz w:val="15"/>
          <w:szCs w:val="15"/>
        </w:rPr>
        <w:t xml:space="preserve">État électronique EA (2026), Q. 33 et </w:t>
      </w:r>
      <w:hyperlink r:id="rId87" w:history="1">
        <w:r w:rsidRPr="001E3DBF">
          <w:rPr>
            <w:rStyle w:val="Hyperlink"/>
            <w:rFonts w:ascii="Raleway" w:hAnsi="Raleway"/>
            <w:i/>
            <w:iCs/>
            <w:sz w:val="15"/>
            <w:szCs w:val="15"/>
          </w:rPr>
          <w:t>1994 Western Australia Adoption Act</w:t>
        </w:r>
      </w:hyperlink>
      <w:r w:rsidRPr="001E3DBF">
        <w:rPr>
          <w:rFonts w:ascii="Raleway" w:hAnsi="Raleway"/>
          <w:sz w:val="15"/>
          <w:szCs w:val="15"/>
        </w:rPr>
        <w:t xml:space="preserve"> (loi d</w:t>
      </w:r>
      <w:r>
        <w:rPr>
          <w:rFonts w:ascii="Raleway" w:hAnsi="Raleway"/>
          <w:sz w:val="15"/>
          <w:szCs w:val="15"/>
        </w:rPr>
        <w:t>’</w:t>
      </w:r>
      <w:r w:rsidRPr="001E3DBF">
        <w:rPr>
          <w:rFonts w:ascii="Raleway" w:hAnsi="Raleway"/>
          <w:sz w:val="15"/>
          <w:szCs w:val="15"/>
        </w:rPr>
        <w:t>Australie-Occidentale sur l</w:t>
      </w:r>
      <w:r>
        <w:rPr>
          <w:rFonts w:ascii="Raleway" w:hAnsi="Raleway"/>
          <w:sz w:val="15"/>
          <w:szCs w:val="15"/>
        </w:rPr>
        <w:t>’</w:t>
      </w:r>
      <w:r w:rsidRPr="001E3DBF">
        <w:rPr>
          <w:rFonts w:ascii="Raleway" w:hAnsi="Raleway"/>
          <w:sz w:val="15"/>
          <w:szCs w:val="15"/>
        </w:rPr>
        <w:t>adoption de 1994), section 122(1)(c)).</w:t>
      </w:r>
    </w:p>
  </w:footnote>
  <w:footnote w:id="161">
    <w:p w14:paraId="3F692ED5" w14:textId="0CC3588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(loi sur l</w:t>
      </w:r>
      <w:r>
        <w:rPr>
          <w:rFonts w:ascii="Raleway" w:hAnsi="Raleway"/>
          <w:sz w:val="15"/>
          <w:szCs w:val="15"/>
        </w:rPr>
        <w:t>’</w:t>
      </w:r>
      <w:r w:rsidRPr="001E3DBF">
        <w:rPr>
          <w:rFonts w:ascii="Raleway" w:hAnsi="Raleway"/>
          <w:sz w:val="15"/>
          <w:szCs w:val="15"/>
        </w:rPr>
        <w:t>adoption nationale et la prise en charge de substitution, 6 janvier </w:t>
      </w:r>
      <w:r>
        <w:rPr>
          <w:rFonts w:ascii="Raleway" w:hAnsi="Raleway"/>
          <w:sz w:val="15"/>
          <w:szCs w:val="15"/>
        </w:rPr>
        <w:t>20</w:t>
      </w:r>
      <w:r w:rsidRPr="001E3DBF">
        <w:rPr>
          <w:rFonts w:ascii="Raleway" w:hAnsi="Raleway"/>
          <w:sz w:val="15"/>
          <w:szCs w:val="15"/>
        </w:rPr>
        <w:t xml:space="preserve">22, </w:t>
      </w:r>
      <w:r w:rsidRPr="004A61AF">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_Ref231302736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127</w:t>
      </w:r>
      <w:r>
        <w:rPr>
          <w:rFonts w:ascii="Raleway" w:hAnsi="Raleway"/>
          <w:sz w:val="15"/>
          <w:szCs w:val="15"/>
        </w:rPr>
        <w:fldChar w:fldCharType="end"/>
      </w:r>
      <w:r>
        <w:rPr>
          <w:rFonts w:ascii="Raleway" w:hAnsi="Raleway"/>
          <w:sz w:val="15"/>
          <w:szCs w:val="15"/>
        </w:rPr>
        <w:t xml:space="preserve">, </w:t>
      </w:r>
      <w:r w:rsidRPr="00E5086B">
        <w:rPr>
          <w:rFonts w:ascii="Raleway" w:hAnsi="Raleway"/>
          <w:sz w:val="15"/>
          <w:szCs w:val="15"/>
        </w:rPr>
        <w:t>section</w:t>
      </w:r>
      <w:r w:rsidRPr="001E3DBF">
        <w:rPr>
          <w:rFonts w:ascii="Raleway" w:hAnsi="Raleway"/>
          <w:sz w:val="15"/>
          <w:szCs w:val="15"/>
        </w:rPr>
        <w:t> 54).</w:t>
      </w:r>
    </w:p>
  </w:footnote>
  <w:footnote w:id="162">
    <w:p w14:paraId="4575EB26" w14:textId="37545CD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Luxembourg (Profil d</w:t>
      </w:r>
      <w:r>
        <w:rPr>
          <w:rFonts w:ascii="Raleway" w:hAnsi="Raleway"/>
          <w:sz w:val="15"/>
          <w:szCs w:val="15"/>
        </w:rPr>
        <w:t>’</w:t>
      </w:r>
      <w:r w:rsidRPr="001E3DBF">
        <w:rPr>
          <w:rFonts w:ascii="Raleway" w:hAnsi="Raleway"/>
          <w:sz w:val="15"/>
          <w:szCs w:val="15"/>
        </w:rPr>
        <w:t xml:space="preserve">État EA (2019), Q. 31 et </w:t>
      </w:r>
      <w:hyperlink r:id="rId88" w:anchor="art_367-2" w:history="1">
        <w:r w:rsidRPr="001E3DBF">
          <w:rPr>
            <w:rStyle w:val="Hyperlink"/>
            <w:rFonts w:ascii="Raleway" w:hAnsi="Raleway"/>
            <w:sz w:val="15"/>
            <w:szCs w:val="15"/>
          </w:rPr>
          <w:t>Code pénal</w:t>
        </w:r>
      </w:hyperlink>
      <w:r w:rsidRPr="001E3DBF">
        <w:rPr>
          <w:rFonts w:ascii="Raleway" w:hAnsi="Raleway"/>
          <w:sz w:val="15"/>
          <w:szCs w:val="15"/>
        </w:rPr>
        <w:t>, art. 367-2).</w:t>
      </w:r>
    </w:p>
  </w:footnote>
  <w:footnote w:id="163">
    <w:p w14:paraId="57CAFCA0" w14:textId="1DD0662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w:t>
      </w:r>
      <w:hyperlink r:id="rId89" w:history="1">
        <w:r w:rsidRPr="001E3DBF">
          <w:rPr>
            <w:rStyle w:val="Hyperlink"/>
            <w:rFonts w:ascii="Raleway" w:hAnsi="Raleway"/>
            <w:i/>
            <w:iCs/>
            <w:sz w:val="15"/>
            <w:szCs w:val="15"/>
          </w:rPr>
          <w:t>Intercountry Adoption Act of 2000</w:t>
        </w:r>
      </w:hyperlink>
      <w:r w:rsidRPr="001E3DBF">
        <w:rPr>
          <w:rFonts w:ascii="Raleway" w:hAnsi="Raleway"/>
          <w:sz w:val="15"/>
          <w:szCs w:val="15"/>
        </w:rPr>
        <w:t xml:space="preserve"> (loi sur l</w:t>
      </w:r>
      <w:r>
        <w:rPr>
          <w:rFonts w:ascii="Raleway" w:hAnsi="Raleway"/>
          <w:sz w:val="15"/>
          <w:szCs w:val="15"/>
        </w:rPr>
        <w:t>’</w:t>
      </w:r>
      <w:r w:rsidRPr="001E3DBF">
        <w:rPr>
          <w:rFonts w:ascii="Raleway" w:hAnsi="Raleway"/>
          <w:sz w:val="15"/>
          <w:szCs w:val="15"/>
        </w:rPr>
        <w:t>adoption internationale de 2000), PL 106-279, section 404(c)).</w:t>
      </w:r>
    </w:p>
  </w:footnote>
  <w:footnote w:id="164">
    <w:p w14:paraId="1C3DE141" w14:textId="2DBB7D0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(Québec) (</w:t>
      </w:r>
      <w:hyperlink r:id="rId90" w:history="1">
        <w:r w:rsidRPr="001E3DBF">
          <w:rPr>
            <w:rStyle w:val="Hyperlink"/>
            <w:rFonts w:ascii="Raleway" w:hAnsi="Raleway"/>
            <w:sz w:val="15"/>
            <w:szCs w:val="15"/>
          </w:rPr>
          <w:t>loi sur la protection de la jeunesse</w:t>
        </w:r>
      </w:hyperlink>
      <w:r w:rsidRPr="001E3DBF">
        <w:rPr>
          <w:rFonts w:ascii="Raleway" w:hAnsi="Raleway"/>
          <w:sz w:val="15"/>
          <w:szCs w:val="15"/>
        </w:rPr>
        <w:t>, chapitre P.34.1, art. 135.1.3).</w:t>
      </w:r>
    </w:p>
  </w:footnote>
  <w:footnote w:id="165">
    <w:p w14:paraId="5CD5CA37" w14:textId="131296D8" w:rsidR="00974DA5" w:rsidRPr="00DD2894" w:rsidRDefault="00974DA5" w:rsidP="00A27858">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DD2894">
        <w:rPr>
          <w:rFonts w:ascii="Raleway" w:hAnsi="Raleway"/>
          <w:sz w:val="15"/>
          <w:szCs w:val="15"/>
          <w:lang w:val="it-IT"/>
        </w:rPr>
        <w:t xml:space="preserve"> </w:t>
      </w:r>
      <w:r w:rsidRPr="00DD2894">
        <w:rPr>
          <w:rFonts w:ascii="Raleway" w:hAnsi="Raleway"/>
          <w:sz w:val="15"/>
          <w:szCs w:val="15"/>
          <w:lang w:val="it-IT"/>
        </w:rPr>
        <w:tab/>
        <w:t>Canada (Manitoba) (Profil d’État EA (2026), Q. 31(c)).</w:t>
      </w:r>
    </w:p>
  </w:footnote>
  <w:footnote w:id="166">
    <w:p w14:paraId="23B7AB91" w14:textId="59431CC7" w:rsidR="00152E7E" w:rsidRPr="001E3DBF" w:rsidRDefault="00152E7E" w:rsidP="00152E7E">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Style w:val="FootnoteReference"/>
          <w:rFonts w:ascii="Raleway" w:hAnsi="Raleway"/>
          <w:sz w:val="15"/>
          <w:szCs w:val="15"/>
        </w:rPr>
        <w:t xml:space="preserve"> </w:t>
      </w:r>
      <w:r w:rsidRPr="001E3DBF">
        <w:rPr>
          <w:rFonts w:ascii="Raleway" w:hAnsi="Raleway"/>
          <w:sz w:val="15"/>
          <w:szCs w:val="15"/>
        </w:rPr>
        <w:tab/>
        <w:t>Espagne (</w:t>
      </w:r>
      <w:r>
        <w:rPr>
          <w:rFonts w:ascii="Raleway" w:hAnsi="Raleway"/>
          <w:sz w:val="15"/>
          <w:szCs w:val="15"/>
        </w:rPr>
        <w:t>r</w:t>
      </w:r>
      <w:r w:rsidRPr="001E3DBF">
        <w:rPr>
          <w:rFonts w:ascii="Raleway" w:hAnsi="Raleway"/>
          <w:sz w:val="15"/>
          <w:szCs w:val="15"/>
        </w:rPr>
        <w:t xml:space="preserve">èglement </w:t>
      </w:r>
      <w:r>
        <w:rPr>
          <w:rFonts w:ascii="Raleway" w:hAnsi="Raleway"/>
          <w:sz w:val="15"/>
          <w:szCs w:val="15"/>
        </w:rPr>
        <w:t xml:space="preserve">sur </w:t>
      </w:r>
      <w:r w:rsidRPr="001E3DBF">
        <w:rPr>
          <w:rFonts w:ascii="Raleway" w:hAnsi="Raleway"/>
          <w:sz w:val="15"/>
          <w:szCs w:val="15"/>
        </w:rPr>
        <w:t>l</w:t>
      </w:r>
      <w:r>
        <w:rPr>
          <w:rFonts w:ascii="Raleway" w:hAnsi="Raleway"/>
          <w:sz w:val="15"/>
          <w:szCs w:val="15"/>
        </w:rPr>
        <w:t>’</w:t>
      </w:r>
      <w:r w:rsidRPr="001E3DBF">
        <w:rPr>
          <w:rFonts w:ascii="Raleway" w:hAnsi="Raleway"/>
          <w:sz w:val="15"/>
          <w:szCs w:val="15"/>
        </w:rPr>
        <w:t>adoption internationale, Décret royal No 573/2023 du 4 juillet</w:t>
      </w:r>
      <w:r>
        <w:rPr>
          <w:rFonts w:ascii="Raleway" w:hAnsi="Raleway"/>
          <w:sz w:val="15"/>
          <w:szCs w:val="15"/>
        </w:rPr>
        <w:t xml:space="preserve"> 2023, </w:t>
      </w:r>
      <w:r w:rsidRPr="00E756C6">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 xml:space="preserve">, </w:t>
      </w:r>
      <w:r w:rsidRPr="00852F10">
        <w:rPr>
          <w:rFonts w:ascii="Raleway" w:hAnsi="Raleway"/>
          <w:sz w:val="15"/>
          <w:szCs w:val="15"/>
        </w:rPr>
        <w:t>art</w:t>
      </w:r>
      <w:r w:rsidRPr="001E3DBF">
        <w:rPr>
          <w:rFonts w:ascii="Raleway" w:hAnsi="Raleway"/>
          <w:sz w:val="15"/>
          <w:szCs w:val="15"/>
        </w:rPr>
        <w:t>. 14</w:t>
      </w:r>
      <w:r>
        <w:rPr>
          <w:rFonts w:ascii="Raleway" w:hAnsi="Raleway"/>
          <w:sz w:val="15"/>
          <w:szCs w:val="15"/>
        </w:rPr>
        <w:t xml:space="preserve"> et 21</w:t>
      </w:r>
      <w:r w:rsidRPr="001E3DBF">
        <w:rPr>
          <w:rFonts w:ascii="Raleway" w:hAnsi="Raleway"/>
          <w:sz w:val="15"/>
          <w:szCs w:val="15"/>
        </w:rPr>
        <w:t>).</w:t>
      </w:r>
    </w:p>
  </w:footnote>
  <w:footnote w:id="167">
    <w:p w14:paraId="583DB071" w14:textId="572F02BA" w:rsidR="00152E7E" w:rsidRPr="001E3DBF" w:rsidRDefault="00152E7E" w:rsidP="00152E7E">
      <w:pPr>
        <w:pStyle w:val="FootnoteText"/>
        <w:tabs>
          <w:tab w:val="left" w:pos="284"/>
        </w:tabs>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(Code des règlements fédéraux</w:t>
      </w:r>
      <w:r>
        <w:rPr>
          <w:rFonts w:ascii="Raleway" w:hAnsi="Raleway"/>
          <w:sz w:val="15"/>
          <w:szCs w:val="15"/>
        </w:rPr>
        <w:t xml:space="preserve">, </w:t>
      </w:r>
      <w:r w:rsidRPr="006D6548">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_Ref231303536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123</w:t>
      </w:r>
      <w:r>
        <w:rPr>
          <w:rFonts w:ascii="Raleway" w:hAnsi="Raleway"/>
          <w:sz w:val="15"/>
          <w:szCs w:val="15"/>
        </w:rPr>
        <w:fldChar w:fldCharType="end"/>
      </w:r>
      <w:r>
        <w:rPr>
          <w:rFonts w:ascii="Raleway" w:hAnsi="Raleway"/>
          <w:sz w:val="15"/>
          <w:szCs w:val="15"/>
        </w:rPr>
        <w:t xml:space="preserve">, </w:t>
      </w:r>
      <w:r w:rsidRPr="001E3DBF">
        <w:rPr>
          <w:rFonts w:ascii="Raleway" w:hAnsi="Raleway"/>
          <w:sz w:val="15"/>
          <w:szCs w:val="15"/>
        </w:rPr>
        <w:t>titre 22, partie 96).</w:t>
      </w:r>
    </w:p>
  </w:footnote>
  <w:footnote w:id="168">
    <w:p w14:paraId="6539C7AC" w14:textId="4918555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(Profil d</w:t>
      </w:r>
      <w:r>
        <w:rPr>
          <w:rFonts w:ascii="Raleway" w:hAnsi="Raleway"/>
          <w:sz w:val="15"/>
          <w:szCs w:val="15"/>
        </w:rPr>
        <w:t>’</w:t>
      </w:r>
      <w:r w:rsidRPr="001E3DBF">
        <w:rPr>
          <w:rFonts w:ascii="Raleway" w:hAnsi="Raleway"/>
          <w:sz w:val="15"/>
          <w:szCs w:val="15"/>
        </w:rPr>
        <w:t xml:space="preserve">État EA (2025), Q. 29(b)). </w:t>
      </w:r>
    </w:p>
  </w:footnote>
  <w:footnote w:id="169">
    <w:p w14:paraId="45E4D9BF" w14:textId="54D3640D" w:rsidR="00974DA5" w:rsidRPr="001E3DBF" w:rsidRDefault="00974DA5" w:rsidP="00A2785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w:t>
      </w:r>
      <w:hyperlink r:id="rId91" w:history="1">
        <w:r w:rsidRPr="001E3DBF">
          <w:rPr>
            <w:rStyle w:val="Hyperlink"/>
            <w:rFonts w:ascii="Raleway" w:hAnsi="Raleway"/>
            <w:sz w:val="15"/>
            <w:szCs w:val="15"/>
          </w:rPr>
          <w:t>loi du 4 mai 1983 – Droit des mineurs à une famille</w:t>
        </w:r>
      </w:hyperlink>
      <w:r w:rsidRPr="001E3DBF">
        <w:rPr>
          <w:rFonts w:ascii="Raleway" w:hAnsi="Raleway"/>
          <w:sz w:val="15"/>
          <w:szCs w:val="15"/>
        </w:rPr>
        <w:t>, art. 39(1</w:t>
      </w:r>
      <w:r>
        <w:rPr>
          <w:rFonts w:ascii="Raleway" w:hAnsi="Raleway"/>
          <w:sz w:val="15"/>
          <w:szCs w:val="15"/>
        </w:rPr>
        <w:t>)</w:t>
      </w:r>
      <w:r w:rsidRPr="001E3DBF">
        <w:rPr>
          <w:rFonts w:ascii="Raleway" w:hAnsi="Raleway"/>
          <w:sz w:val="15"/>
          <w:szCs w:val="15"/>
        </w:rPr>
        <w:t>).</w:t>
      </w:r>
    </w:p>
  </w:footnote>
  <w:footnote w:id="170">
    <w:p w14:paraId="4E3A27CA" w14:textId="58D3EC3A" w:rsidR="00974DA5" w:rsidRPr="00DD2894" w:rsidRDefault="00974DA5" w:rsidP="00CD1418">
      <w:pPr>
        <w:pStyle w:val="FootnoteText"/>
        <w:ind w:left="284" w:hanging="284"/>
        <w:rPr>
          <w:rFonts w:ascii="Raleway" w:hAnsi="Raleway"/>
          <w:sz w:val="15"/>
          <w:szCs w:val="15"/>
          <w:lang w:val="es-ES"/>
        </w:rPr>
      </w:pPr>
      <w:r w:rsidRPr="001E3DBF">
        <w:rPr>
          <w:rStyle w:val="FootnoteReference"/>
          <w:rFonts w:ascii="Raleway" w:hAnsi="Raleway"/>
          <w:sz w:val="15"/>
          <w:szCs w:val="15"/>
        </w:rPr>
        <w:footnoteRef/>
      </w:r>
      <w:r w:rsidRPr="00DD2894">
        <w:rPr>
          <w:rFonts w:ascii="Raleway" w:hAnsi="Raleway"/>
          <w:sz w:val="15"/>
          <w:szCs w:val="15"/>
          <w:lang w:val="es-ES"/>
        </w:rPr>
        <w:t xml:space="preserve"> </w:t>
      </w:r>
      <w:r w:rsidRPr="00DD2894">
        <w:rPr>
          <w:rFonts w:ascii="Raleway" w:hAnsi="Raleway"/>
          <w:sz w:val="15"/>
          <w:szCs w:val="15"/>
          <w:lang w:val="es-ES"/>
        </w:rPr>
        <w:tab/>
        <w:t>Panama (</w:t>
      </w:r>
      <w:hyperlink r:id="rId92" w:history="1">
        <w:r w:rsidRPr="00DD2894">
          <w:rPr>
            <w:rStyle w:val="Hyperlink"/>
            <w:rFonts w:ascii="Raleway" w:hAnsi="Raleway"/>
            <w:i/>
            <w:sz w:val="15"/>
            <w:szCs w:val="15"/>
            <w:lang w:val="es-ES"/>
          </w:rPr>
          <w:t>ley 46 del 17 de Julio de 2013</w:t>
        </w:r>
      </w:hyperlink>
      <w:r w:rsidRPr="00DD2894">
        <w:rPr>
          <w:rFonts w:ascii="Raleway" w:hAnsi="Raleway"/>
          <w:sz w:val="15"/>
          <w:szCs w:val="15"/>
          <w:lang w:val="es-ES"/>
        </w:rPr>
        <w:t xml:space="preserve"> (loi No 46 du 17 juillet 2013), art. 115).</w:t>
      </w:r>
    </w:p>
  </w:footnote>
  <w:footnote w:id="171">
    <w:p w14:paraId="77404262" w14:textId="2AB4D55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(loi sur l</w:t>
      </w:r>
      <w:r>
        <w:rPr>
          <w:rFonts w:ascii="Raleway" w:hAnsi="Raleway"/>
          <w:sz w:val="15"/>
          <w:szCs w:val="15"/>
        </w:rPr>
        <w:t>’</w:t>
      </w:r>
      <w:r w:rsidRPr="001E3DBF">
        <w:rPr>
          <w:rFonts w:ascii="Raleway" w:hAnsi="Raleway"/>
          <w:sz w:val="15"/>
          <w:szCs w:val="15"/>
        </w:rPr>
        <w:t xml:space="preserve">adoption nationale et la prise en charge de substitution, 6 janvier 2022, </w:t>
      </w:r>
      <w:r w:rsidRPr="00E756C6">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_Ref231302736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127</w:t>
      </w:r>
      <w:r>
        <w:rPr>
          <w:rFonts w:ascii="Raleway" w:hAnsi="Raleway"/>
          <w:sz w:val="15"/>
          <w:szCs w:val="15"/>
        </w:rPr>
        <w:fldChar w:fldCharType="end"/>
      </w:r>
      <w:r>
        <w:rPr>
          <w:rFonts w:ascii="Raleway" w:hAnsi="Raleway"/>
          <w:sz w:val="15"/>
          <w:szCs w:val="15"/>
        </w:rPr>
        <w:t xml:space="preserve">, </w:t>
      </w:r>
      <w:r w:rsidRPr="00C067AE">
        <w:rPr>
          <w:rFonts w:ascii="Raleway" w:hAnsi="Raleway"/>
          <w:sz w:val="15"/>
          <w:szCs w:val="15"/>
        </w:rPr>
        <w:t>section</w:t>
      </w:r>
      <w:r w:rsidRPr="001E3DBF">
        <w:rPr>
          <w:rFonts w:ascii="Raleway" w:hAnsi="Raleway"/>
          <w:sz w:val="15"/>
          <w:szCs w:val="15"/>
        </w:rPr>
        <w:t> 54)</w:t>
      </w:r>
      <w:r>
        <w:rPr>
          <w:rFonts w:ascii="Raleway" w:hAnsi="Raleway"/>
          <w:sz w:val="15"/>
          <w:szCs w:val="15"/>
        </w:rPr>
        <w:t>.</w:t>
      </w:r>
    </w:p>
  </w:footnote>
  <w:footnote w:id="172">
    <w:p w14:paraId="2BA64D80" w14:textId="3634DD9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(2025) et Luxembourg (2019) (Profils d</w:t>
      </w:r>
      <w:r>
        <w:rPr>
          <w:rFonts w:ascii="Raleway" w:hAnsi="Raleway"/>
          <w:sz w:val="15"/>
          <w:szCs w:val="15"/>
        </w:rPr>
        <w:t>’</w:t>
      </w:r>
      <w:r w:rsidRPr="001E3DBF">
        <w:rPr>
          <w:rFonts w:ascii="Raleway" w:hAnsi="Raleway"/>
          <w:sz w:val="15"/>
          <w:szCs w:val="15"/>
        </w:rPr>
        <w:t>État EA, Q. 31) ; Roumanie (Profil d</w:t>
      </w:r>
      <w:r>
        <w:rPr>
          <w:rFonts w:ascii="Raleway" w:hAnsi="Raleway"/>
          <w:sz w:val="15"/>
          <w:szCs w:val="15"/>
        </w:rPr>
        <w:t>’</w:t>
      </w:r>
      <w:r w:rsidRPr="001E3DBF">
        <w:rPr>
          <w:rFonts w:ascii="Raleway" w:hAnsi="Raleway"/>
          <w:sz w:val="15"/>
          <w:szCs w:val="15"/>
        </w:rPr>
        <w:t>État EO (2025), Q. 35(c)) ; Lituanie (</w:t>
      </w:r>
      <w:hyperlink r:id="rId93" w:history="1">
        <w:r w:rsidRPr="001E3DBF">
          <w:rPr>
            <w:rStyle w:val="Hyperlink"/>
            <w:rFonts w:ascii="Raleway" w:hAnsi="Raleway"/>
            <w:sz w:val="15"/>
            <w:szCs w:val="15"/>
          </w:rPr>
          <w:t>Code pénal</w:t>
        </w:r>
      </w:hyperlink>
      <w:r w:rsidRPr="001E3DBF">
        <w:rPr>
          <w:rFonts w:ascii="Raleway" w:hAnsi="Raleway"/>
          <w:sz w:val="15"/>
          <w:szCs w:val="15"/>
        </w:rPr>
        <w:t>, art. 157(1)) ; Philippines (loi sur l</w:t>
      </w:r>
      <w:r>
        <w:rPr>
          <w:rFonts w:ascii="Raleway" w:hAnsi="Raleway"/>
          <w:sz w:val="15"/>
          <w:szCs w:val="15"/>
        </w:rPr>
        <w:t>’</w:t>
      </w:r>
      <w:r w:rsidRPr="001E3DBF">
        <w:rPr>
          <w:rFonts w:ascii="Raleway" w:hAnsi="Raleway"/>
          <w:sz w:val="15"/>
          <w:szCs w:val="15"/>
        </w:rPr>
        <w:t xml:space="preserve">adoption nationale et la prise en charge de substitution, 6 janvier 2022, </w:t>
      </w:r>
      <w:r w:rsidRPr="006D6548">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_Ref231302736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127</w:t>
      </w:r>
      <w:r>
        <w:rPr>
          <w:rFonts w:ascii="Raleway" w:hAnsi="Raleway"/>
          <w:sz w:val="15"/>
          <w:szCs w:val="15"/>
        </w:rPr>
        <w:fldChar w:fldCharType="end"/>
      </w:r>
      <w:r>
        <w:rPr>
          <w:rFonts w:ascii="Raleway" w:hAnsi="Raleway"/>
          <w:sz w:val="15"/>
          <w:szCs w:val="15"/>
        </w:rPr>
        <w:t xml:space="preserve">, </w:t>
      </w:r>
      <w:r w:rsidRPr="00C067AE">
        <w:rPr>
          <w:rFonts w:ascii="Raleway" w:hAnsi="Raleway"/>
          <w:sz w:val="15"/>
          <w:szCs w:val="15"/>
        </w:rPr>
        <w:t>section</w:t>
      </w:r>
      <w:r w:rsidRPr="001E3DBF">
        <w:rPr>
          <w:rFonts w:ascii="Raleway" w:hAnsi="Raleway"/>
          <w:sz w:val="15"/>
          <w:szCs w:val="15"/>
        </w:rPr>
        <w:t> 54)</w:t>
      </w:r>
      <w:r>
        <w:rPr>
          <w:rFonts w:ascii="Raleway" w:hAnsi="Raleway"/>
          <w:sz w:val="15"/>
          <w:szCs w:val="15"/>
        </w:rPr>
        <w:t> </w:t>
      </w:r>
      <w:r w:rsidRPr="001E3DBF">
        <w:rPr>
          <w:rFonts w:ascii="Raleway" w:hAnsi="Raleway"/>
          <w:sz w:val="15"/>
          <w:szCs w:val="15"/>
        </w:rPr>
        <w:t>; Suisse (</w:t>
      </w:r>
      <w:hyperlink r:id="rId94" w:anchor="art_23" w:history="1">
        <w:r>
          <w:rPr>
            <w:rStyle w:val="Hyperlink"/>
            <w:rFonts w:ascii="Raleway" w:hAnsi="Raleway"/>
            <w:sz w:val="15"/>
            <w:szCs w:val="15"/>
          </w:rPr>
          <w:t>RS 211.221.31 - l</w:t>
        </w:r>
        <w:r w:rsidRPr="001E3DBF">
          <w:rPr>
            <w:rStyle w:val="Hyperlink"/>
            <w:rFonts w:ascii="Raleway" w:hAnsi="Raleway"/>
            <w:sz w:val="15"/>
            <w:szCs w:val="15"/>
          </w:rPr>
          <w:t>oi fédérale du 22 juin 2001, Article 23</w:t>
        </w:r>
      </w:hyperlink>
      <w:r w:rsidRPr="001E3DBF">
        <w:rPr>
          <w:rFonts w:ascii="Raleway" w:hAnsi="Raleway"/>
          <w:sz w:val="15"/>
          <w:szCs w:val="15"/>
        </w:rPr>
        <w:t>)</w:t>
      </w:r>
      <w:r>
        <w:rPr>
          <w:rFonts w:ascii="Raleway" w:hAnsi="Raleway"/>
          <w:sz w:val="15"/>
          <w:szCs w:val="15"/>
        </w:rPr>
        <w:t> </w:t>
      </w:r>
      <w:r w:rsidRPr="001E3DBF">
        <w:rPr>
          <w:rFonts w:ascii="Raleway" w:hAnsi="Raleway"/>
          <w:sz w:val="15"/>
          <w:szCs w:val="15"/>
        </w:rPr>
        <w:t>; États-Unis (loi sur l</w:t>
      </w:r>
      <w:r>
        <w:rPr>
          <w:rFonts w:ascii="Raleway" w:hAnsi="Raleway"/>
          <w:sz w:val="15"/>
          <w:szCs w:val="15"/>
        </w:rPr>
        <w:t>’</w:t>
      </w:r>
      <w:r w:rsidRPr="001E3DBF">
        <w:rPr>
          <w:rFonts w:ascii="Raleway" w:hAnsi="Raleway"/>
          <w:sz w:val="15"/>
          <w:szCs w:val="15"/>
        </w:rPr>
        <w:t>adoption internationale de 2000,</w:t>
      </w:r>
      <w:r>
        <w:rPr>
          <w:rFonts w:ascii="Raleway" w:hAnsi="Raleway"/>
          <w:sz w:val="15"/>
          <w:szCs w:val="15"/>
        </w:rPr>
        <w:t xml:space="preserve"> </w:t>
      </w:r>
      <w:r>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_Ref231302890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162</w:t>
      </w:r>
      <w:r>
        <w:rPr>
          <w:rFonts w:ascii="Raleway" w:hAnsi="Raleway"/>
          <w:sz w:val="15"/>
          <w:szCs w:val="15"/>
        </w:rPr>
        <w:fldChar w:fldCharType="end"/>
      </w:r>
      <w:r>
        <w:rPr>
          <w:rFonts w:ascii="Raleway" w:hAnsi="Raleway"/>
          <w:sz w:val="15"/>
          <w:szCs w:val="15"/>
        </w:rPr>
        <w:t>,</w:t>
      </w:r>
      <w:r w:rsidRPr="001E3DBF">
        <w:rPr>
          <w:rFonts w:ascii="Raleway" w:hAnsi="Raleway"/>
          <w:sz w:val="15"/>
          <w:szCs w:val="15"/>
        </w:rPr>
        <w:t xml:space="preserve"> section 404(c)).</w:t>
      </w:r>
    </w:p>
  </w:footnote>
  <w:footnote w:id="173">
    <w:p w14:paraId="2EAA6AB4" w14:textId="3F152127" w:rsidR="00974DA5" w:rsidRPr="001E3DBF" w:rsidRDefault="00974DA5" w:rsidP="0064509D">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Sri Lanka (</w:t>
      </w:r>
      <w:hyperlink r:id="rId95" w:anchor=":~:text=in%20such%20impersonation%2C-,shall%20be%20guilty%20of%20an%20offence%20and%20shall%20on%20conviction,360E.&amp;amp;text=(b)%20any%20person%20believing%20such,364%20of%20the%20principal%20enactment.&amp;amp;text=%22Explanation%204%20:%20%22injuries%22,365" w:history="1">
        <w:r w:rsidRPr="001E3DBF">
          <w:rPr>
            <w:rStyle w:val="Hyperlink"/>
            <w:rFonts w:ascii="Raleway" w:hAnsi="Raleway"/>
            <w:i/>
            <w:iCs/>
            <w:sz w:val="15"/>
            <w:szCs w:val="15"/>
          </w:rPr>
          <w:t>Penal Code (Amendment) Act</w:t>
        </w:r>
      </w:hyperlink>
      <w:r>
        <w:rPr>
          <w:rStyle w:val="Hyperlink"/>
          <w:rFonts w:ascii="Raleway" w:hAnsi="Raleway"/>
          <w:i/>
          <w:iCs/>
          <w:sz w:val="15"/>
          <w:szCs w:val="15"/>
        </w:rPr>
        <w:t xml:space="preserve"> </w:t>
      </w:r>
      <w:r w:rsidRPr="001E3DBF">
        <w:rPr>
          <w:rFonts w:ascii="Raleway" w:hAnsi="Raleway"/>
          <w:sz w:val="15"/>
          <w:szCs w:val="15"/>
        </w:rPr>
        <w:t>(loi portant (modification du) code pénal du Sri Lanka No 16 de 2006), section 9).</w:t>
      </w:r>
    </w:p>
  </w:footnote>
  <w:footnote w:id="174">
    <w:p w14:paraId="4DFEE97C" w14:textId="0665DC8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Irlande (</w:t>
      </w:r>
      <w:hyperlink r:id="rId96" w:history="1">
        <w:r w:rsidRPr="001E3DBF">
          <w:rPr>
            <w:rStyle w:val="Hyperlink"/>
            <w:rFonts w:ascii="Raleway" w:hAnsi="Raleway"/>
            <w:i/>
            <w:iCs/>
            <w:sz w:val="15"/>
            <w:szCs w:val="15"/>
          </w:rPr>
          <w:t>Adoption Act 2010 (Accredited Bodies) Regulations 2010</w:t>
        </w:r>
      </w:hyperlink>
      <w:r w:rsidRPr="001E3DBF">
        <w:rPr>
          <w:rFonts w:ascii="Raleway" w:hAnsi="Raleway"/>
          <w:sz w:val="15"/>
          <w:szCs w:val="15"/>
        </w:rPr>
        <w:t xml:space="preserve"> (loi sur l</w:t>
      </w:r>
      <w:r>
        <w:rPr>
          <w:rFonts w:ascii="Raleway" w:hAnsi="Raleway"/>
          <w:sz w:val="15"/>
          <w:szCs w:val="15"/>
        </w:rPr>
        <w:t>’</w:t>
      </w:r>
      <w:r w:rsidRPr="001E3DBF">
        <w:rPr>
          <w:rFonts w:ascii="Raleway" w:hAnsi="Raleway"/>
          <w:sz w:val="15"/>
          <w:szCs w:val="15"/>
        </w:rPr>
        <w:t>adoption de 2010 (organismes agréés)).</w:t>
      </w:r>
    </w:p>
  </w:footnote>
  <w:footnote w:id="175">
    <w:p w14:paraId="687F3D91" w14:textId="363B7B8A" w:rsidR="00974DA5" w:rsidRPr="001E3DBF" w:rsidRDefault="00974DA5" w:rsidP="00717D5B">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(Québec) (</w:t>
      </w:r>
      <w:hyperlink r:id="rId97" w:anchor="se:345" w:history="1">
        <w:r w:rsidRPr="001E3DBF">
          <w:rPr>
            <w:rFonts w:ascii="Raleway" w:hAnsi="Raleway"/>
            <w:sz w:val="15"/>
            <w:szCs w:val="15"/>
          </w:rPr>
          <w:t>Code de procédure civile</w:t>
        </w:r>
      </w:hyperlink>
      <w:r w:rsidRPr="001E3DBF">
        <w:rPr>
          <w:rFonts w:ascii="Raleway" w:hAnsi="Raleway"/>
          <w:sz w:val="15"/>
          <w:szCs w:val="15"/>
        </w:rPr>
        <w:t>, QLR, c. C-25.01, art. 345).</w:t>
      </w:r>
    </w:p>
  </w:footnote>
  <w:footnote w:id="176">
    <w:p w14:paraId="47502AF7" w14:textId="2DA19BC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Le ministère de la Justice peut par ex. travailler avec le ministère des Affaires étrangères pour que des représentants dans les États d</w:t>
      </w:r>
      <w:r>
        <w:rPr>
          <w:rFonts w:ascii="Raleway" w:hAnsi="Raleway"/>
          <w:sz w:val="15"/>
          <w:szCs w:val="15"/>
        </w:rPr>
        <w:t>’</w:t>
      </w:r>
      <w:r w:rsidRPr="001E3DBF">
        <w:rPr>
          <w:rFonts w:ascii="Raleway" w:hAnsi="Raleway"/>
          <w:sz w:val="15"/>
          <w:szCs w:val="15"/>
        </w:rPr>
        <w:t>origine recherchent des preuves du gain matériel indu.</w:t>
      </w:r>
    </w:p>
  </w:footnote>
  <w:footnote w:id="177">
    <w:p w14:paraId="698D154D" w14:textId="45CB3F1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hyperlink r:id="rId98" w:history="1">
        <w:r w:rsidRPr="001E3DBF">
          <w:rPr>
            <w:rStyle w:val="Hyperlink"/>
            <w:rFonts w:ascii="Raleway" w:hAnsi="Raleway"/>
            <w:sz w:val="15"/>
            <w:szCs w:val="15"/>
          </w:rPr>
          <w:t>INTERPOL</w:t>
        </w:r>
      </w:hyperlink>
      <w:r w:rsidRPr="001E3DBF">
        <w:rPr>
          <w:rFonts w:ascii="Raleway" w:hAnsi="Raleway"/>
          <w:sz w:val="15"/>
          <w:szCs w:val="15"/>
        </w:rPr>
        <w:t xml:space="preserve"> est un vaste système de police international qui compte 196 Membres (octobre 2025). Sa mission, qui est de « prévenir et combattre la criminalité grâce à une coopération policière internationale renforcée »</w:t>
      </w:r>
      <w:r>
        <w:rPr>
          <w:rFonts w:ascii="Raleway" w:hAnsi="Raleway"/>
          <w:sz w:val="15"/>
          <w:szCs w:val="15"/>
        </w:rPr>
        <w:t>,</w:t>
      </w:r>
      <w:r w:rsidRPr="001E3DBF">
        <w:rPr>
          <w:rFonts w:ascii="Raleway" w:hAnsi="Raleway"/>
          <w:sz w:val="15"/>
          <w:szCs w:val="15"/>
        </w:rPr>
        <w:t xml:space="preserve"> peut être particulièrement utile pour les États.</w:t>
      </w:r>
    </w:p>
  </w:footnote>
  <w:footnote w:id="178">
    <w:p w14:paraId="49C664EA" w14:textId="2F00585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Boîte à outils sur les pratiques illicites, </w:t>
      </w:r>
      <w:r w:rsidRPr="001E3DBF">
        <w:rPr>
          <w:rFonts w:ascii="Raleway" w:hAnsi="Raleway"/>
          <w:i/>
          <w:sz w:val="15"/>
          <w:szCs w:val="15"/>
        </w:rPr>
        <w:t xml:space="preserve">supra </w:t>
      </w:r>
      <w:r w:rsidRPr="001E3DBF">
        <w:rPr>
          <w:rFonts w:ascii="Raleway" w:hAnsi="Raleway"/>
          <w:sz w:val="15"/>
          <w:szCs w:val="15"/>
        </w:rPr>
        <w:t xml:space="preserve">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xml:space="preserve"> p. 176.</w:t>
      </w:r>
    </w:p>
  </w:footnote>
  <w:footnote w:id="179">
    <w:p w14:paraId="5B1A49EF" w14:textId="68579A3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(Agence française de l</w:t>
      </w:r>
      <w:r>
        <w:rPr>
          <w:rFonts w:ascii="Raleway" w:hAnsi="Raleway"/>
          <w:sz w:val="15"/>
          <w:szCs w:val="15"/>
        </w:rPr>
        <w:t>’</w:t>
      </w:r>
      <w:r w:rsidRPr="001E3DBF">
        <w:rPr>
          <w:rFonts w:ascii="Raleway" w:hAnsi="Raleway"/>
          <w:sz w:val="15"/>
          <w:szCs w:val="15"/>
        </w:rPr>
        <w:t xml:space="preserve">adoption, </w:t>
      </w:r>
      <w:hyperlink r:id="rId99" w:history="1">
        <w:r w:rsidRPr="00DA7DA7">
          <w:rPr>
            <w:rStyle w:val="Hyperlink"/>
            <w:rFonts w:ascii="Raleway" w:hAnsi="Raleway"/>
            <w:sz w:val="15"/>
            <w:szCs w:val="15"/>
          </w:rPr>
          <w:t>Cahier Psy No 12 : L</w:t>
        </w:r>
        <w:r>
          <w:rPr>
            <w:rStyle w:val="Hyperlink"/>
            <w:rFonts w:ascii="Raleway" w:hAnsi="Raleway"/>
            <w:sz w:val="15"/>
            <w:szCs w:val="15"/>
          </w:rPr>
          <w:t>’</w:t>
        </w:r>
        <w:r w:rsidRPr="00DA7DA7">
          <w:rPr>
            <w:rStyle w:val="Hyperlink"/>
            <w:rFonts w:ascii="Raleway" w:hAnsi="Raleway"/>
            <w:sz w:val="15"/>
            <w:szCs w:val="15"/>
          </w:rPr>
          <w:t>argent dans l</w:t>
        </w:r>
        <w:r>
          <w:rPr>
            <w:rStyle w:val="Hyperlink"/>
            <w:rFonts w:ascii="Raleway" w:hAnsi="Raleway"/>
            <w:sz w:val="15"/>
            <w:szCs w:val="15"/>
          </w:rPr>
          <w:t>’</w:t>
        </w:r>
        <w:r w:rsidRPr="00DA7DA7">
          <w:rPr>
            <w:rStyle w:val="Hyperlink"/>
            <w:rFonts w:ascii="Raleway" w:hAnsi="Raleway"/>
            <w:sz w:val="15"/>
            <w:szCs w:val="15"/>
          </w:rPr>
          <w:t>adoption internationale</w:t>
        </w:r>
      </w:hyperlink>
      <w:r w:rsidRPr="001E3DBF">
        <w:rPr>
          <w:rFonts w:ascii="Raleway" w:hAnsi="Raleway"/>
          <w:sz w:val="15"/>
          <w:szCs w:val="15"/>
        </w:rPr>
        <w:t>, p. 2).</w:t>
      </w:r>
    </w:p>
  </w:footnote>
  <w:footnote w:id="180">
    <w:p w14:paraId="26B7B6E5" w14:textId="3C03B61E" w:rsidR="00974DA5" w:rsidRPr="001E3DBF" w:rsidRDefault="00974DA5" w:rsidP="00150A0F">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sidRPr="001E3DBF">
        <w:rPr>
          <w:rFonts w:ascii="Raleway" w:hAnsi="Raleway"/>
          <w:i/>
          <w:iCs/>
          <w:sz w:val="15"/>
          <w:szCs w:val="15"/>
        </w:rPr>
        <w:t>Ibid.</w:t>
      </w:r>
    </w:p>
  </w:footnote>
  <w:footnote w:id="181">
    <w:p w14:paraId="1A93495E" w14:textId="0818D50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1,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_Ref142551987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w:t>
      </w:r>
      <w:r w:rsidRPr="001E3DBF">
        <w:rPr>
          <w:rFonts w:ascii="Raleway" w:hAnsi="Raleway"/>
          <w:sz w:val="15"/>
          <w:szCs w:val="15"/>
        </w:rPr>
        <w:fldChar w:fldCharType="end"/>
      </w:r>
      <w:r w:rsidRPr="001E3DBF">
        <w:rPr>
          <w:rFonts w:ascii="Raleway" w:hAnsi="Raleway"/>
          <w:sz w:val="15"/>
          <w:szCs w:val="15"/>
        </w:rPr>
        <w:t>, para. 236 et 237.</w:t>
      </w:r>
    </w:p>
  </w:footnote>
  <w:footnote w:id="182">
    <w:p w14:paraId="1F725213" w14:textId="33197742" w:rsidR="00974DA5" w:rsidRPr="001E3DBF" w:rsidRDefault="00974DA5" w:rsidP="00B13CA1">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Réponses au Questionnaire de 2009,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_Ref142552428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14</w:t>
      </w:r>
      <w:r w:rsidRPr="001E3DBF">
        <w:rPr>
          <w:rFonts w:ascii="Raleway" w:hAnsi="Raleway"/>
          <w:sz w:val="15"/>
          <w:szCs w:val="15"/>
        </w:rPr>
        <w:fldChar w:fldCharType="end"/>
      </w:r>
      <w:r w:rsidRPr="001E3DBF">
        <w:rPr>
          <w:rFonts w:ascii="Raleway" w:hAnsi="Raleway"/>
          <w:sz w:val="15"/>
          <w:szCs w:val="15"/>
        </w:rPr>
        <w:t>, Q. 49 : En Lettonie par ex. l</w:t>
      </w:r>
      <w:r>
        <w:rPr>
          <w:rFonts w:ascii="Raleway" w:hAnsi="Raleway"/>
          <w:sz w:val="15"/>
          <w:szCs w:val="15"/>
        </w:rPr>
        <w:t>’</w:t>
      </w:r>
      <w:r w:rsidRPr="001E3DBF">
        <w:rPr>
          <w:rFonts w:ascii="Raleway" w:hAnsi="Raleway"/>
          <w:sz w:val="15"/>
          <w:szCs w:val="15"/>
        </w:rPr>
        <w:t xml:space="preserve">Autorité centrale </w:t>
      </w:r>
      <w:r>
        <w:rPr>
          <w:rFonts w:ascii="Raleway" w:hAnsi="Raleway"/>
          <w:sz w:val="15"/>
          <w:szCs w:val="15"/>
        </w:rPr>
        <w:t>dispose d’</w:t>
      </w:r>
      <w:r w:rsidRPr="001E3DBF">
        <w:rPr>
          <w:rFonts w:ascii="Raleway" w:hAnsi="Raleway"/>
          <w:sz w:val="15"/>
          <w:szCs w:val="15"/>
        </w:rPr>
        <w:t>informations sur les coûts prévisionnels de la procédure d</w:t>
      </w:r>
      <w:r>
        <w:rPr>
          <w:rFonts w:ascii="Raleway" w:hAnsi="Raleway"/>
          <w:sz w:val="15"/>
          <w:szCs w:val="15"/>
        </w:rPr>
        <w:t>’</w:t>
      </w:r>
      <w:r w:rsidRPr="001E3DBF">
        <w:rPr>
          <w:rFonts w:ascii="Raleway" w:hAnsi="Raleway"/>
          <w:sz w:val="15"/>
          <w:szCs w:val="15"/>
        </w:rPr>
        <w:t>adoption, mais elle ne sait pas si les États d</w:t>
      </w:r>
      <w:r>
        <w:rPr>
          <w:rFonts w:ascii="Raleway" w:hAnsi="Raleway"/>
          <w:sz w:val="15"/>
          <w:szCs w:val="15"/>
        </w:rPr>
        <w:t>’</w:t>
      </w:r>
      <w:r w:rsidRPr="001E3DBF">
        <w:rPr>
          <w:rFonts w:ascii="Raleway" w:hAnsi="Raleway"/>
          <w:sz w:val="15"/>
          <w:szCs w:val="15"/>
        </w:rPr>
        <w:t>accueil partenaires les communiquent aux OAA ou aux FPA.</w:t>
      </w:r>
    </w:p>
  </w:footnote>
  <w:footnote w:id="183">
    <w:p w14:paraId="7FC35BD8" w14:textId="4650432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i/>
          <w:sz w:val="15"/>
          <w:szCs w:val="15"/>
        </w:rPr>
        <w:t>Ibid.</w:t>
      </w:r>
      <w:r w:rsidRPr="001E3DBF">
        <w:rPr>
          <w:rFonts w:ascii="Raleway" w:hAnsi="Raleway"/>
          <w:sz w:val="15"/>
          <w:szCs w:val="15"/>
        </w:rPr>
        <w:t>, Q. 47 (Brésil) et 48 (Philippines).</w:t>
      </w:r>
    </w:p>
  </w:footnote>
  <w:footnote w:id="184">
    <w:p w14:paraId="2DAE9804" w14:textId="7777777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CS de 2015, C&amp;R No 42.</w:t>
      </w:r>
    </w:p>
  </w:footnote>
  <w:footnote w:id="185">
    <w:p w14:paraId="245D8513" w14:textId="3038BDE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Réponses des États aux </w:t>
      </w:r>
      <w:hyperlink r:id="rId100" w:history="1">
        <w:r w:rsidRPr="001E3DBF">
          <w:rPr>
            <w:rStyle w:val="Hyperlink"/>
            <w:rFonts w:ascii="Raleway" w:hAnsi="Raleway"/>
            <w:sz w:val="15"/>
            <w:szCs w:val="15"/>
          </w:rPr>
          <w:t>Tableaux sur les aspects financiers</w:t>
        </w:r>
      </w:hyperlink>
      <w:r w:rsidRPr="001E3DBF">
        <w:rPr>
          <w:rFonts w:ascii="Raleway" w:hAnsi="Raleway"/>
          <w:sz w:val="15"/>
          <w:szCs w:val="15"/>
        </w:rPr>
        <w:t>.</w:t>
      </w:r>
    </w:p>
  </w:footnote>
  <w:footnote w:id="186">
    <w:p w14:paraId="65A7CD59" w14:textId="58737EF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(Profil d</w:t>
      </w:r>
      <w:r>
        <w:rPr>
          <w:rFonts w:ascii="Raleway" w:hAnsi="Raleway"/>
          <w:sz w:val="15"/>
          <w:szCs w:val="15"/>
        </w:rPr>
        <w:t>’</w:t>
      </w:r>
      <w:r w:rsidRPr="001E3DBF">
        <w:rPr>
          <w:rFonts w:ascii="Raleway" w:hAnsi="Raleway"/>
          <w:sz w:val="15"/>
          <w:szCs w:val="15"/>
        </w:rPr>
        <w:t>État électronique EA (2026), Q. 29(f)) ; site web de l</w:t>
      </w:r>
      <w:r>
        <w:rPr>
          <w:rFonts w:ascii="Raleway" w:hAnsi="Raleway"/>
          <w:sz w:val="15"/>
          <w:szCs w:val="15"/>
        </w:rPr>
        <w:t>’</w:t>
      </w:r>
      <w:r w:rsidRPr="001E3DBF">
        <w:rPr>
          <w:rFonts w:ascii="Raleway" w:hAnsi="Raleway"/>
          <w:sz w:val="15"/>
          <w:szCs w:val="15"/>
        </w:rPr>
        <w:t xml:space="preserve">Autorité centrale (Nouvelle-Galles du Sud) (ministère des Communautés et de la Justice) : </w:t>
      </w:r>
      <w:hyperlink r:id="rId101" w:history="1">
        <w:r w:rsidRPr="001E3DBF">
          <w:rPr>
            <w:rStyle w:val="Hyperlink"/>
            <w:rFonts w:ascii="Raleway" w:hAnsi="Raleway"/>
            <w:i/>
            <w:iCs/>
            <w:sz w:val="15"/>
            <w:szCs w:val="15"/>
          </w:rPr>
          <w:t>Fact Sheet Adoption Fees and Costs</w:t>
        </w:r>
      </w:hyperlink>
      <w:r>
        <w:rPr>
          <w:rFonts w:ascii="Raleway" w:hAnsi="Raleway"/>
          <w:sz w:val="15"/>
          <w:szCs w:val="15"/>
        </w:rPr>
        <w:t xml:space="preserve"> (Fiche de </w:t>
      </w:r>
      <w:r w:rsidRPr="001E3DBF">
        <w:rPr>
          <w:rFonts w:ascii="Raleway" w:hAnsi="Raleway"/>
          <w:sz w:val="15"/>
          <w:szCs w:val="15"/>
        </w:rPr>
        <w:t>synthèse sur les frais et dépenses liées à l</w:t>
      </w:r>
      <w:r>
        <w:rPr>
          <w:rFonts w:ascii="Raleway" w:hAnsi="Raleway"/>
          <w:sz w:val="15"/>
          <w:szCs w:val="15"/>
        </w:rPr>
        <w:t>’</w:t>
      </w:r>
      <w:r w:rsidRPr="001E3DBF">
        <w:rPr>
          <w:rFonts w:ascii="Raleway" w:hAnsi="Raleway"/>
          <w:sz w:val="15"/>
          <w:szCs w:val="15"/>
        </w:rPr>
        <w:t xml:space="preserve">adoption) ; site web </w:t>
      </w:r>
      <w:r w:rsidRPr="001E3DBF">
        <w:rPr>
          <w:rFonts w:ascii="Raleway" w:hAnsi="Raleway"/>
          <w:i/>
          <w:iCs/>
          <w:sz w:val="15"/>
          <w:szCs w:val="15"/>
        </w:rPr>
        <w:t>Intercountry Adoption Australia</w:t>
      </w:r>
      <w:r w:rsidRPr="001E3DBF">
        <w:rPr>
          <w:rFonts w:ascii="Raleway" w:hAnsi="Raleway"/>
          <w:sz w:val="15"/>
          <w:szCs w:val="15"/>
        </w:rPr>
        <w:t xml:space="preserve"> : </w:t>
      </w:r>
      <w:hyperlink r:id="rId102" w:history="1">
        <w:r w:rsidRPr="00342752">
          <w:rPr>
            <w:rStyle w:val="Hyperlink"/>
            <w:rFonts w:ascii="Raleway" w:hAnsi="Raleway"/>
            <w:i/>
            <w:sz w:val="15"/>
            <w:szCs w:val="15"/>
          </w:rPr>
          <w:t>Pa</w:t>
        </w:r>
      </w:hyperlink>
      <w:r w:rsidRPr="00342752">
        <w:rPr>
          <w:rStyle w:val="Hyperlink"/>
          <w:rFonts w:ascii="Raleway" w:hAnsi="Raleway"/>
          <w:i/>
          <w:sz w:val="15"/>
          <w:szCs w:val="15"/>
        </w:rPr>
        <w:t>rtner countries</w:t>
      </w:r>
      <w:r>
        <w:rPr>
          <w:rFonts w:ascii="Raleway" w:hAnsi="Raleway"/>
          <w:sz w:val="15"/>
          <w:szCs w:val="15"/>
        </w:rPr>
        <w:t xml:space="preserve"> (pays partenaires))</w:t>
      </w:r>
      <w:r w:rsidRPr="001E3DBF">
        <w:rPr>
          <w:rFonts w:ascii="Raleway" w:hAnsi="Raleway"/>
          <w:sz w:val="15"/>
          <w:szCs w:val="15"/>
        </w:rPr>
        <w:t>.</w:t>
      </w:r>
    </w:p>
  </w:footnote>
  <w:footnote w:id="187">
    <w:p w14:paraId="19E5C613" w14:textId="346D16C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Bulgarie (Profil d</w:t>
      </w:r>
      <w:r>
        <w:rPr>
          <w:rFonts w:ascii="Raleway" w:hAnsi="Raleway"/>
          <w:sz w:val="15"/>
          <w:szCs w:val="15"/>
        </w:rPr>
        <w:t>’</w:t>
      </w:r>
      <w:r w:rsidRPr="001E3DBF">
        <w:rPr>
          <w:rFonts w:ascii="Raleway" w:hAnsi="Raleway"/>
          <w:sz w:val="15"/>
          <w:szCs w:val="15"/>
        </w:rPr>
        <w:t>État EO (2024), Q. 33(f), et, par ex., sites web d</w:t>
      </w:r>
      <w:r>
        <w:rPr>
          <w:rFonts w:ascii="Raleway" w:hAnsi="Raleway"/>
          <w:sz w:val="15"/>
          <w:szCs w:val="15"/>
        </w:rPr>
        <w:t>’</w:t>
      </w:r>
      <w:r w:rsidRPr="001E3DBF">
        <w:rPr>
          <w:rFonts w:ascii="Raleway" w:hAnsi="Raleway"/>
          <w:sz w:val="15"/>
          <w:szCs w:val="15"/>
        </w:rPr>
        <w:t xml:space="preserve">OAA (St. Konstantin and Elena) : </w:t>
      </w:r>
      <w:hyperlink r:id="rId103" w:history="1">
        <w:r w:rsidRPr="001E3DBF">
          <w:rPr>
            <w:rStyle w:val="Hyperlink"/>
            <w:rFonts w:ascii="Raleway" w:hAnsi="Raleway"/>
            <w:sz w:val="15"/>
            <w:szCs w:val="15"/>
          </w:rPr>
          <w:t>Tableau sur les coûts</w:t>
        </w:r>
      </w:hyperlink>
      <w:r w:rsidRPr="001E3DBF">
        <w:rPr>
          <w:rFonts w:ascii="Raleway" w:hAnsi="Raleway"/>
          <w:sz w:val="15"/>
          <w:szCs w:val="15"/>
        </w:rPr>
        <w:t xml:space="preserve"> et (Sunshine for Our Kids) :</w:t>
      </w:r>
      <w:hyperlink r:id="rId104" w:history="1">
        <w:r w:rsidRPr="001E3DBF">
          <w:rPr>
            <w:rStyle w:val="Hyperlink"/>
            <w:rFonts w:ascii="Raleway" w:hAnsi="Raleway"/>
            <w:sz w:val="15"/>
            <w:szCs w:val="15"/>
          </w:rPr>
          <w:t>Tableaux sur les coûts associés à l</w:t>
        </w:r>
        <w:r>
          <w:rPr>
            <w:rStyle w:val="Hyperlink"/>
            <w:rFonts w:ascii="Raleway" w:hAnsi="Raleway"/>
            <w:sz w:val="15"/>
            <w:szCs w:val="15"/>
          </w:rPr>
          <w:t>’</w:t>
        </w:r>
        <w:r w:rsidRPr="001E3DBF">
          <w:rPr>
            <w:rStyle w:val="Hyperlink"/>
            <w:rFonts w:ascii="Raleway" w:hAnsi="Raleway"/>
            <w:sz w:val="15"/>
            <w:szCs w:val="15"/>
          </w:rPr>
          <w:t>adoption internationale</w:t>
        </w:r>
      </w:hyperlink>
      <w:r w:rsidRPr="001E3DBF">
        <w:rPr>
          <w:rFonts w:ascii="Raleway" w:hAnsi="Raleway"/>
          <w:sz w:val="15"/>
          <w:szCs w:val="15"/>
        </w:rPr>
        <w:t>.</w:t>
      </w:r>
    </w:p>
  </w:footnote>
  <w:footnote w:id="188">
    <w:p w14:paraId="3E8172F4" w14:textId="06B542D8" w:rsidR="00974DA5" w:rsidRPr="001E3DBF" w:rsidRDefault="00974DA5" w:rsidP="007D4CD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Espagne (</w:t>
      </w:r>
      <w:r>
        <w:rPr>
          <w:rFonts w:ascii="Raleway" w:hAnsi="Raleway"/>
          <w:sz w:val="15"/>
          <w:szCs w:val="15"/>
        </w:rPr>
        <w:t>r</w:t>
      </w:r>
      <w:r w:rsidRPr="001E3DBF">
        <w:rPr>
          <w:rFonts w:ascii="Raleway" w:hAnsi="Raleway"/>
          <w:sz w:val="15"/>
          <w:szCs w:val="15"/>
        </w:rPr>
        <w:t xml:space="preserve">èglement </w:t>
      </w:r>
      <w:r>
        <w:rPr>
          <w:rFonts w:ascii="Raleway" w:hAnsi="Raleway"/>
          <w:sz w:val="15"/>
          <w:szCs w:val="15"/>
        </w:rPr>
        <w:t xml:space="preserve">sur </w:t>
      </w:r>
      <w:r w:rsidRPr="001E3DBF">
        <w:rPr>
          <w:rFonts w:ascii="Raleway" w:hAnsi="Raleway"/>
          <w:sz w:val="15"/>
          <w:szCs w:val="15"/>
        </w:rPr>
        <w:t>l</w:t>
      </w:r>
      <w:r>
        <w:rPr>
          <w:rFonts w:ascii="Raleway" w:hAnsi="Raleway"/>
          <w:sz w:val="15"/>
          <w:szCs w:val="15"/>
        </w:rPr>
        <w:t>’</w:t>
      </w:r>
      <w:r w:rsidRPr="001E3DBF">
        <w:rPr>
          <w:rFonts w:ascii="Raleway" w:hAnsi="Raleway"/>
          <w:sz w:val="15"/>
          <w:szCs w:val="15"/>
        </w:rPr>
        <w:t>adoption internationale, Décret royal No 573/2023 du 4 juillet</w:t>
      </w:r>
      <w:r>
        <w:rPr>
          <w:rFonts w:ascii="Raleway" w:hAnsi="Raleway"/>
          <w:sz w:val="15"/>
          <w:szCs w:val="15"/>
        </w:rPr>
        <w:t xml:space="preserve"> 2023,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 chapitre VI</w:t>
      </w:r>
      <w:r w:rsidRPr="001E3DBF">
        <w:rPr>
          <w:rFonts w:ascii="Raleway" w:hAnsi="Raleway"/>
          <w:sz w:val="15"/>
          <w:szCs w:val="15"/>
        </w:rPr>
        <w:t>).</w:t>
      </w:r>
    </w:p>
  </w:footnote>
  <w:footnote w:id="189">
    <w:p w14:paraId="62D03670" w14:textId="519E2E74" w:rsidR="00974DA5" w:rsidRPr="001E3DBF" w:rsidRDefault="00974DA5" w:rsidP="006949EE">
      <w:pPr>
        <w:pStyle w:val="FootnoteText"/>
        <w:ind w:left="284" w:hanging="284"/>
        <w:rPr>
          <w:rFonts w:ascii="Raleway" w:hAnsi="Raleway"/>
          <w:sz w:val="15"/>
          <w:szCs w:val="15"/>
        </w:rPr>
      </w:pPr>
      <w:r w:rsidRPr="001E3DBF">
        <w:rPr>
          <w:rStyle w:val="FootnoteReference"/>
          <w:rFonts w:ascii="Raleway" w:hAnsi="Raleway"/>
          <w:sz w:val="15"/>
          <w:szCs w:val="15"/>
        </w:rPr>
        <w:footnoteRef/>
      </w:r>
      <w:r w:rsidR="00E6549D">
        <w:rPr>
          <w:rStyle w:val="FootnoteReference"/>
          <w:rFonts w:ascii="Raleway" w:hAnsi="Raleway"/>
          <w:sz w:val="15"/>
          <w:szCs w:val="15"/>
        </w:rPr>
        <w:t xml:space="preserve"> </w:t>
      </w:r>
      <w:r>
        <w:rPr>
          <w:rFonts w:ascii="Raleway" w:hAnsi="Raleway"/>
          <w:sz w:val="15"/>
          <w:szCs w:val="15"/>
        </w:rPr>
        <w:tab/>
      </w:r>
      <w:r w:rsidRPr="001E3DBF">
        <w:rPr>
          <w:rFonts w:ascii="Raleway" w:hAnsi="Raleway"/>
          <w:sz w:val="15"/>
          <w:szCs w:val="15"/>
        </w:rPr>
        <w:t>Espagne (</w:t>
      </w:r>
      <w:r>
        <w:rPr>
          <w:rFonts w:ascii="Raleway" w:hAnsi="Raleway"/>
          <w:sz w:val="15"/>
          <w:szCs w:val="15"/>
        </w:rPr>
        <w:t>d</w:t>
      </w:r>
      <w:r w:rsidRPr="001E3DBF">
        <w:rPr>
          <w:rFonts w:ascii="Raleway" w:hAnsi="Raleway"/>
          <w:sz w:val="15"/>
          <w:szCs w:val="15"/>
        </w:rPr>
        <w:t>écret No 16 du premier mars 2023).</w:t>
      </w:r>
    </w:p>
  </w:footnote>
  <w:footnote w:id="190">
    <w:p w14:paraId="3E1BA627" w14:textId="21D517F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Suisse (</w:t>
      </w:r>
      <w:hyperlink r:id="rId105" w:history="1">
        <w:r>
          <w:rPr>
            <w:rStyle w:val="Hyperlink"/>
            <w:rFonts w:ascii="Raleway" w:hAnsi="Raleway"/>
            <w:sz w:val="15"/>
            <w:szCs w:val="15"/>
          </w:rPr>
          <w:t>o</w:t>
        </w:r>
        <w:r w:rsidRPr="001F7CCA">
          <w:rPr>
            <w:rStyle w:val="Hyperlink"/>
            <w:rFonts w:ascii="Raleway" w:hAnsi="Raleway"/>
            <w:sz w:val="15"/>
            <w:szCs w:val="15"/>
          </w:rPr>
          <w:t>rdonnance du 29 juin 2011 sur l</w:t>
        </w:r>
        <w:r>
          <w:rPr>
            <w:rStyle w:val="Hyperlink"/>
            <w:rFonts w:ascii="Raleway" w:hAnsi="Raleway"/>
            <w:sz w:val="15"/>
            <w:szCs w:val="15"/>
          </w:rPr>
          <w:t>’</w:t>
        </w:r>
        <w:r w:rsidRPr="001F7CCA">
          <w:rPr>
            <w:rStyle w:val="Hyperlink"/>
            <w:rFonts w:ascii="Raleway" w:hAnsi="Raleway"/>
            <w:sz w:val="15"/>
            <w:szCs w:val="15"/>
          </w:rPr>
          <w:t>adoption</w:t>
        </w:r>
      </w:hyperlink>
      <w:r w:rsidRPr="001E3DBF">
        <w:rPr>
          <w:rFonts w:ascii="Raleway" w:hAnsi="Raleway"/>
          <w:sz w:val="15"/>
          <w:szCs w:val="15"/>
        </w:rPr>
        <w:t>, art. 13).</w:t>
      </w:r>
    </w:p>
  </w:footnote>
  <w:footnote w:id="191">
    <w:p w14:paraId="1CBB2DA3" w14:textId="463978C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(Profil d</w:t>
      </w:r>
      <w:r>
        <w:rPr>
          <w:rFonts w:ascii="Raleway" w:hAnsi="Raleway"/>
          <w:sz w:val="15"/>
          <w:szCs w:val="15"/>
        </w:rPr>
        <w:t>’</w:t>
      </w:r>
      <w:r w:rsidRPr="001E3DBF">
        <w:rPr>
          <w:rFonts w:ascii="Raleway" w:hAnsi="Raleway"/>
          <w:sz w:val="15"/>
          <w:szCs w:val="15"/>
        </w:rPr>
        <w:t>État EA (2025), Q. 29 (f)).</w:t>
      </w:r>
    </w:p>
  </w:footnote>
  <w:footnote w:id="192">
    <w:p w14:paraId="266C2E21" w14:textId="3CB4BB9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Burkina Faso (Profil d</w:t>
      </w:r>
      <w:r>
        <w:rPr>
          <w:rFonts w:ascii="Raleway" w:hAnsi="Raleway"/>
          <w:sz w:val="15"/>
          <w:szCs w:val="15"/>
        </w:rPr>
        <w:t>’</w:t>
      </w:r>
      <w:r w:rsidRPr="001E3DBF">
        <w:rPr>
          <w:rFonts w:ascii="Raleway" w:hAnsi="Raleway"/>
          <w:sz w:val="15"/>
          <w:szCs w:val="15"/>
        </w:rPr>
        <w:t xml:space="preserve">État EO (2022), Q. 33(f) et </w:t>
      </w:r>
      <w:hyperlink r:id="rId106" w:history="1">
        <w:r>
          <w:rPr>
            <w:rStyle w:val="Hyperlink"/>
            <w:rFonts w:ascii="Raleway" w:hAnsi="Raleway"/>
            <w:sz w:val="15"/>
            <w:szCs w:val="15"/>
          </w:rPr>
          <w:t>a</w:t>
        </w:r>
        <w:r w:rsidRPr="001F7CCA">
          <w:rPr>
            <w:rStyle w:val="Hyperlink"/>
            <w:rFonts w:ascii="Raleway" w:hAnsi="Raleway"/>
            <w:sz w:val="15"/>
            <w:szCs w:val="15"/>
          </w:rPr>
          <w:t>rrêté conjoint No 2013/229 portant Manuel de Procédures d</w:t>
        </w:r>
        <w:r>
          <w:rPr>
            <w:rStyle w:val="Hyperlink"/>
            <w:rFonts w:ascii="Raleway" w:hAnsi="Raleway"/>
            <w:sz w:val="15"/>
            <w:szCs w:val="15"/>
          </w:rPr>
          <w:t>’</w:t>
        </w:r>
        <w:r w:rsidRPr="001F7CCA">
          <w:rPr>
            <w:rStyle w:val="Hyperlink"/>
            <w:rFonts w:ascii="Raleway" w:hAnsi="Raleway"/>
            <w:sz w:val="15"/>
            <w:szCs w:val="15"/>
          </w:rPr>
          <w:t>adoptions nationales et internationales</w:t>
        </w:r>
      </w:hyperlink>
      <w:r w:rsidRPr="001E3DBF">
        <w:rPr>
          <w:rFonts w:ascii="Raleway" w:hAnsi="Raleway"/>
          <w:sz w:val="15"/>
          <w:szCs w:val="15"/>
        </w:rPr>
        <w:t xml:space="preserve">). </w:t>
      </w:r>
    </w:p>
  </w:footnote>
  <w:footnote w:id="193">
    <w:p w14:paraId="433E7E75" w14:textId="28DE841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Cambodge (Profil d</w:t>
      </w:r>
      <w:r>
        <w:rPr>
          <w:rFonts w:ascii="Raleway" w:hAnsi="Raleway"/>
          <w:sz w:val="15"/>
          <w:szCs w:val="15"/>
        </w:rPr>
        <w:t>’</w:t>
      </w:r>
      <w:r w:rsidRPr="001E3DBF">
        <w:rPr>
          <w:rFonts w:ascii="Raleway" w:hAnsi="Raleway"/>
          <w:sz w:val="15"/>
          <w:szCs w:val="15"/>
        </w:rPr>
        <w:t>État EO (2025), Q. 33(a) et site web de l</w:t>
      </w:r>
      <w:r>
        <w:rPr>
          <w:rFonts w:ascii="Raleway" w:hAnsi="Raleway"/>
          <w:sz w:val="15"/>
          <w:szCs w:val="15"/>
        </w:rPr>
        <w:t>’</w:t>
      </w:r>
      <w:r w:rsidRPr="001E3DBF">
        <w:rPr>
          <w:rFonts w:ascii="Raleway" w:hAnsi="Raleway"/>
          <w:sz w:val="15"/>
          <w:szCs w:val="15"/>
        </w:rPr>
        <w:t xml:space="preserve">Autorité centrale : </w:t>
      </w:r>
      <w:hyperlink r:id="rId107" w:history="1">
        <w:r w:rsidRPr="001E3DBF">
          <w:rPr>
            <w:rStyle w:val="Hyperlink"/>
            <w:rFonts w:ascii="Raleway" w:hAnsi="Raleway"/>
            <w:sz w:val="15"/>
            <w:szCs w:val="15"/>
          </w:rPr>
          <w:t>Frais</w:t>
        </w:r>
      </w:hyperlink>
      <w:r w:rsidRPr="001E3DBF">
        <w:rPr>
          <w:rFonts w:ascii="Raleway" w:hAnsi="Raleway"/>
          <w:sz w:val="15"/>
          <w:szCs w:val="15"/>
        </w:rPr>
        <w:t>).</w:t>
      </w:r>
    </w:p>
  </w:footnote>
  <w:footnote w:id="194">
    <w:p w14:paraId="2D4434E1" w14:textId="04BDFD5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Côte d</w:t>
      </w:r>
      <w:r>
        <w:rPr>
          <w:rFonts w:ascii="Raleway" w:hAnsi="Raleway"/>
          <w:sz w:val="15"/>
          <w:szCs w:val="15"/>
        </w:rPr>
        <w:t>’</w:t>
      </w:r>
      <w:r w:rsidRPr="001E3DBF">
        <w:rPr>
          <w:rFonts w:ascii="Raleway" w:hAnsi="Raleway"/>
          <w:sz w:val="15"/>
          <w:szCs w:val="15"/>
        </w:rPr>
        <w:t>Ivoire (Profil d</w:t>
      </w:r>
      <w:r>
        <w:rPr>
          <w:rFonts w:ascii="Raleway" w:hAnsi="Raleway"/>
          <w:sz w:val="15"/>
          <w:szCs w:val="15"/>
        </w:rPr>
        <w:t>’</w:t>
      </w:r>
      <w:r w:rsidRPr="001E3DBF">
        <w:rPr>
          <w:rFonts w:ascii="Raleway" w:hAnsi="Raleway"/>
          <w:sz w:val="15"/>
          <w:szCs w:val="15"/>
        </w:rPr>
        <w:t xml:space="preserve">État électronique EO (2026), Q. 33(a) et </w:t>
      </w:r>
      <w:r>
        <w:rPr>
          <w:rFonts w:ascii="Raleway" w:hAnsi="Raleway"/>
          <w:sz w:val="15"/>
          <w:szCs w:val="15"/>
        </w:rPr>
        <w:t>a</w:t>
      </w:r>
      <w:r w:rsidRPr="0074091A">
        <w:rPr>
          <w:rFonts w:ascii="Raleway" w:hAnsi="Raleway"/>
          <w:sz w:val="15"/>
          <w:szCs w:val="15"/>
        </w:rPr>
        <w:t>rrêté Nº 00104/MFFE/CAB du 18</w:t>
      </w:r>
      <w:r>
        <w:rPr>
          <w:rFonts w:ascii="Raleway" w:hAnsi="Raleway"/>
          <w:sz w:val="15"/>
          <w:szCs w:val="15"/>
        </w:rPr>
        <w:t> juin </w:t>
      </w:r>
      <w:r w:rsidRPr="0074091A">
        <w:rPr>
          <w:rFonts w:ascii="Raleway" w:hAnsi="Raleway"/>
          <w:sz w:val="15"/>
          <w:szCs w:val="15"/>
        </w:rPr>
        <w:t>2024 portant la tarification des prestations liées à l</w:t>
      </w:r>
      <w:r>
        <w:rPr>
          <w:rFonts w:ascii="Raleway" w:hAnsi="Raleway"/>
          <w:sz w:val="15"/>
          <w:szCs w:val="15"/>
        </w:rPr>
        <w:t>’a</w:t>
      </w:r>
      <w:r w:rsidRPr="0074091A">
        <w:rPr>
          <w:rFonts w:ascii="Raleway" w:hAnsi="Raleway"/>
          <w:sz w:val="15"/>
          <w:szCs w:val="15"/>
        </w:rPr>
        <w:t>doption</w:t>
      </w:r>
      <w:r w:rsidRPr="001E3DBF">
        <w:rPr>
          <w:rFonts w:ascii="Raleway" w:hAnsi="Raleway"/>
          <w:sz w:val="15"/>
          <w:szCs w:val="15"/>
        </w:rPr>
        <w:t>).</w:t>
      </w:r>
    </w:p>
  </w:footnote>
  <w:footnote w:id="195">
    <w:p w14:paraId="07581B6A" w14:textId="3338DA3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(Profil d</w:t>
      </w:r>
      <w:r>
        <w:rPr>
          <w:rFonts w:ascii="Raleway" w:hAnsi="Raleway"/>
          <w:sz w:val="15"/>
          <w:szCs w:val="15"/>
        </w:rPr>
        <w:t>’</w:t>
      </w:r>
      <w:r w:rsidRPr="001E3DBF">
        <w:rPr>
          <w:rFonts w:ascii="Raleway" w:hAnsi="Raleway"/>
          <w:sz w:val="15"/>
          <w:szCs w:val="15"/>
        </w:rPr>
        <w:t>État EA (2025), Q. 29(f) et site web de l</w:t>
      </w:r>
      <w:r>
        <w:rPr>
          <w:rFonts w:ascii="Raleway" w:hAnsi="Raleway"/>
          <w:sz w:val="15"/>
          <w:szCs w:val="15"/>
        </w:rPr>
        <w:t>’</w:t>
      </w:r>
      <w:r w:rsidRPr="001E3DBF">
        <w:rPr>
          <w:rFonts w:ascii="Raleway" w:hAnsi="Raleway"/>
          <w:sz w:val="15"/>
          <w:szCs w:val="15"/>
        </w:rPr>
        <w:t>Autorité centrale (MAI) : voir, par ex., les coûts pratiqués par l</w:t>
      </w:r>
      <w:r>
        <w:rPr>
          <w:rFonts w:ascii="Raleway" w:hAnsi="Raleway"/>
          <w:sz w:val="15"/>
          <w:szCs w:val="15"/>
        </w:rPr>
        <w:t>’</w:t>
      </w:r>
      <w:r w:rsidRPr="001E3DBF">
        <w:rPr>
          <w:rFonts w:ascii="Raleway" w:hAnsi="Raleway"/>
          <w:sz w:val="15"/>
          <w:szCs w:val="15"/>
        </w:rPr>
        <w:t>OAA</w:t>
      </w:r>
      <w:r>
        <w:rPr>
          <w:rFonts w:ascii="Raleway" w:hAnsi="Raleway"/>
          <w:sz w:val="15"/>
          <w:szCs w:val="15"/>
        </w:rPr>
        <w:t xml:space="preserve"> </w:t>
      </w:r>
      <w:hyperlink r:id="rId108" w:history="1">
        <w:r w:rsidRPr="001E3DBF">
          <w:rPr>
            <w:rStyle w:val="Hyperlink"/>
            <w:rFonts w:ascii="Raleway" w:hAnsi="Raleway"/>
            <w:sz w:val="15"/>
            <w:szCs w:val="15"/>
          </w:rPr>
          <w:t>Ayuda</w:t>
        </w:r>
      </w:hyperlink>
      <w:r w:rsidRPr="001E3DBF">
        <w:rPr>
          <w:rFonts w:ascii="Raleway" w:hAnsi="Raleway"/>
          <w:sz w:val="15"/>
          <w:szCs w:val="15"/>
        </w:rPr>
        <w:t>).</w:t>
      </w:r>
    </w:p>
  </w:footnote>
  <w:footnote w:id="196">
    <w:p w14:paraId="683FADA1" w14:textId="2CB63E4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Norvège (Profil d</w:t>
      </w:r>
      <w:r>
        <w:rPr>
          <w:rFonts w:ascii="Raleway" w:hAnsi="Raleway"/>
          <w:sz w:val="15"/>
          <w:szCs w:val="15"/>
        </w:rPr>
        <w:t>’</w:t>
      </w:r>
      <w:r w:rsidRPr="001E3DBF">
        <w:rPr>
          <w:rFonts w:ascii="Raleway" w:hAnsi="Raleway"/>
          <w:sz w:val="15"/>
          <w:szCs w:val="15"/>
        </w:rPr>
        <w:t>État EA (2022), Q. 29 (f)) ; site web d</w:t>
      </w:r>
      <w:r>
        <w:rPr>
          <w:rFonts w:ascii="Raleway" w:hAnsi="Raleway"/>
          <w:sz w:val="15"/>
          <w:szCs w:val="15"/>
        </w:rPr>
        <w:t>’</w:t>
      </w:r>
      <w:r w:rsidRPr="001E3DBF">
        <w:rPr>
          <w:rFonts w:ascii="Raleway" w:hAnsi="Raleway"/>
          <w:sz w:val="15"/>
          <w:szCs w:val="15"/>
        </w:rPr>
        <w:t xml:space="preserve">un OAA (Adopsjonsforum) : </w:t>
      </w:r>
      <w:hyperlink r:id="rId109" w:history="1">
        <w:r w:rsidRPr="001E3DBF">
          <w:rPr>
            <w:rStyle w:val="Hyperlink"/>
            <w:rFonts w:ascii="Raleway" w:hAnsi="Raleway"/>
            <w:sz w:val="15"/>
            <w:szCs w:val="15"/>
          </w:rPr>
          <w:t>Kostnader</w:t>
        </w:r>
      </w:hyperlink>
      <w:r w:rsidRPr="001E3DBF">
        <w:rPr>
          <w:rFonts w:ascii="Raleway" w:hAnsi="Raleway"/>
          <w:sz w:val="15"/>
          <w:szCs w:val="15"/>
        </w:rPr>
        <w:t xml:space="preserve"> (frais).</w:t>
      </w:r>
    </w:p>
  </w:footnote>
  <w:footnote w:id="197">
    <w:p w14:paraId="09D3558E" w14:textId="0286A46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(Profil d</w:t>
      </w:r>
      <w:r>
        <w:rPr>
          <w:rFonts w:ascii="Raleway" w:hAnsi="Raleway"/>
          <w:sz w:val="15"/>
          <w:szCs w:val="15"/>
        </w:rPr>
        <w:t>’</w:t>
      </w:r>
      <w:r w:rsidRPr="001E3DBF">
        <w:rPr>
          <w:rFonts w:ascii="Raleway" w:hAnsi="Raleway"/>
          <w:sz w:val="15"/>
          <w:szCs w:val="15"/>
        </w:rPr>
        <w:t>État EO (2025), Q. 33(a) et site web de l</w:t>
      </w:r>
      <w:r>
        <w:rPr>
          <w:rFonts w:ascii="Raleway" w:hAnsi="Raleway"/>
          <w:sz w:val="15"/>
          <w:szCs w:val="15"/>
        </w:rPr>
        <w:t>’</w:t>
      </w:r>
      <w:r w:rsidRPr="001E3DBF">
        <w:rPr>
          <w:rFonts w:ascii="Raleway" w:hAnsi="Raleway"/>
          <w:sz w:val="15"/>
          <w:szCs w:val="15"/>
        </w:rPr>
        <w:t xml:space="preserve">Autorité centrale : </w:t>
      </w:r>
      <w:hyperlink r:id="rId110" w:history="1">
        <w:r w:rsidRPr="001E3DBF">
          <w:rPr>
            <w:rStyle w:val="Hyperlink"/>
            <w:rFonts w:ascii="Raleway" w:hAnsi="Raleway"/>
            <w:i/>
            <w:iCs/>
            <w:sz w:val="15"/>
            <w:szCs w:val="15"/>
          </w:rPr>
          <w:t>Fees, Charges and Assessment</w:t>
        </w:r>
      </w:hyperlink>
      <w:r w:rsidRPr="001E3DBF">
        <w:rPr>
          <w:rFonts w:ascii="Raleway" w:hAnsi="Raleway"/>
          <w:sz w:val="15"/>
          <w:szCs w:val="15"/>
        </w:rPr>
        <w:t xml:space="preserve"> (frais, dépenses et évaluation)).</w:t>
      </w:r>
    </w:p>
  </w:footnote>
  <w:footnote w:id="198">
    <w:p w14:paraId="06950F24" w14:textId="6480A3E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Sénégal (Pr</w:t>
      </w:r>
      <w:r>
        <w:rPr>
          <w:rFonts w:ascii="Raleway" w:hAnsi="Raleway"/>
          <w:sz w:val="15"/>
          <w:szCs w:val="15"/>
        </w:rPr>
        <w:t>ofil d’État EO (2024), Q. 33(f)</w:t>
      </w:r>
      <w:r w:rsidRPr="001E3DBF">
        <w:rPr>
          <w:rFonts w:ascii="Raleway" w:hAnsi="Raleway"/>
          <w:sz w:val="15"/>
          <w:szCs w:val="15"/>
        </w:rPr>
        <w:t xml:space="preserve"> et </w:t>
      </w:r>
      <w:hyperlink r:id="rId111" w:history="1">
        <w:r w:rsidRPr="001F7CCA">
          <w:rPr>
            <w:rStyle w:val="Hyperlink"/>
            <w:rFonts w:ascii="Raleway" w:hAnsi="Raleway"/>
            <w:sz w:val="15"/>
            <w:szCs w:val="15"/>
          </w:rPr>
          <w:t>Guide de l</w:t>
        </w:r>
        <w:r>
          <w:rPr>
            <w:rStyle w:val="Hyperlink"/>
            <w:rFonts w:ascii="Raleway" w:hAnsi="Raleway"/>
            <w:sz w:val="15"/>
            <w:szCs w:val="15"/>
          </w:rPr>
          <w:t>’</w:t>
        </w:r>
        <w:r w:rsidRPr="001F7CCA">
          <w:rPr>
            <w:rStyle w:val="Hyperlink"/>
            <w:rFonts w:ascii="Raleway" w:hAnsi="Raleway"/>
            <w:sz w:val="15"/>
            <w:szCs w:val="15"/>
          </w:rPr>
          <w:t>adoption internationale</w:t>
        </w:r>
      </w:hyperlink>
      <w:r w:rsidRPr="001E3DBF">
        <w:rPr>
          <w:rFonts w:ascii="Raleway" w:hAnsi="Raleway"/>
          <w:sz w:val="15"/>
          <w:szCs w:val="15"/>
        </w:rPr>
        <w:t xml:space="preserve">). </w:t>
      </w:r>
    </w:p>
  </w:footnote>
  <w:footnote w:id="199">
    <w:p w14:paraId="1F32722B" w14:textId="5D39899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Suisse (site web de l</w:t>
      </w:r>
      <w:r>
        <w:rPr>
          <w:rFonts w:ascii="Raleway" w:hAnsi="Raleway"/>
          <w:sz w:val="15"/>
          <w:szCs w:val="15"/>
        </w:rPr>
        <w:t>’</w:t>
      </w:r>
      <w:r w:rsidRPr="001E3DBF">
        <w:rPr>
          <w:rFonts w:ascii="Raleway" w:hAnsi="Raleway"/>
          <w:sz w:val="15"/>
          <w:szCs w:val="15"/>
        </w:rPr>
        <w:t xml:space="preserve">Autorité centrale : </w:t>
      </w:r>
      <w:hyperlink r:id="rId112" w:history="1">
        <w:r w:rsidRPr="001F7CCA">
          <w:rPr>
            <w:rStyle w:val="Hyperlink"/>
            <w:rFonts w:ascii="Raleway" w:hAnsi="Raleway"/>
            <w:sz w:val="15"/>
            <w:szCs w:val="15"/>
          </w:rPr>
          <w:t>Émoluments en matière d</w:t>
        </w:r>
        <w:r>
          <w:rPr>
            <w:rStyle w:val="Hyperlink"/>
            <w:rFonts w:ascii="Raleway" w:hAnsi="Raleway"/>
            <w:sz w:val="15"/>
            <w:szCs w:val="15"/>
          </w:rPr>
          <w:t>’</w:t>
        </w:r>
        <w:r w:rsidRPr="001F7CCA">
          <w:rPr>
            <w:rStyle w:val="Hyperlink"/>
            <w:rFonts w:ascii="Raleway" w:hAnsi="Raleway"/>
            <w:sz w:val="15"/>
            <w:szCs w:val="15"/>
          </w:rPr>
          <w:t>adoption internationale</w:t>
        </w:r>
      </w:hyperlink>
      <w:r w:rsidRPr="001E3DBF">
        <w:rPr>
          <w:rFonts w:ascii="Raleway" w:hAnsi="Raleway"/>
          <w:sz w:val="15"/>
          <w:szCs w:val="15"/>
        </w:rPr>
        <w:t>).</w:t>
      </w:r>
    </w:p>
  </w:footnote>
  <w:footnote w:id="200">
    <w:p w14:paraId="16E679A5" w14:textId="0D30885F" w:rsidR="00974DA5" w:rsidRPr="00DD2894" w:rsidRDefault="00974DA5" w:rsidP="00CD1418">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DD2894">
        <w:rPr>
          <w:rFonts w:ascii="Raleway" w:hAnsi="Raleway"/>
          <w:sz w:val="15"/>
          <w:szCs w:val="15"/>
          <w:lang w:val="it-IT"/>
        </w:rPr>
        <w:t xml:space="preserve"> </w:t>
      </w:r>
      <w:r w:rsidRPr="00DD2894">
        <w:rPr>
          <w:rFonts w:ascii="Raleway" w:hAnsi="Raleway"/>
          <w:sz w:val="15"/>
          <w:szCs w:val="15"/>
          <w:lang w:val="it-IT"/>
        </w:rPr>
        <w:tab/>
        <w:t>Bulgarie (Profil d’État EO (2024), Q. 33(f)).</w:t>
      </w:r>
    </w:p>
  </w:footnote>
  <w:footnote w:id="201">
    <w:p w14:paraId="4325BD2A" w14:textId="1CC16206" w:rsidR="00974DA5" w:rsidRPr="001E3DBF" w:rsidRDefault="00974DA5" w:rsidP="00F627D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(Colombie-Britannique) (</w:t>
      </w:r>
      <w:hyperlink r:id="rId113" w:history="1">
        <w:r w:rsidRPr="001E3DBF">
          <w:rPr>
            <w:rStyle w:val="Hyperlink"/>
            <w:rFonts w:ascii="Raleway" w:hAnsi="Raleway"/>
            <w:i/>
            <w:iCs/>
            <w:sz w:val="15"/>
            <w:szCs w:val="15"/>
          </w:rPr>
          <w:t>Adoption Agency Regulation</w:t>
        </w:r>
      </w:hyperlink>
      <w:r w:rsidRPr="001E3DBF">
        <w:rPr>
          <w:rFonts w:ascii="Raleway" w:hAnsi="Raleway"/>
          <w:sz w:val="15"/>
          <w:szCs w:val="15"/>
        </w:rPr>
        <w:t xml:space="preserve"> (</w:t>
      </w:r>
      <w:r>
        <w:rPr>
          <w:rFonts w:ascii="Raleway" w:hAnsi="Raleway"/>
          <w:sz w:val="15"/>
          <w:szCs w:val="15"/>
        </w:rPr>
        <w:t>règlement sur les</w:t>
      </w:r>
      <w:r w:rsidRPr="001E3DBF">
        <w:rPr>
          <w:rFonts w:ascii="Raleway" w:hAnsi="Raleway"/>
          <w:sz w:val="15"/>
          <w:szCs w:val="15"/>
        </w:rPr>
        <w:t xml:space="preserve"> agences d</w:t>
      </w:r>
      <w:r>
        <w:rPr>
          <w:rFonts w:ascii="Raleway" w:hAnsi="Raleway"/>
          <w:sz w:val="15"/>
          <w:szCs w:val="15"/>
        </w:rPr>
        <w:t>’</w:t>
      </w:r>
      <w:r w:rsidRPr="001E3DBF">
        <w:rPr>
          <w:rFonts w:ascii="Raleway" w:hAnsi="Raleway"/>
          <w:sz w:val="15"/>
          <w:szCs w:val="15"/>
        </w:rPr>
        <w:t xml:space="preserve">adoption de 1996), </w:t>
      </w:r>
      <w:r>
        <w:rPr>
          <w:rFonts w:ascii="Raleway" w:hAnsi="Raleway"/>
          <w:sz w:val="15"/>
          <w:szCs w:val="15"/>
        </w:rPr>
        <w:t>section</w:t>
      </w:r>
      <w:r w:rsidRPr="001E3DBF">
        <w:rPr>
          <w:rFonts w:ascii="Raleway" w:hAnsi="Raleway"/>
          <w:sz w:val="15"/>
          <w:szCs w:val="15"/>
        </w:rPr>
        <w:t> 10(d)).</w:t>
      </w:r>
    </w:p>
  </w:footnote>
  <w:footnote w:id="202">
    <w:p w14:paraId="6389D4E3" w14:textId="77777777" w:rsidR="000F7947" w:rsidRPr="007B4642" w:rsidRDefault="000F7947" w:rsidP="000F7947">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7B4642">
        <w:rPr>
          <w:rFonts w:ascii="Raleway" w:hAnsi="Raleway"/>
          <w:sz w:val="15"/>
          <w:szCs w:val="15"/>
          <w:lang w:val="it-IT"/>
        </w:rPr>
        <w:t xml:space="preserve"> </w:t>
      </w:r>
      <w:r w:rsidRPr="007B4642">
        <w:rPr>
          <w:rFonts w:ascii="Raleway" w:hAnsi="Raleway"/>
          <w:sz w:val="15"/>
          <w:szCs w:val="15"/>
          <w:lang w:val="it-IT"/>
        </w:rPr>
        <w:tab/>
        <w:t>Chili (Profil d’État EO (2025), Q. 33(f)).</w:t>
      </w:r>
    </w:p>
  </w:footnote>
  <w:footnote w:id="203">
    <w:p w14:paraId="0A0028CF" w14:textId="7F2C941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Colombie (Code de l</w:t>
      </w:r>
      <w:r>
        <w:rPr>
          <w:rFonts w:ascii="Raleway" w:hAnsi="Raleway"/>
          <w:sz w:val="15"/>
          <w:szCs w:val="15"/>
        </w:rPr>
        <w:t>’</w:t>
      </w:r>
      <w:r w:rsidRPr="001E3DBF">
        <w:rPr>
          <w:rFonts w:ascii="Raleway" w:hAnsi="Raleway"/>
          <w:sz w:val="15"/>
          <w:szCs w:val="15"/>
        </w:rPr>
        <w:t>enfance et de l</w:t>
      </w:r>
      <w:r>
        <w:rPr>
          <w:rFonts w:ascii="Raleway" w:hAnsi="Raleway"/>
          <w:sz w:val="15"/>
          <w:szCs w:val="15"/>
        </w:rPr>
        <w:t>’</w:t>
      </w:r>
      <w:r w:rsidRPr="001E3DBF">
        <w:rPr>
          <w:rFonts w:ascii="Raleway" w:hAnsi="Raleway"/>
          <w:sz w:val="15"/>
          <w:szCs w:val="15"/>
        </w:rPr>
        <w:t>adolescenc</w:t>
      </w:r>
      <w:r>
        <w:rPr>
          <w:rFonts w:ascii="Raleway" w:hAnsi="Raleway"/>
          <w:sz w:val="15"/>
          <w:szCs w:val="15"/>
        </w:rPr>
        <w:t xml:space="preserve">e, loi No 1098 de 2006, </w:t>
      </w:r>
      <w:r>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_Ref231311461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114</w:t>
      </w:r>
      <w:r>
        <w:rPr>
          <w:rFonts w:ascii="Raleway" w:hAnsi="Raleway"/>
          <w:sz w:val="15"/>
          <w:szCs w:val="15"/>
        </w:rPr>
        <w:fldChar w:fldCharType="end"/>
      </w:r>
      <w:r>
        <w:rPr>
          <w:rFonts w:ascii="Raleway" w:hAnsi="Raleway"/>
          <w:sz w:val="15"/>
          <w:szCs w:val="15"/>
        </w:rPr>
        <w:t>, art. </w:t>
      </w:r>
      <w:r w:rsidRPr="001E3DBF">
        <w:rPr>
          <w:rFonts w:ascii="Raleway" w:hAnsi="Raleway"/>
          <w:sz w:val="15"/>
          <w:szCs w:val="15"/>
        </w:rPr>
        <w:t xml:space="preserve">73(3). </w:t>
      </w:r>
    </w:p>
  </w:footnote>
  <w:footnote w:id="204">
    <w:p w14:paraId="54544AE5" w14:textId="6B4987F4" w:rsidR="00EE3477" w:rsidRPr="001E3DBF" w:rsidRDefault="00EE3477" w:rsidP="00EE347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sz w:val="15"/>
          <w:szCs w:val="15"/>
        </w:rPr>
        <w:t xml:space="preserve">Espagne (règlement sur l’adoption internationale, Décret royal No 573/2023 du 4 juillet 2023,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 xml:space="preserve">, </w:t>
      </w:r>
      <w:r w:rsidRPr="001E3DBF">
        <w:rPr>
          <w:rFonts w:ascii="Raleway" w:hAnsi="Raleway"/>
          <w:sz w:val="15"/>
          <w:szCs w:val="15"/>
        </w:rPr>
        <w:t>art. 28).</w:t>
      </w:r>
    </w:p>
  </w:footnote>
  <w:footnote w:id="205">
    <w:p w14:paraId="40CA1559" w14:textId="77777777" w:rsidR="00EE3477" w:rsidRPr="001E3DBF" w:rsidRDefault="00EE3477" w:rsidP="00EE347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Espagne (Profil d</w:t>
      </w:r>
      <w:r>
        <w:rPr>
          <w:rFonts w:ascii="Raleway" w:hAnsi="Raleway"/>
          <w:sz w:val="15"/>
          <w:szCs w:val="15"/>
        </w:rPr>
        <w:t>’</w:t>
      </w:r>
      <w:r w:rsidRPr="001E3DBF">
        <w:rPr>
          <w:rFonts w:ascii="Raleway" w:hAnsi="Raleway"/>
          <w:sz w:val="15"/>
          <w:szCs w:val="15"/>
        </w:rPr>
        <w:t>État EA (2024), Q. 29(f)).</w:t>
      </w:r>
    </w:p>
  </w:footnote>
  <w:footnote w:id="206">
    <w:p w14:paraId="020478FF" w14:textId="307F1F1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(Profil d</w:t>
      </w:r>
      <w:r>
        <w:rPr>
          <w:rFonts w:ascii="Raleway" w:hAnsi="Raleway"/>
          <w:sz w:val="15"/>
          <w:szCs w:val="15"/>
        </w:rPr>
        <w:t>’</w:t>
      </w:r>
      <w:r w:rsidRPr="001E3DBF">
        <w:rPr>
          <w:rFonts w:ascii="Raleway" w:hAnsi="Raleway"/>
          <w:sz w:val="15"/>
          <w:szCs w:val="15"/>
        </w:rPr>
        <w:t xml:space="preserve">État électronique EA (2026), Q. 29(a) et </w:t>
      </w:r>
      <w:hyperlink r:id="rId114" w:history="1">
        <w:r>
          <w:rPr>
            <w:rStyle w:val="Hyperlink"/>
            <w:rFonts w:ascii="Raleway" w:hAnsi="Raleway"/>
            <w:color w:val="024987"/>
            <w:sz w:val="15"/>
            <w:szCs w:val="15"/>
          </w:rPr>
          <w:t>r</w:t>
        </w:r>
        <w:r w:rsidRPr="001E3DBF">
          <w:rPr>
            <w:rStyle w:val="Hyperlink"/>
            <w:rFonts w:ascii="Raleway" w:hAnsi="Raleway"/>
            <w:color w:val="024987"/>
            <w:sz w:val="15"/>
            <w:szCs w:val="15"/>
          </w:rPr>
          <w:t>èglement portant réorganisation de la Commission de l</w:t>
        </w:r>
        <w:r>
          <w:rPr>
            <w:rStyle w:val="Hyperlink"/>
            <w:rFonts w:ascii="Raleway" w:hAnsi="Raleway"/>
            <w:color w:val="024987"/>
            <w:sz w:val="15"/>
            <w:szCs w:val="15"/>
          </w:rPr>
          <w:t>’</w:t>
        </w:r>
        <w:r w:rsidRPr="001E3DBF">
          <w:rPr>
            <w:rStyle w:val="Hyperlink"/>
            <w:rFonts w:ascii="Raleway" w:hAnsi="Raleway"/>
            <w:color w:val="024987"/>
            <w:sz w:val="15"/>
            <w:szCs w:val="15"/>
          </w:rPr>
          <w:t>adoption internationale</w:t>
        </w:r>
      </w:hyperlink>
      <w:r w:rsidRPr="001E3DBF">
        <w:rPr>
          <w:rFonts w:ascii="Raleway" w:hAnsi="Raleway"/>
          <w:sz w:val="15"/>
          <w:szCs w:val="15"/>
        </w:rPr>
        <w:t>, D.P.R 2007/108, art. 14(3))</w:t>
      </w:r>
      <w:r>
        <w:rPr>
          <w:rFonts w:ascii="Raleway" w:hAnsi="Raleway"/>
          <w:sz w:val="15"/>
          <w:szCs w:val="15"/>
        </w:rPr>
        <w:t>.</w:t>
      </w:r>
    </w:p>
  </w:footnote>
  <w:footnote w:id="207">
    <w:p w14:paraId="76FBB1F9" w14:textId="0C6BE33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Suède (Profil d</w:t>
      </w:r>
      <w:r>
        <w:rPr>
          <w:rFonts w:ascii="Raleway" w:hAnsi="Raleway"/>
          <w:sz w:val="15"/>
          <w:szCs w:val="15"/>
        </w:rPr>
        <w:t>’</w:t>
      </w:r>
      <w:r w:rsidRPr="001E3DBF">
        <w:rPr>
          <w:rFonts w:ascii="Raleway" w:hAnsi="Raleway"/>
          <w:sz w:val="15"/>
          <w:szCs w:val="15"/>
        </w:rPr>
        <w:t>État électronique EA (2026), Q. 29(f)).</w:t>
      </w:r>
    </w:p>
  </w:footnote>
  <w:footnote w:id="208">
    <w:p w14:paraId="30E7883A" w14:textId="2EEBF3D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Suisse (Profil d</w:t>
      </w:r>
      <w:r>
        <w:rPr>
          <w:rFonts w:ascii="Raleway" w:hAnsi="Raleway"/>
          <w:sz w:val="15"/>
          <w:szCs w:val="15"/>
        </w:rPr>
        <w:t>’</w:t>
      </w:r>
      <w:r w:rsidRPr="001E3DBF">
        <w:rPr>
          <w:rFonts w:ascii="Raleway" w:hAnsi="Raleway"/>
          <w:sz w:val="15"/>
          <w:szCs w:val="15"/>
        </w:rPr>
        <w:t xml:space="preserve">État électronique EA (2026), Q. 29(f)). </w:t>
      </w:r>
    </w:p>
  </w:footnote>
  <w:footnote w:id="209">
    <w:p w14:paraId="2900757E" w14:textId="118DB1E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307.</w:t>
      </w:r>
    </w:p>
  </w:footnote>
  <w:footnote w:id="210">
    <w:p w14:paraId="11A83340" w14:textId="222C981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(Profil d</w:t>
      </w:r>
      <w:r>
        <w:rPr>
          <w:rFonts w:ascii="Raleway" w:hAnsi="Raleway"/>
          <w:sz w:val="15"/>
          <w:szCs w:val="15"/>
        </w:rPr>
        <w:t>’</w:t>
      </w:r>
      <w:r w:rsidRPr="001E3DBF">
        <w:rPr>
          <w:rFonts w:ascii="Raleway" w:hAnsi="Raleway"/>
          <w:sz w:val="15"/>
          <w:szCs w:val="15"/>
        </w:rPr>
        <w:t>État EA (2025), Q. 29(b)).</w:t>
      </w:r>
    </w:p>
  </w:footnote>
  <w:footnote w:id="211">
    <w:p w14:paraId="10738AFA" w14:textId="0EDCCED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Côte d</w:t>
      </w:r>
      <w:r>
        <w:rPr>
          <w:rFonts w:ascii="Raleway" w:hAnsi="Raleway"/>
          <w:sz w:val="15"/>
          <w:szCs w:val="15"/>
        </w:rPr>
        <w:t>’</w:t>
      </w:r>
      <w:r w:rsidRPr="001E3DBF">
        <w:rPr>
          <w:rFonts w:ascii="Raleway" w:hAnsi="Raleway"/>
          <w:sz w:val="15"/>
          <w:szCs w:val="15"/>
        </w:rPr>
        <w:t>Ivoire (</w:t>
      </w:r>
      <w:r>
        <w:rPr>
          <w:rFonts w:ascii="Raleway" w:hAnsi="Raleway"/>
          <w:sz w:val="15"/>
          <w:szCs w:val="15"/>
        </w:rPr>
        <w:t>a</w:t>
      </w:r>
      <w:r w:rsidRPr="00643A99">
        <w:rPr>
          <w:rFonts w:ascii="Raleway" w:hAnsi="Raleway"/>
          <w:sz w:val="15"/>
          <w:szCs w:val="15"/>
        </w:rPr>
        <w:t>rrêté Nº 00104/MFFE/CAB du 18 juin 2024 portant la tarification des prestations liées à l</w:t>
      </w:r>
      <w:r>
        <w:rPr>
          <w:rFonts w:ascii="Raleway" w:hAnsi="Raleway"/>
          <w:sz w:val="15"/>
          <w:szCs w:val="15"/>
        </w:rPr>
        <w:t>’</w:t>
      </w:r>
      <w:r w:rsidRPr="00643A99">
        <w:rPr>
          <w:rFonts w:ascii="Raleway" w:hAnsi="Raleway"/>
          <w:sz w:val="15"/>
          <w:szCs w:val="15"/>
        </w:rPr>
        <w:t>Adoption</w:t>
      </w:r>
      <w:r w:rsidRPr="001E3DBF">
        <w:rPr>
          <w:rFonts w:ascii="Raleway" w:hAnsi="Raleway"/>
          <w:i/>
          <w:sz w:val="15"/>
          <w:szCs w:val="15"/>
        </w:rPr>
        <w:t xml:space="preserve">. </w:t>
      </w:r>
      <w:r w:rsidRPr="001E3DBF">
        <w:rPr>
          <w:rFonts w:ascii="Raleway" w:hAnsi="Raleway"/>
          <w:sz w:val="15"/>
          <w:szCs w:val="15"/>
        </w:rPr>
        <w:t>La version précédente datait de 2022).</w:t>
      </w:r>
    </w:p>
  </w:footnote>
  <w:footnote w:id="212">
    <w:p w14:paraId="46C12CE3" w14:textId="071C8119" w:rsidR="00EE3477" w:rsidRPr="001E3DBF" w:rsidRDefault="00EE3477" w:rsidP="00EE347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sz w:val="15"/>
          <w:szCs w:val="15"/>
        </w:rPr>
        <w:t xml:space="preserve">Espagne (règlement sur l’adoption internationale, Décret royal No 573/2023 du 4 juillet 2023,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w:t>
      </w:r>
      <w:r w:rsidRPr="001E3DBF">
        <w:rPr>
          <w:rFonts w:ascii="Raleway" w:hAnsi="Raleway"/>
          <w:sz w:val="15"/>
          <w:szCs w:val="15"/>
        </w:rPr>
        <w:t xml:space="preserve"> art. 24).</w:t>
      </w:r>
    </w:p>
  </w:footnote>
  <w:footnote w:id="213">
    <w:p w14:paraId="02993479" w14:textId="77777777" w:rsidR="00C40F59" w:rsidRPr="001E3DBF" w:rsidRDefault="00C40F59" w:rsidP="00C40F5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(site web de l</w:t>
      </w:r>
      <w:r>
        <w:rPr>
          <w:rFonts w:ascii="Raleway" w:hAnsi="Raleway"/>
          <w:sz w:val="15"/>
          <w:szCs w:val="15"/>
        </w:rPr>
        <w:t>’</w:t>
      </w:r>
      <w:r w:rsidRPr="001E3DBF">
        <w:rPr>
          <w:rFonts w:ascii="Raleway" w:hAnsi="Raleway"/>
          <w:sz w:val="15"/>
          <w:szCs w:val="15"/>
        </w:rPr>
        <w:t>Autorité centrale :</w:t>
      </w:r>
      <w:r>
        <w:rPr>
          <w:rFonts w:ascii="Raleway" w:hAnsi="Raleway"/>
          <w:sz w:val="15"/>
          <w:szCs w:val="15"/>
        </w:rPr>
        <w:t xml:space="preserve"> </w:t>
      </w:r>
      <w:hyperlink r:id="rId115" w:history="1">
        <w:r w:rsidRPr="00F627D9">
          <w:rPr>
            <w:rStyle w:val="Hyperlink"/>
            <w:rFonts w:ascii="Raleway" w:hAnsi="Raleway"/>
            <w:sz w:val="15"/>
            <w:szCs w:val="15"/>
          </w:rPr>
          <w:t>page d</w:t>
        </w:r>
        <w:r>
          <w:rPr>
            <w:rStyle w:val="Hyperlink"/>
            <w:rFonts w:ascii="Raleway" w:hAnsi="Raleway"/>
            <w:sz w:val="15"/>
            <w:szCs w:val="15"/>
          </w:rPr>
          <w:t>’</w:t>
        </w:r>
        <w:r w:rsidRPr="00F627D9">
          <w:rPr>
            <w:rStyle w:val="Hyperlink"/>
            <w:rFonts w:ascii="Raleway" w:hAnsi="Raleway"/>
            <w:sz w:val="15"/>
            <w:szCs w:val="15"/>
          </w:rPr>
          <w:t>accueil</w:t>
        </w:r>
      </w:hyperlink>
      <w:r w:rsidRPr="001E3DBF">
        <w:rPr>
          <w:rFonts w:ascii="Raleway" w:hAnsi="Raleway"/>
          <w:sz w:val="15"/>
          <w:szCs w:val="15"/>
        </w:rPr>
        <w:t>).</w:t>
      </w:r>
    </w:p>
  </w:footnote>
  <w:footnote w:id="214">
    <w:p w14:paraId="7E9B56C5" w14:textId="0D931D8C" w:rsidR="00974DA5" w:rsidRPr="001E3DBF" w:rsidRDefault="00974DA5" w:rsidP="00CD1418">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w:t>
      </w:r>
      <w:hyperlink r:id="rId116" w:history="1">
        <w:r w:rsidRPr="001E3DBF">
          <w:rPr>
            <w:rStyle w:val="Hyperlink"/>
            <w:rFonts w:ascii="Raleway" w:hAnsi="Raleway"/>
            <w:i/>
            <w:sz w:val="15"/>
            <w:szCs w:val="15"/>
          </w:rPr>
          <w:t>Delibera contenente i criteri per l</w:t>
        </w:r>
        <w:r>
          <w:rPr>
            <w:rStyle w:val="Hyperlink"/>
            <w:rFonts w:ascii="Raleway" w:hAnsi="Raleway"/>
            <w:i/>
            <w:sz w:val="15"/>
            <w:szCs w:val="15"/>
          </w:rPr>
          <w:t>’</w:t>
        </w:r>
        <w:r w:rsidRPr="001E3DBF">
          <w:rPr>
            <w:rStyle w:val="Hyperlink"/>
            <w:rFonts w:ascii="Raleway" w:hAnsi="Raleway"/>
            <w:i/>
            <w:sz w:val="15"/>
            <w:szCs w:val="15"/>
          </w:rPr>
          <w:t>autorizzazione all</w:t>
        </w:r>
        <w:r>
          <w:rPr>
            <w:rStyle w:val="Hyperlink"/>
            <w:rFonts w:ascii="Raleway" w:hAnsi="Raleway"/>
            <w:i/>
            <w:sz w:val="15"/>
            <w:szCs w:val="15"/>
          </w:rPr>
          <w:t>’</w:t>
        </w:r>
        <w:r w:rsidRPr="001E3DBF">
          <w:rPr>
            <w:rStyle w:val="Hyperlink"/>
            <w:rFonts w:ascii="Raleway" w:hAnsi="Raleway"/>
            <w:i/>
            <w:sz w:val="15"/>
            <w:szCs w:val="15"/>
          </w:rPr>
          <w:t>attività degli enti</w:t>
        </w:r>
      </w:hyperlink>
      <w:r>
        <w:rPr>
          <w:rFonts w:ascii="Raleway" w:hAnsi="Raleway"/>
          <w:sz w:val="15"/>
          <w:szCs w:val="15"/>
        </w:rPr>
        <w:t xml:space="preserve"> (r</w:t>
      </w:r>
      <w:r w:rsidRPr="001E3DBF">
        <w:rPr>
          <w:rFonts w:ascii="Raleway" w:hAnsi="Raleway"/>
          <w:sz w:val="15"/>
          <w:szCs w:val="15"/>
        </w:rPr>
        <w:t xml:space="preserve">ésolution fixant les critères de fonctionnement des autorités), résolution No 13/2008/SG, art. 17 et </w:t>
      </w:r>
      <w:hyperlink r:id="rId117" w:history="1">
        <w:r w:rsidRPr="001E3DBF">
          <w:rPr>
            <w:rStyle w:val="Hyperlink"/>
            <w:rFonts w:ascii="Raleway" w:hAnsi="Raleway"/>
            <w:i/>
            <w:sz w:val="15"/>
            <w:szCs w:val="15"/>
          </w:rPr>
          <w:t>Nuove Linee Guida per gli Enti Autorizzati allo svolgimento di procedure di adozione internazionale</w:t>
        </w:r>
      </w:hyperlink>
      <w:r w:rsidRPr="001E3DBF">
        <w:rPr>
          <w:rFonts w:ascii="Raleway" w:hAnsi="Raleway"/>
          <w:sz w:val="15"/>
          <w:szCs w:val="15"/>
        </w:rPr>
        <w:t xml:space="preserve"> (Nouvelles lignes directrices pour les agences agréées en matière d</w:t>
      </w:r>
      <w:r>
        <w:rPr>
          <w:rFonts w:ascii="Raleway" w:hAnsi="Raleway"/>
          <w:sz w:val="15"/>
          <w:szCs w:val="15"/>
        </w:rPr>
        <w:t>’</w:t>
      </w:r>
      <w:r w:rsidRPr="001E3DBF">
        <w:rPr>
          <w:rFonts w:ascii="Raleway" w:hAnsi="Raleway"/>
          <w:sz w:val="15"/>
          <w:szCs w:val="15"/>
        </w:rPr>
        <w:t>adoption), 2021).</w:t>
      </w:r>
    </w:p>
  </w:footnote>
  <w:footnote w:id="215">
    <w:p w14:paraId="3BF19A93" w14:textId="06A27B7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Suisse (</w:t>
      </w:r>
      <w:hyperlink r:id="rId118" w:history="1">
        <w:r>
          <w:rPr>
            <w:rStyle w:val="Hyperlink"/>
            <w:rFonts w:ascii="Raleway" w:hAnsi="Raleway"/>
            <w:sz w:val="15"/>
            <w:szCs w:val="15"/>
          </w:rPr>
          <w:t>o</w:t>
        </w:r>
        <w:r w:rsidRPr="00792835">
          <w:rPr>
            <w:rStyle w:val="Hyperlink"/>
            <w:rFonts w:ascii="Raleway" w:hAnsi="Raleway"/>
            <w:sz w:val="15"/>
            <w:szCs w:val="15"/>
          </w:rPr>
          <w:t>rdonnance du 29 juin 2011 sur l</w:t>
        </w:r>
        <w:r>
          <w:rPr>
            <w:rStyle w:val="Hyperlink"/>
            <w:rFonts w:ascii="Raleway" w:hAnsi="Raleway"/>
            <w:sz w:val="15"/>
            <w:szCs w:val="15"/>
          </w:rPr>
          <w:t>’</w:t>
        </w:r>
        <w:r w:rsidRPr="00792835">
          <w:rPr>
            <w:rStyle w:val="Hyperlink"/>
            <w:rFonts w:ascii="Raleway" w:hAnsi="Raleway"/>
            <w:sz w:val="15"/>
            <w:szCs w:val="15"/>
          </w:rPr>
          <w:t>adoption</w:t>
        </w:r>
      </w:hyperlink>
      <w:r w:rsidRPr="001E3DBF">
        <w:rPr>
          <w:rFonts w:ascii="Raleway" w:hAnsi="Raleway"/>
          <w:sz w:val="15"/>
          <w:szCs w:val="15"/>
        </w:rPr>
        <w:t>, art. 13).</w:t>
      </w:r>
    </w:p>
  </w:footnote>
  <w:footnote w:id="216">
    <w:p w14:paraId="18058D2E" w14:textId="2A53D75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Tableau sur les aspects financiers</w:t>
      </w:r>
      <w:r>
        <w:rPr>
          <w:rFonts w:ascii="Raleway" w:hAnsi="Raleway"/>
          <w:sz w:val="15"/>
          <w:szCs w:val="15"/>
        </w:rPr>
        <w:t> </w:t>
      </w:r>
      <w:r w:rsidRPr="001E3DBF">
        <w:rPr>
          <w:rFonts w:ascii="Raleway" w:hAnsi="Raleway"/>
          <w:sz w:val="15"/>
          <w:szCs w:val="15"/>
        </w:rPr>
        <w:t xml:space="preserve">;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 8</w:t>
      </w:r>
      <w:r>
        <w:rPr>
          <w:rFonts w:ascii="Raleway" w:hAnsi="Raleway"/>
          <w:sz w:val="15"/>
          <w:szCs w:val="15"/>
        </w:rPr>
        <w:t> </w:t>
      </w:r>
      <w:r w:rsidRPr="001E3DBF">
        <w:rPr>
          <w:rFonts w:ascii="Raleway" w:hAnsi="Raleway"/>
          <w:sz w:val="15"/>
          <w:szCs w:val="15"/>
        </w:rPr>
        <w:t xml:space="preserve">; CS de 2000,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_Ref142552740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32</w:t>
      </w:r>
      <w:r w:rsidRPr="001E3DBF">
        <w:rPr>
          <w:rFonts w:ascii="Raleway" w:hAnsi="Raleway"/>
          <w:sz w:val="15"/>
          <w:szCs w:val="15"/>
        </w:rPr>
        <w:fldChar w:fldCharType="end"/>
      </w:r>
      <w:r w:rsidRPr="001E3DBF">
        <w:rPr>
          <w:rFonts w:ascii="Raleway" w:hAnsi="Raleway"/>
          <w:sz w:val="15"/>
          <w:szCs w:val="15"/>
        </w:rPr>
        <w:t>, C&amp;R. No 8.</w:t>
      </w:r>
    </w:p>
  </w:footnote>
  <w:footnote w:id="217">
    <w:p w14:paraId="73FFFD32" w14:textId="5A2BA97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Dans la plupart des États, il n</w:t>
      </w:r>
      <w:r>
        <w:rPr>
          <w:rFonts w:ascii="Raleway" w:hAnsi="Raleway"/>
          <w:sz w:val="15"/>
          <w:szCs w:val="15"/>
        </w:rPr>
        <w:t>’</w:t>
      </w:r>
      <w:r w:rsidRPr="001E3DBF">
        <w:rPr>
          <w:rFonts w:ascii="Raleway" w:hAnsi="Raleway"/>
          <w:sz w:val="15"/>
          <w:szCs w:val="15"/>
        </w:rPr>
        <w:t>est pas nécessaire d</w:t>
      </w:r>
      <w:r>
        <w:rPr>
          <w:rFonts w:ascii="Raleway" w:hAnsi="Raleway"/>
          <w:sz w:val="15"/>
          <w:szCs w:val="15"/>
        </w:rPr>
        <w:t>’</w:t>
      </w:r>
      <w:r w:rsidRPr="001E3DBF">
        <w:rPr>
          <w:rFonts w:ascii="Raleway" w:hAnsi="Raleway"/>
          <w:sz w:val="15"/>
          <w:szCs w:val="15"/>
        </w:rPr>
        <w:t>engager un avocat, l</w:t>
      </w:r>
      <w:r>
        <w:rPr>
          <w:rFonts w:ascii="Raleway" w:hAnsi="Raleway"/>
          <w:sz w:val="15"/>
          <w:szCs w:val="15"/>
        </w:rPr>
        <w:t>’</w:t>
      </w:r>
      <w:r w:rsidRPr="001E3DBF">
        <w:rPr>
          <w:rFonts w:ascii="Raleway" w:hAnsi="Raleway"/>
          <w:sz w:val="15"/>
          <w:szCs w:val="15"/>
        </w:rPr>
        <w:t>Autorité centrale et / ou l</w:t>
      </w:r>
      <w:r>
        <w:rPr>
          <w:rFonts w:ascii="Raleway" w:hAnsi="Raleway"/>
          <w:sz w:val="15"/>
          <w:szCs w:val="15"/>
        </w:rPr>
        <w:t>’</w:t>
      </w:r>
      <w:r w:rsidRPr="001E3DBF">
        <w:rPr>
          <w:rFonts w:ascii="Raleway" w:hAnsi="Raleway"/>
          <w:sz w:val="15"/>
          <w:szCs w:val="15"/>
        </w:rPr>
        <w:t>OAA fournissant les services pertinents. Néanmoins, dans certains États, un avocat peut toujours intervenir. Voir, par ex., Belgique (Profil d</w:t>
      </w:r>
      <w:r>
        <w:rPr>
          <w:rFonts w:ascii="Raleway" w:hAnsi="Raleway"/>
          <w:sz w:val="15"/>
          <w:szCs w:val="15"/>
        </w:rPr>
        <w:t>’</w:t>
      </w:r>
      <w:r w:rsidRPr="001E3DBF">
        <w:rPr>
          <w:rFonts w:ascii="Raleway" w:hAnsi="Raleway"/>
          <w:sz w:val="15"/>
          <w:szCs w:val="15"/>
        </w:rPr>
        <w:t>État EA (2025), Q. 29(a) et Tableaux sur les aspects financiers (2023)) ; Brésil (Profil d</w:t>
      </w:r>
      <w:r>
        <w:rPr>
          <w:rFonts w:ascii="Raleway" w:hAnsi="Raleway"/>
          <w:sz w:val="15"/>
          <w:szCs w:val="15"/>
        </w:rPr>
        <w:t>’</w:t>
      </w:r>
      <w:r w:rsidRPr="001E3DBF">
        <w:rPr>
          <w:rFonts w:ascii="Raleway" w:hAnsi="Raleway"/>
          <w:sz w:val="15"/>
          <w:szCs w:val="15"/>
        </w:rPr>
        <w:t>État EO (2026), Q. 33(c)) ; Burkina Faso (Profil d</w:t>
      </w:r>
      <w:r>
        <w:rPr>
          <w:rFonts w:ascii="Raleway" w:hAnsi="Raleway"/>
          <w:sz w:val="15"/>
          <w:szCs w:val="15"/>
        </w:rPr>
        <w:t>’</w:t>
      </w:r>
      <w:r w:rsidRPr="001E3DBF">
        <w:rPr>
          <w:rFonts w:ascii="Raleway" w:hAnsi="Raleway"/>
          <w:sz w:val="15"/>
          <w:szCs w:val="15"/>
        </w:rPr>
        <w:t>État EO (2022), Q. 33(b) et Tableaux sur les aspects financiers (2022)) ; Canada (Territoires du Nord-Ouest, Nunavu</w:t>
      </w:r>
      <w:r>
        <w:rPr>
          <w:rFonts w:ascii="Raleway" w:hAnsi="Raleway"/>
          <w:sz w:val="15"/>
          <w:szCs w:val="15"/>
        </w:rPr>
        <w:t>t) (Profil d’État EA (2021), Q.</w:t>
      </w:r>
      <w:r w:rsidRPr="001E3DBF">
        <w:rPr>
          <w:rFonts w:ascii="Raleway" w:hAnsi="Raleway"/>
          <w:sz w:val="15"/>
          <w:szCs w:val="15"/>
        </w:rPr>
        <w:t> </w:t>
      </w:r>
      <w:r>
        <w:rPr>
          <w:rFonts w:ascii="Raleway" w:hAnsi="Raleway"/>
          <w:sz w:val="15"/>
          <w:szCs w:val="15"/>
        </w:rPr>
        <w:t>2</w:t>
      </w:r>
      <w:r w:rsidRPr="001E3DBF">
        <w:rPr>
          <w:rFonts w:ascii="Raleway" w:hAnsi="Raleway"/>
          <w:sz w:val="15"/>
          <w:szCs w:val="15"/>
        </w:rPr>
        <w:t>9(c)) ; Canada (Saskatchewan) (Profil d</w:t>
      </w:r>
      <w:r>
        <w:rPr>
          <w:rFonts w:ascii="Raleway" w:hAnsi="Raleway"/>
          <w:sz w:val="15"/>
          <w:szCs w:val="15"/>
        </w:rPr>
        <w:t>’</w:t>
      </w:r>
      <w:r w:rsidRPr="001E3DBF">
        <w:rPr>
          <w:rFonts w:ascii="Raleway" w:hAnsi="Raleway"/>
          <w:sz w:val="15"/>
          <w:szCs w:val="15"/>
        </w:rPr>
        <w:t>État EA (2024), Q. 29(c)) ; Colombie (Tableaux sur les aspects financiers (2025)) ; Côte d</w:t>
      </w:r>
      <w:r>
        <w:rPr>
          <w:rFonts w:ascii="Raleway" w:hAnsi="Raleway"/>
          <w:sz w:val="15"/>
          <w:szCs w:val="15"/>
        </w:rPr>
        <w:t>’</w:t>
      </w:r>
      <w:r w:rsidRPr="001E3DBF">
        <w:rPr>
          <w:rFonts w:ascii="Raleway" w:hAnsi="Raleway"/>
          <w:sz w:val="15"/>
          <w:szCs w:val="15"/>
        </w:rPr>
        <w:t>Ivoire (Profil d</w:t>
      </w:r>
      <w:r>
        <w:rPr>
          <w:rFonts w:ascii="Raleway" w:hAnsi="Raleway"/>
          <w:sz w:val="15"/>
          <w:szCs w:val="15"/>
        </w:rPr>
        <w:t>’</w:t>
      </w:r>
      <w:r w:rsidRPr="001E3DBF">
        <w:rPr>
          <w:rFonts w:ascii="Raleway" w:hAnsi="Raleway"/>
          <w:sz w:val="15"/>
          <w:szCs w:val="15"/>
        </w:rPr>
        <w:t>État électronique EO (2026), Q. 33(c)) ; Costa</w:t>
      </w:r>
      <w:r>
        <w:rPr>
          <w:rFonts w:ascii="Raleway" w:hAnsi="Raleway"/>
          <w:sz w:val="15"/>
          <w:szCs w:val="15"/>
        </w:rPr>
        <w:t> </w:t>
      </w:r>
      <w:r w:rsidRPr="001E3DBF">
        <w:rPr>
          <w:rFonts w:ascii="Raleway" w:hAnsi="Raleway"/>
          <w:sz w:val="15"/>
          <w:szCs w:val="15"/>
        </w:rPr>
        <w:t>Rica (Profil d</w:t>
      </w:r>
      <w:r>
        <w:rPr>
          <w:rFonts w:ascii="Raleway" w:hAnsi="Raleway"/>
          <w:sz w:val="15"/>
          <w:szCs w:val="15"/>
        </w:rPr>
        <w:t>’</w:t>
      </w:r>
      <w:r w:rsidRPr="001E3DBF">
        <w:rPr>
          <w:rFonts w:ascii="Raleway" w:hAnsi="Raleway"/>
          <w:sz w:val="15"/>
          <w:szCs w:val="15"/>
        </w:rPr>
        <w:t>État EO (2020), Q. 33(a) et (c)) ; El Salvador (Profil d</w:t>
      </w:r>
      <w:r>
        <w:rPr>
          <w:rFonts w:ascii="Raleway" w:hAnsi="Raleway"/>
          <w:sz w:val="15"/>
          <w:szCs w:val="15"/>
        </w:rPr>
        <w:t>’</w:t>
      </w:r>
      <w:r w:rsidRPr="001E3DBF">
        <w:rPr>
          <w:rFonts w:ascii="Raleway" w:hAnsi="Raleway"/>
          <w:sz w:val="15"/>
          <w:szCs w:val="15"/>
        </w:rPr>
        <w:t>État EO (2024), Q. </w:t>
      </w:r>
      <w:r>
        <w:rPr>
          <w:rFonts w:ascii="Raleway" w:hAnsi="Raleway"/>
          <w:sz w:val="15"/>
          <w:szCs w:val="15"/>
        </w:rPr>
        <w:t>3</w:t>
      </w:r>
      <w:r w:rsidRPr="001E3DBF">
        <w:rPr>
          <w:rFonts w:ascii="Raleway" w:hAnsi="Raleway"/>
          <w:sz w:val="15"/>
          <w:szCs w:val="15"/>
        </w:rPr>
        <w:t>3(b) et Tableaux sur les aspects financiers (2020)) ; Luxembourg (Profil d</w:t>
      </w:r>
      <w:r>
        <w:rPr>
          <w:rFonts w:ascii="Raleway" w:hAnsi="Raleway"/>
          <w:sz w:val="15"/>
          <w:szCs w:val="15"/>
        </w:rPr>
        <w:t>’</w:t>
      </w:r>
      <w:r w:rsidRPr="001E3DBF">
        <w:rPr>
          <w:rFonts w:ascii="Raleway" w:hAnsi="Raleway"/>
          <w:sz w:val="15"/>
          <w:szCs w:val="15"/>
        </w:rPr>
        <w:t>État EA (2019), Q. 29(a))</w:t>
      </w:r>
      <w:r>
        <w:rPr>
          <w:rFonts w:ascii="Raleway" w:hAnsi="Raleway"/>
          <w:sz w:val="15"/>
          <w:szCs w:val="15"/>
        </w:rPr>
        <w:t xml:space="preserve"> ; </w:t>
      </w:r>
      <w:r w:rsidRPr="001E3DBF">
        <w:rPr>
          <w:rFonts w:ascii="Raleway" w:hAnsi="Raleway"/>
          <w:sz w:val="15"/>
          <w:szCs w:val="15"/>
        </w:rPr>
        <w:t>République dominicaine (Prof</w:t>
      </w:r>
      <w:r>
        <w:rPr>
          <w:rFonts w:ascii="Raleway" w:hAnsi="Raleway"/>
          <w:sz w:val="15"/>
          <w:szCs w:val="15"/>
        </w:rPr>
        <w:t>il d’État EO (2020), Q. 33(c)).</w:t>
      </w:r>
    </w:p>
  </w:footnote>
  <w:footnote w:id="218">
    <w:p w14:paraId="24796B8C" w14:textId="5178C82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Danemark (Profil d</w:t>
      </w:r>
      <w:r>
        <w:rPr>
          <w:rFonts w:ascii="Raleway" w:hAnsi="Raleway"/>
          <w:sz w:val="15"/>
          <w:szCs w:val="15"/>
        </w:rPr>
        <w:t>’</w:t>
      </w:r>
      <w:r w:rsidRPr="001E3DBF">
        <w:rPr>
          <w:rFonts w:ascii="Raleway" w:hAnsi="Raleway"/>
          <w:sz w:val="15"/>
          <w:szCs w:val="15"/>
        </w:rPr>
        <w:t>État EA (2025), Q. 29(b)).</w:t>
      </w:r>
    </w:p>
  </w:footnote>
  <w:footnote w:id="219">
    <w:p w14:paraId="64F2B627" w14:textId="45C32581" w:rsidR="00C40F59" w:rsidRPr="001E3DBF" w:rsidRDefault="00C40F59" w:rsidP="00C40F5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sz w:val="15"/>
          <w:szCs w:val="15"/>
        </w:rPr>
        <w:t xml:space="preserve">Espagne (règlement sur l’adoption internationale, Décret royal No 573/2023 du 4 juillet 2023,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w:t>
      </w:r>
      <w:r w:rsidRPr="001E3DBF">
        <w:rPr>
          <w:rFonts w:ascii="Raleway" w:hAnsi="Raleway"/>
          <w:sz w:val="15"/>
          <w:szCs w:val="15"/>
        </w:rPr>
        <w:t xml:space="preserve"> art. 24).</w:t>
      </w:r>
    </w:p>
  </w:footnote>
  <w:footnote w:id="220">
    <w:p w14:paraId="30CC2E83" w14:textId="7189980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w:t>
      </w:r>
      <w:hyperlink r:id="rId119" w:history="1">
        <w:r>
          <w:rPr>
            <w:rStyle w:val="Hyperlink"/>
            <w:rFonts w:ascii="Raleway" w:hAnsi="Raleway"/>
            <w:sz w:val="15"/>
            <w:szCs w:val="15"/>
          </w:rPr>
          <w:t>a</w:t>
        </w:r>
        <w:r w:rsidRPr="00792835">
          <w:rPr>
            <w:rStyle w:val="Hyperlink"/>
            <w:rFonts w:ascii="Raleway" w:hAnsi="Raleway"/>
            <w:sz w:val="15"/>
            <w:szCs w:val="15"/>
          </w:rPr>
          <w:t>rrêté du 28 avril 2014 fixant le modèle du décompte des sommes qui seront demandées aux candidats à l</w:t>
        </w:r>
        <w:r>
          <w:rPr>
            <w:rStyle w:val="Hyperlink"/>
            <w:rFonts w:ascii="Raleway" w:hAnsi="Raleway"/>
            <w:sz w:val="15"/>
            <w:szCs w:val="15"/>
          </w:rPr>
          <w:t>’</w:t>
        </w:r>
        <w:r w:rsidRPr="00792835">
          <w:rPr>
            <w:rStyle w:val="Hyperlink"/>
            <w:rFonts w:ascii="Raleway" w:hAnsi="Raleway"/>
            <w:sz w:val="15"/>
            <w:szCs w:val="15"/>
          </w:rPr>
          <w:t>adoption d</w:t>
        </w:r>
        <w:r>
          <w:rPr>
            <w:rStyle w:val="Hyperlink"/>
            <w:rFonts w:ascii="Raleway" w:hAnsi="Raleway"/>
            <w:sz w:val="15"/>
            <w:szCs w:val="15"/>
          </w:rPr>
          <w:t>’</w:t>
        </w:r>
        <w:r w:rsidRPr="00792835">
          <w:rPr>
            <w:rStyle w:val="Hyperlink"/>
            <w:rFonts w:ascii="Raleway" w:hAnsi="Raleway"/>
            <w:sz w:val="15"/>
            <w:szCs w:val="15"/>
          </w:rPr>
          <w:t>un mineur originaire d</w:t>
        </w:r>
        <w:r>
          <w:rPr>
            <w:rStyle w:val="Hyperlink"/>
            <w:rFonts w:ascii="Raleway" w:hAnsi="Raleway"/>
            <w:sz w:val="15"/>
            <w:szCs w:val="15"/>
          </w:rPr>
          <w:t>’</w:t>
        </w:r>
        <w:r w:rsidRPr="00792835">
          <w:rPr>
            <w:rStyle w:val="Hyperlink"/>
            <w:rFonts w:ascii="Raleway" w:hAnsi="Raleway"/>
            <w:sz w:val="15"/>
            <w:szCs w:val="15"/>
          </w:rPr>
          <w:t>un pays étranger par un organisme autorisé et habilité pour l</w:t>
        </w:r>
        <w:r>
          <w:rPr>
            <w:rStyle w:val="Hyperlink"/>
            <w:rFonts w:ascii="Raleway" w:hAnsi="Raleway"/>
            <w:sz w:val="15"/>
            <w:szCs w:val="15"/>
          </w:rPr>
          <w:t>’</w:t>
        </w:r>
        <w:r w:rsidRPr="00792835">
          <w:rPr>
            <w:rStyle w:val="Hyperlink"/>
            <w:rFonts w:ascii="Raleway" w:hAnsi="Raleway"/>
            <w:sz w:val="15"/>
            <w:szCs w:val="15"/>
          </w:rPr>
          <w:t>adoption</w:t>
        </w:r>
      </w:hyperlink>
      <w:r w:rsidRPr="001E3DBF">
        <w:rPr>
          <w:rFonts w:ascii="Raleway" w:hAnsi="Raleway"/>
          <w:sz w:val="15"/>
          <w:szCs w:val="15"/>
        </w:rPr>
        <w:t>).</w:t>
      </w:r>
    </w:p>
  </w:footnote>
  <w:footnote w:id="221">
    <w:p w14:paraId="7A95B10D" w14:textId="5A71593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Suède (Profil d</w:t>
      </w:r>
      <w:r>
        <w:rPr>
          <w:rFonts w:ascii="Raleway" w:hAnsi="Raleway"/>
          <w:sz w:val="15"/>
          <w:szCs w:val="15"/>
        </w:rPr>
        <w:t>’</w:t>
      </w:r>
      <w:r w:rsidRPr="001E3DBF">
        <w:rPr>
          <w:rFonts w:ascii="Raleway" w:hAnsi="Raleway"/>
          <w:sz w:val="15"/>
          <w:szCs w:val="15"/>
        </w:rPr>
        <w:t>État</w:t>
      </w:r>
      <w:r>
        <w:rPr>
          <w:rFonts w:ascii="Raleway" w:hAnsi="Raleway"/>
          <w:sz w:val="15"/>
          <w:szCs w:val="15"/>
        </w:rPr>
        <w:t xml:space="preserve"> électronique</w:t>
      </w:r>
      <w:r w:rsidRPr="001E3DBF">
        <w:rPr>
          <w:rFonts w:ascii="Raleway" w:hAnsi="Raleway"/>
          <w:sz w:val="15"/>
          <w:szCs w:val="15"/>
        </w:rPr>
        <w:t xml:space="preserve"> EA (202</w:t>
      </w:r>
      <w:r>
        <w:rPr>
          <w:rFonts w:ascii="Raleway" w:hAnsi="Raleway"/>
          <w:sz w:val="15"/>
          <w:szCs w:val="15"/>
        </w:rPr>
        <w:t>6</w:t>
      </w:r>
      <w:r w:rsidRPr="001E3DBF">
        <w:rPr>
          <w:rFonts w:ascii="Raleway" w:hAnsi="Raleway"/>
          <w:sz w:val="15"/>
          <w:szCs w:val="15"/>
        </w:rPr>
        <w:t>), Q. 29(b)).</w:t>
      </w:r>
    </w:p>
  </w:footnote>
  <w:footnote w:id="222">
    <w:p w14:paraId="155912DF" w14:textId="7D00279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(site web de l</w:t>
      </w:r>
      <w:r>
        <w:rPr>
          <w:rFonts w:ascii="Raleway" w:hAnsi="Raleway"/>
          <w:sz w:val="15"/>
          <w:szCs w:val="15"/>
        </w:rPr>
        <w:t>’</w:t>
      </w:r>
      <w:hyperlink r:id="rId120" w:history="1">
        <w:r w:rsidRPr="001E3DBF">
          <w:rPr>
            <w:rStyle w:val="Hyperlink"/>
            <w:rFonts w:ascii="Raleway" w:hAnsi="Raleway"/>
            <w:sz w:val="15"/>
            <w:szCs w:val="15"/>
          </w:rPr>
          <w:t>Autorité centrale australienne</w:t>
        </w:r>
      </w:hyperlink>
      <w:r w:rsidRPr="001E3DBF">
        <w:rPr>
          <w:rFonts w:ascii="Raleway" w:hAnsi="Raleway"/>
          <w:sz w:val="15"/>
          <w:szCs w:val="15"/>
        </w:rPr>
        <w:t xml:space="preserve">) ; Belgique (Autorité centrale de la communauté francophone, </w:t>
      </w:r>
      <w:hyperlink r:id="rId121" w:history="1">
        <w:r w:rsidRPr="00915A52">
          <w:rPr>
            <w:rStyle w:val="Hyperlink"/>
            <w:rFonts w:ascii="Raleway" w:hAnsi="Raleway"/>
            <w:color w:val="0069B4" w:themeColor="accent2"/>
            <w:sz w:val="15"/>
            <w:szCs w:val="15"/>
          </w:rPr>
          <w:t>Coût de la procédure</w:t>
        </w:r>
      </w:hyperlink>
      <w:r w:rsidRPr="001E3DBF">
        <w:rPr>
          <w:rFonts w:ascii="Raleway" w:hAnsi="Raleway"/>
          <w:sz w:val="15"/>
          <w:szCs w:val="15"/>
        </w:rPr>
        <w:t xml:space="preserve">) ; France (Autorité centrale (MAI), </w:t>
      </w:r>
      <w:hyperlink r:id="rId122" w:history="1">
        <w:r w:rsidRPr="00915A52">
          <w:rPr>
            <w:rStyle w:val="Hyperlink"/>
            <w:rFonts w:ascii="Raleway" w:hAnsi="Raleway"/>
            <w:color w:val="0069B4" w:themeColor="accent2"/>
            <w:sz w:val="15"/>
            <w:szCs w:val="15"/>
          </w:rPr>
          <w:t>Liste des OAA en France</w:t>
        </w:r>
      </w:hyperlink>
      <w:r w:rsidRPr="001E3DBF">
        <w:rPr>
          <w:rFonts w:ascii="Raleway" w:hAnsi="Raleway"/>
          <w:sz w:val="15"/>
          <w:szCs w:val="15"/>
        </w:rPr>
        <w:t xml:space="preserve">) ; Italie (Autorité centrale (CAI), </w:t>
      </w:r>
      <w:hyperlink r:id="rId123" w:history="1">
        <w:r w:rsidRPr="001E3DBF">
          <w:rPr>
            <w:rStyle w:val="Hyperlink"/>
            <w:rFonts w:ascii="Raleway" w:hAnsi="Raleway"/>
            <w:i/>
            <w:sz w:val="15"/>
            <w:szCs w:val="15"/>
          </w:rPr>
          <w:t>I costi dell</w:t>
        </w:r>
        <w:r>
          <w:rPr>
            <w:rStyle w:val="Hyperlink"/>
            <w:rFonts w:ascii="Raleway" w:hAnsi="Raleway"/>
            <w:i/>
            <w:sz w:val="15"/>
            <w:szCs w:val="15"/>
          </w:rPr>
          <w:t>’</w:t>
        </w:r>
        <w:r w:rsidRPr="001E3DBF">
          <w:rPr>
            <w:rStyle w:val="Hyperlink"/>
            <w:rFonts w:ascii="Raleway" w:hAnsi="Raleway"/>
            <w:i/>
            <w:sz w:val="15"/>
            <w:szCs w:val="15"/>
          </w:rPr>
          <w:t>adozione</w:t>
        </w:r>
      </w:hyperlink>
      <w:r w:rsidRPr="001E3DBF">
        <w:rPr>
          <w:rFonts w:ascii="Raleway" w:hAnsi="Raleway"/>
          <w:sz w:val="15"/>
          <w:szCs w:val="15"/>
        </w:rPr>
        <w:t xml:space="preserve"> (les coûts de l</w:t>
      </w:r>
      <w:r>
        <w:rPr>
          <w:rFonts w:ascii="Raleway" w:hAnsi="Raleway"/>
          <w:sz w:val="15"/>
          <w:szCs w:val="15"/>
        </w:rPr>
        <w:t>’</w:t>
      </w:r>
      <w:r w:rsidRPr="001E3DBF">
        <w:rPr>
          <w:rFonts w:ascii="Raleway" w:hAnsi="Raleway"/>
          <w:sz w:val="15"/>
          <w:szCs w:val="15"/>
        </w:rPr>
        <w:t>adoption), ces informations sont à disposition des FPA sur le site suivant :</w:t>
      </w:r>
      <w:r>
        <w:rPr>
          <w:rFonts w:ascii="Raleway" w:hAnsi="Raleway"/>
          <w:sz w:val="15"/>
          <w:szCs w:val="15"/>
        </w:rPr>
        <w:t xml:space="preserve"> </w:t>
      </w:r>
      <w:hyperlink r:id="rId124" w:history="1">
        <w:r w:rsidRPr="00915A52">
          <w:rPr>
            <w:rStyle w:val="Hyperlink"/>
            <w:rFonts w:ascii="Raleway" w:hAnsi="Raleway"/>
            <w:i/>
            <w:color w:val="0069B4" w:themeColor="accent2"/>
            <w:sz w:val="15"/>
            <w:szCs w:val="15"/>
          </w:rPr>
          <w:t>Portale Adozione Trasparente</w:t>
        </w:r>
      </w:hyperlink>
      <w:r>
        <w:rPr>
          <w:rFonts w:ascii="Raleway" w:hAnsi="Raleway"/>
          <w:sz w:val="15"/>
          <w:szCs w:val="15"/>
        </w:rPr>
        <w:t xml:space="preserve"> (Portail pour la transparence de l’adoption))</w:t>
      </w:r>
      <w:r w:rsidRPr="001E3DBF">
        <w:rPr>
          <w:rFonts w:ascii="Raleway" w:hAnsi="Raleway"/>
          <w:sz w:val="15"/>
          <w:szCs w:val="15"/>
        </w:rPr>
        <w:t> ; Philippines (site web de l</w:t>
      </w:r>
      <w:r>
        <w:rPr>
          <w:rFonts w:ascii="Raleway" w:hAnsi="Raleway"/>
          <w:sz w:val="15"/>
          <w:szCs w:val="15"/>
        </w:rPr>
        <w:t>’</w:t>
      </w:r>
      <w:r w:rsidRPr="001E3DBF">
        <w:rPr>
          <w:rFonts w:ascii="Raleway" w:hAnsi="Raleway"/>
          <w:sz w:val="15"/>
          <w:szCs w:val="15"/>
        </w:rPr>
        <w:t xml:space="preserve">Autorité centrale : </w:t>
      </w:r>
      <w:hyperlink r:id="rId125" w:history="1">
        <w:r w:rsidRPr="001E3DBF">
          <w:rPr>
            <w:rStyle w:val="Hyperlink"/>
            <w:rFonts w:ascii="Raleway" w:hAnsi="Raleway"/>
            <w:i/>
            <w:iCs/>
            <w:sz w:val="15"/>
            <w:szCs w:val="15"/>
          </w:rPr>
          <w:t>Fees, Charges and Assessment</w:t>
        </w:r>
      </w:hyperlink>
      <w:r>
        <w:rPr>
          <w:rStyle w:val="Hyperlink"/>
          <w:rFonts w:ascii="Raleway" w:hAnsi="Raleway"/>
          <w:i/>
          <w:iCs/>
          <w:sz w:val="15"/>
          <w:szCs w:val="15"/>
        </w:rPr>
        <w:t xml:space="preserve"> </w:t>
      </w:r>
      <w:r w:rsidRPr="001E3DBF">
        <w:rPr>
          <w:rFonts w:ascii="Raleway" w:hAnsi="Raleway"/>
          <w:sz w:val="15"/>
          <w:szCs w:val="15"/>
        </w:rPr>
        <w:t>(frais, dépenses et évaluation))</w:t>
      </w:r>
      <w:r>
        <w:rPr>
          <w:rFonts w:ascii="Raleway" w:hAnsi="Raleway"/>
          <w:sz w:val="15"/>
          <w:szCs w:val="15"/>
        </w:rPr>
        <w:t> ; Royaume</w:t>
      </w:r>
      <w:r>
        <w:rPr>
          <w:rFonts w:ascii="Raleway" w:hAnsi="Raleway"/>
          <w:sz w:val="15"/>
          <w:szCs w:val="15"/>
        </w:rPr>
        <w:noBreakHyphen/>
      </w:r>
      <w:r w:rsidRPr="001E3DBF">
        <w:rPr>
          <w:rFonts w:ascii="Raleway" w:hAnsi="Raleway"/>
          <w:sz w:val="15"/>
          <w:szCs w:val="15"/>
        </w:rPr>
        <w:t xml:space="preserve">Uni (Autorité centrale écossaise, </w:t>
      </w:r>
      <w:hyperlink r:id="rId126" w:history="1">
        <w:r w:rsidRPr="001E3DBF">
          <w:rPr>
            <w:rStyle w:val="Hyperlink"/>
            <w:rFonts w:ascii="Raleway" w:hAnsi="Raleway"/>
            <w:i/>
            <w:iCs/>
            <w:sz w:val="15"/>
            <w:szCs w:val="15"/>
          </w:rPr>
          <w:t>Adopt a Child from Abroad</w:t>
        </w:r>
      </w:hyperlink>
      <w:r w:rsidRPr="001E3DBF">
        <w:rPr>
          <w:rFonts w:ascii="Raleway" w:hAnsi="Raleway"/>
          <w:sz w:val="15"/>
          <w:szCs w:val="15"/>
        </w:rPr>
        <w:t xml:space="preserve"> (Adopter un enfant à l</w:t>
      </w:r>
      <w:r>
        <w:rPr>
          <w:rFonts w:ascii="Raleway" w:hAnsi="Raleway"/>
          <w:sz w:val="15"/>
          <w:szCs w:val="15"/>
        </w:rPr>
        <w:t>’</w:t>
      </w:r>
      <w:r w:rsidRPr="001E3DBF">
        <w:rPr>
          <w:rFonts w:ascii="Raleway" w:hAnsi="Raleway"/>
          <w:sz w:val="15"/>
          <w:szCs w:val="15"/>
        </w:rPr>
        <w:t>étranger)) ; Suisse (</w:t>
      </w:r>
      <w:hyperlink r:id="rId127" w:history="1">
        <w:r w:rsidRPr="001E3DBF">
          <w:rPr>
            <w:rStyle w:val="Hyperlink"/>
            <w:rFonts w:ascii="Raleway" w:hAnsi="Raleway"/>
            <w:sz w:val="15"/>
            <w:szCs w:val="15"/>
          </w:rPr>
          <w:t>site web de l</w:t>
        </w:r>
        <w:r>
          <w:rPr>
            <w:rStyle w:val="Hyperlink"/>
            <w:rFonts w:ascii="Raleway" w:hAnsi="Raleway"/>
            <w:sz w:val="15"/>
            <w:szCs w:val="15"/>
          </w:rPr>
          <w:t>’</w:t>
        </w:r>
        <w:r w:rsidRPr="001E3DBF">
          <w:rPr>
            <w:rStyle w:val="Hyperlink"/>
            <w:rFonts w:ascii="Raleway" w:hAnsi="Raleway"/>
            <w:sz w:val="15"/>
            <w:szCs w:val="15"/>
          </w:rPr>
          <w:t>Autorité centrale </w:t>
        </w:r>
      </w:hyperlink>
      <w:r w:rsidRPr="001E3DBF">
        <w:rPr>
          <w:rFonts w:ascii="Raleway" w:hAnsi="Raleway"/>
          <w:sz w:val="15"/>
          <w:szCs w:val="15"/>
        </w:rPr>
        <w:t xml:space="preserve">: </w:t>
      </w:r>
      <w:hyperlink r:id="rId128" w:history="1">
        <w:r w:rsidRPr="00C24F8D">
          <w:rPr>
            <w:rStyle w:val="Hyperlink"/>
            <w:rFonts w:ascii="Raleway" w:hAnsi="Raleway"/>
            <w:sz w:val="15"/>
            <w:szCs w:val="15"/>
          </w:rPr>
          <w:t>Émoluments en matière d</w:t>
        </w:r>
        <w:r>
          <w:rPr>
            <w:rStyle w:val="Hyperlink"/>
            <w:rFonts w:ascii="Raleway" w:hAnsi="Raleway"/>
            <w:sz w:val="15"/>
            <w:szCs w:val="15"/>
          </w:rPr>
          <w:t>’</w:t>
        </w:r>
        <w:r w:rsidRPr="00C24F8D">
          <w:rPr>
            <w:rStyle w:val="Hyperlink"/>
            <w:rFonts w:ascii="Raleway" w:hAnsi="Raleway"/>
            <w:sz w:val="15"/>
            <w:szCs w:val="15"/>
          </w:rPr>
          <w:t>adoption internationale</w:t>
        </w:r>
      </w:hyperlink>
      <w:r>
        <w:rPr>
          <w:rFonts w:ascii="Raleway" w:hAnsi="Raleway"/>
          <w:sz w:val="15"/>
          <w:szCs w:val="15"/>
        </w:rPr>
        <w:t>)</w:t>
      </w:r>
      <w:r w:rsidRPr="001E3DBF">
        <w:rPr>
          <w:rFonts w:ascii="Raleway" w:hAnsi="Raleway"/>
          <w:sz w:val="15"/>
          <w:szCs w:val="15"/>
        </w:rPr>
        <w:t>.</w:t>
      </w:r>
    </w:p>
  </w:footnote>
  <w:footnote w:id="223">
    <w:p w14:paraId="25AC2EE2" w14:textId="7613E3F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Colombie (Autorité centrale (ICBF), </w:t>
      </w:r>
      <w:hyperlink r:id="rId129" w:history="1">
        <w:r w:rsidRPr="001E3DBF">
          <w:rPr>
            <w:rStyle w:val="Hyperlink"/>
            <w:rFonts w:ascii="Raleway" w:hAnsi="Raleway"/>
            <w:i/>
            <w:sz w:val="15"/>
            <w:szCs w:val="15"/>
          </w:rPr>
          <w:t>Asistente de Adopciones</w:t>
        </w:r>
      </w:hyperlink>
      <w:r w:rsidRPr="001E3DBF">
        <w:rPr>
          <w:rFonts w:ascii="Raleway" w:hAnsi="Raleway"/>
          <w:sz w:val="15"/>
          <w:szCs w:val="15"/>
        </w:rPr>
        <w:t xml:space="preserve"> (Aide pour adopter)), El Salvador (Autorité centrale (OPA), </w:t>
      </w:r>
      <w:hyperlink r:id="rId130" w:anchor="pregunta-costo" w:history="1">
        <w:r w:rsidRPr="001E3DBF">
          <w:rPr>
            <w:rStyle w:val="Hyperlink"/>
            <w:rFonts w:ascii="Raleway" w:hAnsi="Raleway"/>
            <w:i/>
            <w:sz w:val="15"/>
            <w:szCs w:val="15"/>
          </w:rPr>
          <w:t>Preguntas frecuentes</w:t>
        </w:r>
      </w:hyperlink>
      <w:r w:rsidRPr="001E3DBF">
        <w:rPr>
          <w:rFonts w:ascii="Raleway" w:hAnsi="Raleway"/>
          <w:sz w:val="15"/>
          <w:szCs w:val="15"/>
        </w:rPr>
        <w:t xml:space="preserve"> (Questions fréquentes)).</w:t>
      </w:r>
    </w:p>
  </w:footnote>
  <w:footnote w:id="224">
    <w:p w14:paraId="5490BD14" w14:textId="13618553" w:rsidR="00974DA5" w:rsidRPr="00D97A41"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D97A41">
        <w:rPr>
          <w:rFonts w:ascii="Raleway" w:hAnsi="Raleway"/>
          <w:sz w:val="15"/>
          <w:szCs w:val="15"/>
        </w:rPr>
        <w:t xml:space="preserve"> </w:t>
      </w:r>
      <w:r w:rsidRPr="00D97A41">
        <w:rPr>
          <w:rFonts w:ascii="Raleway" w:hAnsi="Raleway"/>
          <w:sz w:val="15"/>
          <w:szCs w:val="15"/>
        </w:rPr>
        <w:tab/>
        <w:t>Bénin (2024), Burkina Faso (2022), Togo (2024) (Profils d’État EO, Q. 33(f)).</w:t>
      </w:r>
    </w:p>
  </w:footnote>
  <w:footnote w:id="225">
    <w:p w14:paraId="34D1710A" w14:textId="23B90DF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(Profil d</w:t>
      </w:r>
      <w:r>
        <w:rPr>
          <w:rFonts w:ascii="Raleway" w:hAnsi="Raleway"/>
          <w:sz w:val="15"/>
          <w:szCs w:val="15"/>
        </w:rPr>
        <w:t>’</w:t>
      </w:r>
      <w:r w:rsidRPr="001E3DBF">
        <w:rPr>
          <w:rFonts w:ascii="Raleway" w:hAnsi="Raleway"/>
          <w:sz w:val="15"/>
          <w:szCs w:val="15"/>
        </w:rPr>
        <w:t>État électronique EA (2026), Q. 29(b)).</w:t>
      </w:r>
    </w:p>
  </w:footnote>
  <w:footnote w:id="226">
    <w:p w14:paraId="3AC1B907" w14:textId="77777777" w:rsidR="00D7419F" w:rsidRPr="001E3DBF" w:rsidRDefault="00D7419F" w:rsidP="00D7419F">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(Profil d</w:t>
      </w:r>
      <w:r>
        <w:rPr>
          <w:rFonts w:ascii="Raleway" w:hAnsi="Raleway"/>
          <w:sz w:val="15"/>
          <w:szCs w:val="15"/>
        </w:rPr>
        <w:t>’</w:t>
      </w:r>
      <w:r w:rsidRPr="001E3DBF">
        <w:rPr>
          <w:rFonts w:ascii="Raleway" w:hAnsi="Raleway"/>
          <w:sz w:val="15"/>
          <w:szCs w:val="15"/>
        </w:rPr>
        <w:t xml:space="preserve">État EA (2021), Q. 29(f)). </w:t>
      </w:r>
    </w:p>
  </w:footnote>
  <w:footnote w:id="227">
    <w:p w14:paraId="1F4930BA" w14:textId="77777777" w:rsidR="00D7419F" w:rsidRPr="00724AC6" w:rsidRDefault="00D7419F" w:rsidP="00D7419F">
      <w:pPr>
        <w:pStyle w:val="FootnoteText"/>
        <w:ind w:left="284" w:hanging="284"/>
        <w:rPr>
          <w:rFonts w:ascii="Raleway" w:hAnsi="Raleway"/>
          <w:sz w:val="15"/>
          <w:szCs w:val="15"/>
        </w:rPr>
      </w:pPr>
      <w:r w:rsidRPr="00724AC6">
        <w:rPr>
          <w:rStyle w:val="FootnoteReference"/>
          <w:rFonts w:ascii="Raleway" w:hAnsi="Raleway"/>
          <w:sz w:val="15"/>
          <w:szCs w:val="15"/>
        </w:rPr>
        <w:footnoteRef/>
      </w:r>
      <w:r w:rsidRPr="00724AC6">
        <w:rPr>
          <w:rFonts w:ascii="Raleway" w:hAnsi="Raleway"/>
          <w:sz w:val="15"/>
          <w:szCs w:val="15"/>
        </w:rPr>
        <w:t xml:space="preserve"> </w:t>
      </w:r>
      <w:r>
        <w:rPr>
          <w:rFonts w:ascii="Raleway" w:hAnsi="Raleway"/>
          <w:sz w:val="15"/>
          <w:szCs w:val="15"/>
        </w:rPr>
        <w:tab/>
        <w:t>France (Profil d’État EA (2025), Q. 29(b)).</w:t>
      </w:r>
    </w:p>
  </w:footnote>
  <w:footnote w:id="228">
    <w:p w14:paraId="5CEDF044" w14:textId="1C09B9C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République dominicaine (Profil d</w:t>
      </w:r>
      <w:r>
        <w:rPr>
          <w:rFonts w:ascii="Raleway" w:hAnsi="Raleway"/>
          <w:sz w:val="15"/>
          <w:szCs w:val="15"/>
        </w:rPr>
        <w:t>’</w:t>
      </w:r>
      <w:r w:rsidRPr="001E3DBF">
        <w:rPr>
          <w:rFonts w:ascii="Raleway" w:hAnsi="Raleway"/>
          <w:sz w:val="15"/>
          <w:szCs w:val="15"/>
        </w:rPr>
        <w:t>État EO (2020), Q. 33(f)).</w:t>
      </w:r>
    </w:p>
  </w:footnote>
  <w:footnote w:id="229">
    <w:p w14:paraId="510A3039" w14:textId="77777777" w:rsidR="00D7419F" w:rsidRPr="001E3DBF" w:rsidRDefault="00D7419F" w:rsidP="00D7419F">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(Manitoba) (</w:t>
      </w:r>
      <w:hyperlink r:id="rId131" w:history="1">
        <w:r>
          <w:rPr>
            <w:rStyle w:val="Hyperlink"/>
            <w:rFonts w:ascii="Raleway" w:hAnsi="Raleway"/>
            <w:sz w:val="15"/>
            <w:szCs w:val="15"/>
          </w:rPr>
          <w:t>r</w:t>
        </w:r>
        <w:r w:rsidRPr="001E3DBF">
          <w:rPr>
            <w:rStyle w:val="Hyperlink"/>
            <w:rFonts w:ascii="Raleway" w:hAnsi="Raleway"/>
            <w:sz w:val="15"/>
            <w:szCs w:val="15"/>
          </w:rPr>
          <w:t>èglement sur la délivrance de licences aux agences d</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M.R. 20/99, section 7).</w:t>
      </w:r>
    </w:p>
  </w:footnote>
  <w:footnote w:id="230">
    <w:p w14:paraId="0A8FEF11" w14:textId="60DDFB3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(Québec) (</w:t>
      </w:r>
      <w:hyperlink r:id="rId132" w:history="1">
        <w:r>
          <w:rPr>
            <w:rStyle w:val="Hyperlink"/>
            <w:rFonts w:ascii="Raleway" w:hAnsi="Raleway"/>
            <w:sz w:val="15"/>
            <w:szCs w:val="15"/>
          </w:rPr>
          <w:t>r</w:t>
        </w:r>
        <w:r w:rsidRPr="003B2F42">
          <w:rPr>
            <w:rStyle w:val="Hyperlink"/>
            <w:rFonts w:ascii="Raleway" w:hAnsi="Raleway"/>
            <w:sz w:val="15"/>
            <w:szCs w:val="15"/>
          </w:rPr>
          <w:t>èglement sur l</w:t>
        </w:r>
        <w:r>
          <w:rPr>
            <w:rStyle w:val="Hyperlink"/>
            <w:rFonts w:ascii="Raleway" w:hAnsi="Raleway"/>
            <w:sz w:val="15"/>
            <w:szCs w:val="15"/>
          </w:rPr>
          <w:t>’</w:t>
        </w:r>
        <w:r w:rsidRPr="003B2F42">
          <w:rPr>
            <w:rStyle w:val="Hyperlink"/>
            <w:rFonts w:ascii="Raleway" w:hAnsi="Raleway"/>
            <w:sz w:val="15"/>
            <w:szCs w:val="15"/>
          </w:rPr>
          <w:t>agrément d</w:t>
        </w:r>
        <w:r>
          <w:rPr>
            <w:rStyle w:val="Hyperlink"/>
            <w:rFonts w:ascii="Raleway" w:hAnsi="Raleway"/>
            <w:sz w:val="15"/>
            <w:szCs w:val="15"/>
          </w:rPr>
          <w:t>’</w:t>
        </w:r>
        <w:r w:rsidRPr="003B2F42">
          <w:rPr>
            <w:rStyle w:val="Hyperlink"/>
            <w:rFonts w:ascii="Raleway" w:hAnsi="Raleway"/>
            <w:sz w:val="15"/>
            <w:szCs w:val="15"/>
          </w:rPr>
          <w:t>organismes en adoption internationale</w:t>
        </w:r>
      </w:hyperlink>
      <w:r w:rsidRPr="001E3DBF">
        <w:rPr>
          <w:rFonts w:ascii="Raleway" w:hAnsi="Raleway"/>
          <w:i/>
          <w:sz w:val="15"/>
          <w:szCs w:val="15"/>
          <w:u w:val="single"/>
        </w:rPr>
        <w:t>,</w:t>
      </w:r>
      <w:r w:rsidRPr="001E3DBF">
        <w:rPr>
          <w:rFonts w:ascii="Raleway" w:hAnsi="Raleway"/>
          <w:sz w:val="15"/>
          <w:szCs w:val="15"/>
        </w:rPr>
        <w:t xml:space="preserve"> QLR c. P-34.1, r. 3, 2005, art. 5(7) et (11</w:t>
      </w:r>
      <w:r>
        <w:rPr>
          <w:rFonts w:ascii="Raleway" w:hAnsi="Raleway"/>
          <w:sz w:val="15"/>
          <w:szCs w:val="15"/>
        </w:rPr>
        <w:t>)</w:t>
      </w:r>
      <w:r w:rsidRPr="001E3DBF">
        <w:rPr>
          <w:rFonts w:ascii="Raleway" w:hAnsi="Raleway"/>
          <w:sz w:val="15"/>
          <w:szCs w:val="15"/>
        </w:rPr>
        <w:t>).</w:t>
      </w:r>
    </w:p>
  </w:footnote>
  <w:footnote w:id="231">
    <w:p w14:paraId="549FF487" w14:textId="77777777" w:rsidR="00320ABE" w:rsidRPr="001E3DBF" w:rsidRDefault="00320ABE" w:rsidP="00320ABE">
      <w:pPr>
        <w:pStyle w:val="FootnoteText"/>
        <w:ind w:left="284" w:hanging="284"/>
        <w:rPr>
          <w:rFonts w:ascii="Raleway" w:hAnsi="Raleway"/>
          <w:sz w:val="15"/>
          <w:szCs w:val="15"/>
        </w:rPr>
      </w:pPr>
      <w:r w:rsidRPr="001E3DBF">
        <w:rPr>
          <w:rStyle w:val="FootnoteReference"/>
          <w:rFonts w:ascii="Raleway" w:hAnsi="Raleway"/>
          <w:sz w:val="15"/>
          <w:szCs w:val="15"/>
        </w:rPr>
        <w:footnoteRef/>
      </w:r>
      <w:r>
        <w:rPr>
          <w:rFonts w:ascii="Raleway" w:hAnsi="Raleway"/>
          <w:sz w:val="15"/>
          <w:szCs w:val="15"/>
        </w:rPr>
        <w:t xml:space="preserve"> </w:t>
      </w:r>
      <w:r>
        <w:rPr>
          <w:rFonts w:ascii="Raleway" w:hAnsi="Raleway"/>
          <w:sz w:val="15"/>
          <w:szCs w:val="15"/>
        </w:rPr>
        <w:tab/>
        <w:t>Espagne (</w:t>
      </w:r>
      <w:r>
        <w:rPr>
          <w:rFonts w:ascii="Raleway" w:hAnsi="Raleway"/>
          <w:i/>
          <w:sz w:val="15"/>
          <w:szCs w:val="15"/>
        </w:rPr>
        <w:t>ibid.</w:t>
      </w:r>
      <w:r>
        <w:rPr>
          <w:rFonts w:ascii="Raleway" w:hAnsi="Raleway"/>
          <w:sz w:val="15"/>
          <w:szCs w:val="15"/>
        </w:rPr>
        <w:t>)</w:t>
      </w:r>
      <w:r w:rsidRPr="001E3DBF">
        <w:rPr>
          <w:rFonts w:ascii="Raleway" w:hAnsi="Raleway"/>
          <w:sz w:val="15"/>
          <w:szCs w:val="15"/>
        </w:rPr>
        <w:t>.</w:t>
      </w:r>
    </w:p>
  </w:footnote>
  <w:footnote w:id="232">
    <w:p w14:paraId="60361711" w14:textId="313282AF" w:rsidR="00320ABE" w:rsidRPr="001E3DBF" w:rsidRDefault="00320ABE" w:rsidP="00320ABE">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(Code des règlements fédéraux</w:t>
      </w:r>
      <w:r>
        <w:rPr>
          <w:rFonts w:ascii="Raleway" w:hAnsi="Raleway"/>
          <w:sz w:val="15"/>
          <w:szCs w:val="15"/>
        </w:rPr>
        <w:t xml:space="preserve">, </w:t>
      </w:r>
      <w:r>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_Ref231303536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123</w:t>
      </w:r>
      <w:r>
        <w:rPr>
          <w:rFonts w:ascii="Raleway" w:hAnsi="Raleway"/>
          <w:sz w:val="15"/>
          <w:szCs w:val="15"/>
        </w:rPr>
        <w:fldChar w:fldCharType="end"/>
      </w:r>
      <w:r>
        <w:rPr>
          <w:rFonts w:ascii="Raleway" w:hAnsi="Raleway"/>
          <w:sz w:val="15"/>
          <w:szCs w:val="15"/>
        </w:rPr>
        <w:t xml:space="preserve"> –</w:t>
      </w:r>
      <w:r w:rsidRPr="001E3DBF">
        <w:rPr>
          <w:rFonts w:ascii="Raleway" w:hAnsi="Raleway"/>
          <w:sz w:val="15"/>
          <w:szCs w:val="15"/>
        </w:rPr>
        <w:t xml:space="preserve"> Agrément des agences et approbation des personnes en matière d</w:t>
      </w:r>
      <w:r>
        <w:rPr>
          <w:rFonts w:ascii="Raleway" w:hAnsi="Raleway"/>
          <w:sz w:val="15"/>
          <w:szCs w:val="15"/>
        </w:rPr>
        <w:t>’</w:t>
      </w:r>
      <w:r w:rsidRPr="001E3DBF">
        <w:rPr>
          <w:rFonts w:ascii="Raleway" w:hAnsi="Raleway"/>
          <w:sz w:val="15"/>
          <w:szCs w:val="15"/>
        </w:rPr>
        <w:t>adoption internationale, para. 96.40 et Profil d</w:t>
      </w:r>
      <w:r>
        <w:rPr>
          <w:rFonts w:ascii="Raleway" w:hAnsi="Raleway"/>
          <w:sz w:val="15"/>
          <w:szCs w:val="15"/>
        </w:rPr>
        <w:t>’</w:t>
      </w:r>
      <w:r w:rsidRPr="001E3DBF">
        <w:rPr>
          <w:rFonts w:ascii="Raleway" w:hAnsi="Raleway"/>
          <w:sz w:val="15"/>
          <w:szCs w:val="15"/>
        </w:rPr>
        <w:t>État E</w:t>
      </w:r>
      <w:r>
        <w:rPr>
          <w:rFonts w:ascii="Raleway" w:hAnsi="Raleway"/>
          <w:sz w:val="15"/>
          <w:szCs w:val="15"/>
        </w:rPr>
        <w:t>O</w:t>
      </w:r>
      <w:r w:rsidRPr="001E3DBF">
        <w:rPr>
          <w:rFonts w:ascii="Raleway" w:hAnsi="Raleway"/>
          <w:sz w:val="15"/>
          <w:szCs w:val="15"/>
        </w:rPr>
        <w:t xml:space="preserve"> (2023), Q. 33(a)).</w:t>
      </w:r>
    </w:p>
  </w:footnote>
  <w:footnote w:id="233">
    <w:p w14:paraId="59799B3C" w14:textId="47DBB746" w:rsidR="00974DA5" w:rsidRPr="001E3DBF" w:rsidRDefault="00974DA5" w:rsidP="00CD1418">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w:t>
      </w:r>
      <w:hyperlink r:id="rId133" w:history="1">
        <w:r w:rsidRPr="00E60DA1">
          <w:rPr>
            <w:rStyle w:val="Hyperlink"/>
            <w:rFonts w:ascii="Raleway" w:hAnsi="Raleway"/>
            <w:sz w:val="15"/>
            <w:szCs w:val="15"/>
          </w:rPr>
          <w:t>Code de l</w:t>
        </w:r>
        <w:r>
          <w:rPr>
            <w:rStyle w:val="Hyperlink"/>
            <w:rFonts w:ascii="Raleway" w:hAnsi="Raleway"/>
            <w:sz w:val="15"/>
            <w:szCs w:val="15"/>
          </w:rPr>
          <w:t>’</w:t>
        </w:r>
        <w:r w:rsidRPr="00E60DA1">
          <w:rPr>
            <w:rStyle w:val="Hyperlink"/>
            <w:rFonts w:ascii="Raleway" w:hAnsi="Raleway"/>
            <w:sz w:val="15"/>
            <w:szCs w:val="15"/>
          </w:rPr>
          <w:t>action sociale et des familles</w:t>
        </w:r>
      </w:hyperlink>
      <w:r w:rsidRPr="00E60DA1">
        <w:rPr>
          <w:rFonts w:ascii="Raleway" w:hAnsi="Raleway"/>
          <w:sz w:val="15"/>
          <w:szCs w:val="15"/>
        </w:rPr>
        <w:t>,</w:t>
      </w:r>
      <w:r w:rsidRPr="001E3DBF">
        <w:rPr>
          <w:rFonts w:ascii="Raleway" w:hAnsi="Raleway"/>
          <w:sz w:val="15"/>
          <w:szCs w:val="15"/>
        </w:rPr>
        <w:t xml:space="preserve"> art. R 225-41).</w:t>
      </w:r>
    </w:p>
  </w:footnote>
  <w:footnote w:id="234">
    <w:p w14:paraId="3350C22D" w14:textId="77777777" w:rsidR="00974DA5" w:rsidRPr="001E3DBF" w:rsidRDefault="00974DA5" w:rsidP="00F627D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(DIPOFAM 14324 -P- 27.05.2025).</w:t>
      </w:r>
    </w:p>
  </w:footnote>
  <w:footnote w:id="235">
    <w:p w14:paraId="430B7325" w14:textId="0910FE6A" w:rsidR="00974DA5" w:rsidRPr="001E3DBF" w:rsidRDefault="00974DA5" w:rsidP="00F627D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Italie </w:t>
      </w:r>
      <w:r w:rsidRPr="00F627D9">
        <w:rPr>
          <w:rFonts w:ascii="Raleway" w:hAnsi="Raleway"/>
          <w:sz w:val="15"/>
          <w:szCs w:val="15"/>
        </w:rPr>
        <w:t>(</w:t>
      </w:r>
      <w:r w:rsidRPr="001E3DBF">
        <w:rPr>
          <w:rFonts w:ascii="Raleway" w:hAnsi="Raleway"/>
          <w:sz w:val="15"/>
          <w:szCs w:val="15"/>
        </w:rPr>
        <w:t>Nouvelles lignes directrices pour les agences agréées en matière d</w:t>
      </w:r>
      <w:r>
        <w:rPr>
          <w:rFonts w:ascii="Raleway" w:hAnsi="Raleway"/>
          <w:sz w:val="15"/>
          <w:szCs w:val="15"/>
        </w:rPr>
        <w:t>’</w:t>
      </w:r>
      <w:r w:rsidRPr="001E3DBF">
        <w:rPr>
          <w:rFonts w:ascii="Raleway" w:hAnsi="Raleway"/>
          <w:sz w:val="15"/>
          <w:szCs w:val="15"/>
        </w:rPr>
        <w:t>adoption</w:t>
      </w:r>
      <w:r>
        <w:rPr>
          <w:rFonts w:ascii="Raleway" w:hAnsi="Raleway"/>
          <w:sz w:val="15"/>
          <w:szCs w:val="15"/>
        </w:rPr>
        <w:t xml:space="preserve">, 2021, </w:t>
      </w:r>
      <w:r>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_Ref231375884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213</w:t>
      </w:r>
      <w:r>
        <w:rPr>
          <w:rFonts w:ascii="Raleway" w:hAnsi="Raleway"/>
          <w:sz w:val="15"/>
          <w:szCs w:val="15"/>
        </w:rPr>
        <w:fldChar w:fldCharType="end"/>
      </w:r>
      <w:r>
        <w:rPr>
          <w:rFonts w:ascii="Raleway" w:hAnsi="Raleway"/>
          <w:sz w:val="15"/>
          <w:szCs w:val="15"/>
        </w:rPr>
        <w:t>, section 3.11)</w:t>
      </w:r>
      <w:r w:rsidRPr="00F627D9">
        <w:rPr>
          <w:rFonts w:ascii="Raleway" w:hAnsi="Raleway"/>
          <w:sz w:val="15"/>
          <w:szCs w:val="15"/>
        </w:rPr>
        <w:t xml:space="preserve"> </w:t>
      </w:r>
      <w:r w:rsidRPr="001E3DBF">
        <w:rPr>
          <w:rFonts w:ascii="Raleway" w:hAnsi="Raleway"/>
          <w:sz w:val="15"/>
          <w:szCs w:val="15"/>
        </w:rPr>
        <w:t xml:space="preserve">et </w:t>
      </w:r>
      <w:r>
        <w:rPr>
          <w:rFonts w:ascii="Raleway" w:hAnsi="Raleway"/>
          <w:sz w:val="15"/>
          <w:szCs w:val="15"/>
        </w:rPr>
        <w:t xml:space="preserve">Espagne (règlement sur l’adoption internationale, Décret royal No 573/2023 du 4 juillet 2023,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w:t>
      </w:r>
      <w:r w:rsidRPr="001E3DBF">
        <w:rPr>
          <w:rFonts w:ascii="Raleway" w:hAnsi="Raleway"/>
          <w:sz w:val="15"/>
          <w:szCs w:val="15"/>
        </w:rPr>
        <w:t xml:space="preserve"> art. 24).</w:t>
      </w:r>
    </w:p>
  </w:footnote>
  <w:footnote w:id="236">
    <w:p w14:paraId="4B1D410B" w14:textId="02293CA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(site web de l</w:t>
      </w:r>
      <w:r>
        <w:rPr>
          <w:rFonts w:ascii="Raleway" w:hAnsi="Raleway"/>
          <w:sz w:val="15"/>
          <w:szCs w:val="15"/>
        </w:rPr>
        <w:t>’</w:t>
      </w:r>
      <w:r w:rsidRPr="001E3DBF">
        <w:rPr>
          <w:rFonts w:ascii="Raleway" w:hAnsi="Raleway"/>
          <w:sz w:val="15"/>
          <w:szCs w:val="15"/>
        </w:rPr>
        <w:t xml:space="preserve">Autorité centrale : </w:t>
      </w:r>
      <w:hyperlink r:id="rId134" w:history="1">
        <w:r w:rsidRPr="001E3DBF">
          <w:rPr>
            <w:rStyle w:val="Hyperlink"/>
            <w:rFonts w:ascii="Raleway" w:hAnsi="Raleway"/>
            <w:i/>
            <w:iCs/>
            <w:sz w:val="15"/>
            <w:szCs w:val="15"/>
          </w:rPr>
          <w:t>Fees, Charges and Assessment</w:t>
        </w:r>
      </w:hyperlink>
      <w:r w:rsidRPr="001E3DBF">
        <w:rPr>
          <w:rFonts w:ascii="Raleway" w:hAnsi="Raleway"/>
          <w:sz w:val="15"/>
          <w:szCs w:val="15"/>
        </w:rPr>
        <w:t xml:space="preserve"> (frais, dépenses et évaluation)). </w:t>
      </w:r>
    </w:p>
  </w:footnote>
  <w:footnote w:id="237">
    <w:p w14:paraId="22F297DD" w14:textId="62003BE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Côte d</w:t>
      </w:r>
      <w:r>
        <w:rPr>
          <w:rFonts w:ascii="Raleway" w:hAnsi="Raleway"/>
          <w:sz w:val="15"/>
          <w:szCs w:val="15"/>
        </w:rPr>
        <w:t>’</w:t>
      </w:r>
      <w:r w:rsidRPr="001E3DBF">
        <w:rPr>
          <w:rFonts w:ascii="Raleway" w:hAnsi="Raleway"/>
          <w:sz w:val="15"/>
          <w:szCs w:val="15"/>
        </w:rPr>
        <w:t>Ivoire (Profil d</w:t>
      </w:r>
      <w:r>
        <w:rPr>
          <w:rFonts w:ascii="Raleway" w:hAnsi="Raleway"/>
          <w:sz w:val="15"/>
          <w:szCs w:val="15"/>
        </w:rPr>
        <w:t>’</w:t>
      </w:r>
      <w:r w:rsidRPr="001E3DBF">
        <w:rPr>
          <w:rFonts w:ascii="Raleway" w:hAnsi="Raleway"/>
          <w:sz w:val="15"/>
          <w:szCs w:val="15"/>
        </w:rPr>
        <w:t>État électronique EO (2026), Q. 33(d)) ; Bulgarie (2024), Burundi (2024), Cabo Verde (2024), Chine (2023), Inde (2024), Madagascar (2024), République de Moldova (2024) (Profils d</w:t>
      </w:r>
      <w:r>
        <w:rPr>
          <w:rFonts w:ascii="Raleway" w:hAnsi="Raleway"/>
          <w:sz w:val="15"/>
          <w:szCs w:val="15"/>
        </w:rPr>
        <w:t>’</w:t>
      </w:r>
      <w:r w:rsidRPr="001E3DBF">
        <w:rPr>
          <w:rFonts w:ascii="Raleway" w:hAnsi="Raleway"/>
          <w:sz w:val="15"/>
          <w:szCs w:val="15"/>
        </w:rPr>
        <w:t>État EO, Q. 33(d)).</w:t>
      </w:r>
    </w:p>
  </w:footnote>
  <w:footnote w:id="238">
    <w:p w14:paraId="7EB32E1B" w14:textId="2704A51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République tchèque </w:t>
      </w:r>
      <w:r>
        <w:rPr>
          <w:rFonts w:ascii="Raleway" w:hAnsi="Raleway"/>
          <w:sz w:val="15"/>
          <w:szCs w:val="15"/>
        </w:rPr>
        <w:t xml:space="preserve">(Profil d’État électronique EO </w:t>
      </w:r>
      <w:r w:rsidRPr="001E3DBF">
        <w:rPr>
          <w:rFonts w:ascii="Raleway" w:hAnsi="Raleway"/>
          <w:sz w:val="15"/>
          <w:szCs w:val="15"/>
        </w:rPr>
        <w:t>(202</w:t>
      </w:r>
      <w:r>
        <w:rPr>
          <w:rFonts w:ascii="Raleway" w:hAnsi="Raleway"/>
          <w:sz w:val="15"/>
          <w:szCs w:val="15"/>
        </w:rPr>
        <w:t>6), Q. 33(d)</w:t>
      </w:r>
      <w:r w:rsidRPr="001E3DBF">
        <w:rPr>
          <w:rFonts w:ascii="Raleway" w:hAnsi="Raleway"/>
          <w:sz w:val="15"/>
          <w:szCs w:val="15"/>
        </w:rPr>
        <w:t>)</w:t>
      </w:r>
      <w:r>
        <w:rPr>
          <w:rFonts w:ascii="Raleway" w:hAnsi="Raleway"/>
          <w:sz w:val="15"/>
          <w:szCs w:val="15"/>
        </w:rPr>
        <w:t> ;</w:t>
      </w:r>
      <w:r w:rsidRPr="001E3DBF">
        <w:rPr>
          <w:rFonts w:ascii="Raleway" w:hAnsi="Raleway"/>
          <w:sz w:val="15"/>
          <w:szCs w:val="15"/>
        </w:rPr>
        <w:t xml:space="preserve"> République dominicaine </w:t>
      </w:r>
      <w:r>
        <w:rPr>
          <w:rFonts w:ascii="Raleway" w:hAnsi="Raleway"/>
          <w:sz w:val="15"/>
          <w:szCs w:val="15"/>
        </w:rPr>
        <w:t>(Profil</w:t>
      </w:r>
      <w:r w:rsidRPr="001E3DBF">
        <w:rPr>
          <w:rFonts w:ascii="Raleway" w:hAnsi="Raleway"/>
          <w:sz w:val="15"/>
          <w:szCs w:val="15"/>
        </w:rPr>
        <w:t xml:space="preserve"> d</w:t>
      </w:r>
      <w:r>
        <w:rPr>
          <w:rFonts w:ascii="Raleway" w:hAnsi="Raleway"/>
          <w:sz w:val="15"/>
          <w:szCs w:val="15"/>
        </w:rPr>
        <w:t>’</w:t>
      </w:r>
      <w:r w:rsidRPr="001E3DBF">
        <w:rPr>
          <w:rFonts w:ascii="Raleway" w:hAnsi="Raleway"/>
          <w:sz w:val="15"/>
          <w:szCs w:val="15"/>
        </w:rPr>
        <w:t>État EO, Q. 33(d)).</w:t>
      </w:r>
    </w:p>
  </w:footnote>
  <w:footnote w:id="239">
    <w:p w14:paraId="32C1234D" w14:textId="7BC433A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Allemagne (2026), Italie (2026), </w:t>
      </w:r>
      <w:r>
        <w:rPr>
          <w:rFonts w:ascii="Raleway" w:hAnsi="Raleway"/>
          <w:sz w:val="15"/>
          <w:szCs w:val="15"/>
        </w:rPr>
        <w:t xml:space="preserve">Nouvelle-Zélande (2026), Suède (2026), </w:t>
      </w:r>
      <w:r w:rsidRPr="001E3DBF">
        <w:rPr>
          <w:rFonts w:ascii="Raleway" w:hAnsi="Raleway"/>
          <w:sz w:val="15"/>
          <w:szCs w:val="15"/>
        </w:rPr>
        <w:t>Suisse (2026) (Profils d</w:t>
      </w:r>
      <w:r>
        <w:rPr>
          <w:rFonts w:ascii="Raleway" w:hAnsi="Raleway"/>
          <w:sz w:val="15"/>
          <w:szCs w:val="15"/>
        </w:rPr>
        <w:t>’</w:t>
      </w:r>
      <w:r w:rsidRPr="001E3DBF">
        <w:rPr>
          <w:rFonts w:ascii="Raleway" w:hAnsi="Raleway"/>
          <w:sz w:val="15"/>
          <w:szCs w:val="15"/>
        </w:rPr>
        <w:t>État électroniques EA, Q. 29(d)) ; Danemark (2025), Espagne (2024), Finlande (2025), Luxembourg (2019), Norvège (2022), Pays-Bas (2022) (Profils d</w:t>
      </w:r>
      <w:r>
        <w:rPr>
          <w:rFonts w:ascii="Raleway" w:hAnsi="Raleway"/>
          <w:sz w:val="15"/>
          <w:szCs w:val="15"/>
        </w:rPr>
        <w:t>’</w:t>
      </w:r>
      <w:r w:rsidRPr="001E3DBF">
        <w:rPr>
          <w:rFonts w:ascii="Raleway" w:hAnsi="Raleway"/>
          <w:sz w:val="15"/>
          <w:szCs w:val="15"/>
        </w:rPr>
        <w:t xml:space="preserve">État EA, Q. 29(d)). </w:t>
      </w:r>
    </w:p>
  </w:footnote>
  <w:footnote w:id="240">
    <w:p w14:paraId="1B12AABF" w14:textId="31F1460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(Colombie-Britannique) (Profil d</w:t>
      </w:r>
      <w:r>
        <w:rPr>
          <w:rFonts w:ascii="Raleway" w:hAnsi="Raleway"/>
          <w:sz w:val="15"/>
          <w:szCs w:val="15"/>
        </w:rPr>
        <w:t>’</w:t>
      </w:r>
      <w:r w:rsidRPr="001E3DBF">
        <w:rPr>
          <w:rFonts w:ascii="Raleway" w:hAnsi="Raleway"/>
          <w:sz w:val="15"/>
          <w:szCs w:val="15"/>
        </w:rPr>
        <w:t>État EA (2022), Q. 29(d)).</w:t>
      </w:r>
    </w:p>
  </w:footnote>
  <w:footnote w:id="241">
    <w:p w14:paraId="67E73726" w14:textId="6E1CB02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(site web de l</w:t>
      </w:r>
      <w:r>
        <w:rPr>
          <w:rFonts w:ascii="Raleway" w:hAnsi="Raleway"/>
          <w:sz w:val="15"/>
          <w:szCs w:val="15"/>
        </w:rPr>
        <w:t>’</w:t>
      </w:r>
      <w:r w:rsidRPr="001E3DBF">
        <w:rPr>
          <w:rFonts w:ascii="Raleway" w:hAnsi="Raleway"/>
          <w:sz w:val="15"/>
          <w:szCs w:val="15"/>
        </w:rPr>
        <w:t xml:space="preserve">Autorité centrale : </w:t>
      </w:r>
      <w:hyperlink r:id="rId135" w:history="1">
        <w:r w:rsidRPr="001E3DBF">
          <w:rPr>
            <w:rStyle w:val="Hyperlink"/>
            <w:rFonts w:ascii="Raleway" w:hAnsi="Raleway"/>
            <w:i/>
            <w:iCs/>
            <w:sz w:val="15"/>
            <w:szCs w:val="15"/>
          </w:rPr>
          <w:t>Frequently Asked Questions on Intercountry Adoptions</w:t>
        </w:r>
      </w:hyperlink>
      <w:r w:rsidRPr="001E3DBF">
        <w:rPr>
          <w:rFonts w:ascii="Raleway" w:hAnsi="Raleway"/>
          <w:sz w:val="15"/>
          <w:szCs w:val="15"/>
        </w:rPr>
        <w:t xml:space="preserve"> (Questions fréquentes sur l</w:t>
      </w:r>
      <w:r>
        <w:rPr>
          <w:rFonts w:ascii="Raleway" w:hAnsi="Raleway"/>
          <w:sz w:val="15"/>
          <w:szCs w:val="15"/>
        </w:rPr>
        <w:t>’</w:t>
      </w:r>
      <w:r w:rsidRPr="001E3DBF">
        <w:rPr>
          <w:rFonts w:ascii="Raleway" w:hAnsi="Raleway"/>
          <w:sz w:val="15"/>
          <w:szCs w:val="15"/>
        </w:rPr>
        <w:t xml:space="preserve">adoption internationale)). </w:t>
      </w:r>
    </w:p>
  </w:footnote>
  <w:footnote w:id="242">
    <w:p w14:paraId="11F8DACE" w14:textId="4A03796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EurAdopt, La bonne pratique en ce qui concerne les aspects économiques de l</w:t>
      </w:r>
      <w:r>
        <w:rPr>
          <w:rFonts w:ascii="Raleway" w:hAnsi="Raleway"/>
          <w:sz w:val="15"/>
          <w:szCs w:val="15"/>
        </w:rPr>
        <w:t>’</w:t>
      </w:r>
      <w:r w:rsidRPr="001E3DBF">
        <w:rPr>
          <w:rFonts w:ascii="Raleway" w:hAnsi="Raleway"/>
          <w:sz w:val="15"/>
          <w:szCs w:val="15"/>
        </w:rPr>
        <w:t xml:space="preserve">adoption internationale,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_Ref174714396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45</w:t>
      </w:r>
      <w:r w:rsidRPr="001E3DBF">
        <w:rPr>
          <w:rFonts w:ascii="Raleway" w:hAnsi="Raleway"/>
          <w:sz w:val="15"/>
          <w:szCs w:val="15"/>
        </w:rPr>
        <w:fldChar w:fldCharType="end"/>
      </w:r>
      <w:r w:rsidRPr="001E3DBF">
        <w:rPr>
          <w:rFonts w:ascii="Raleway" w:hAnsi="Raleway"/>
          <w:sz w:val="15"/>
          <w:szCs w:val="15"/>
        </w:rPr>
        <w:t xml:space="preserve">, p. 26 ;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395.</w:t>
      </w:r>
    </w:p>
  </w:footnote>
  <w:footnote w:id="243">
    <w:p w14:paraId="62574CFB" w14:textId="00F84FB6"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(Profil d</w:t>
      </w:r>
      <w:r>
        <w:rPr>
          <w:rFonts w:ascii="Raleway" w:hAnsi="Raleway"/>
          <w:sz w:val="15"/>
          <w:szCs w:val="15"/>
        </w:rPr>
        <w:t>’</w:t>
      </w:r>
      <w:r w:rsidRPr="001E3DBF">
        <w:rPr>
          <w:rFonts w:ascii="Raleway" w:hAnsi="Raleway"/>
          <w:sz w:val="15"/>
          <w:szCs w:val="15"/>
        </w:rPr>
        <w:t>État électronique EA (2026), Q. 29(c)) ; Danemark (2025), Espagne (2024), Finlande (2025), Irlande (2023), Luxembourg (2019), Norvège (2022) (Profil d</w:t>
      </w:r>
      <w:r>
        <w:rPr>
          <w:rFonts w:ascii="Raleway" w:hAnsi="Raleway"/>
          <w:sz w:val="15"/>
          <w:szCs w:val="15"/>
        </w:rPr>
        <w:t>’</w:t>
      </w:r>
      <w:r w:rsidRPr="001E3DBF">
        <w:rPr>
          <w:rFonts w:ascii="Raleway" w:hAnsi="Raleway"/>
          <w:sz w:val="15"/>
          <w:szCs w:val="15"/>
        </w:rPr>
        <w:t>État EA, Q. 29(c)).</w:t>
      </w:r>
    </w:p>
  </w:footnote>
  <w:footnote w:id="244">
    <w:p w14:paraId="43EDE87C" w14:textId="703B1A1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Burkina Faso (2022), Burundi (2024), Chine (2023), Inde (2024), Philippines (2025) (Profils d</w:t>
      </w:r>
      <w:r>
        <w:rPr>
          <w:rFonts w:ascii="Raleway" w:hAnsi="Raleway"/>
          <w:sz w:val="15"/>
          <w:szCs w:val="15"/>
        </w:rPr>
        <w:t>’</w:t>
      </w:r>
      <w:r w:rsidRPr="001E3DBF">
        <w:rPr>
          <w:rFonts w:ascii="Raleway" w:hAnsi="Raleway"/>
          <w:sz w:val="15"/>
          <w:szCs w:val="15"/>
        </w:rPr>
        <w:t>État EO, Q. 33(c)).</w:t>
      </w:r>
    </w:p>
  </w:footnote>
  <w:footnote w:id="245">
    <w:p w14:paraId="16ABCE52" w14:textId="38A13F2A" w:rsidR="00974DA5" w:rsidRPr="001E3DBF" w:rsidRDefault="00974DA5" w:rsidP="00CD1418">
      <w:pPr>
        <w:pStyle w:val="FootnoteText"/>
        <w:ind w:left="284" w:hanging="284"/>
        <w:rPr>
          <w:rFonts w:ascii="Raleway" w:hAnsi="Raleway"/>
          <w:color w:val="00B0F0"/>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w:t>
      </w:r>
      <w:r>
        <w:rPr>
          <w:rFonts w:ascii="Raleway" w:hAnsi="Raleway"/>
          <w:sz w:val="15"/>
          <w:szCs w:val="15"/>
        </w:rPr>
        <w:t>r</w:t>
      </w:r>
      <w:r w:rsidRPr="001E3DBF">
        <w:rPr>
          <w:rFonts w:ascii="Raleway" w:hAnsi="Raleway"/>
          <w:sz w:val="15"/>
          <w:szCs w:val="15"/>
        </w:rPr>
        <w:t xml:space="preserve">ésolution fixant les critères de fonctionnement des autorités), résolution No 13/2008/SG, </w:t>
      </w:r>
      <w:r>
        <w:rPr>
          <w:rFonts w:ascii="Raleway" w:hAnsi="Raleway"/>
          <w:i/>
          <w:sz w:val="15"/>
          <w:szCs w:val="15"/>
        </w:rPr>
        <w:t xml:space="preserve">supra </w:t>
      </w:r>
      <w:r>
        <w:rPr>
          <w:rFonts w:ascii="Raleway" w:hAnsi="Raleway"/>
          <w:sz w:val="15"/>
          <w:szCs w:val="15"/>
        </w:rPr>
        <w:t>note </w:t>
      </w:r>
      <w:r>
        <w:rPr>
          <w:rFonts w:ascii="Raleway" w:hAnsi="Raleway"/>
          <w:sz w:val="15"/>
          <w:szCs w:val="15"/>
        </w:rPr>
        <w:fldChar w:fldCharType="begin"/>
      </w:r>
      <w:r>
        <w:rPr>
          <w:rFonts w:ascii="Raleway" w:hAnsi="Raleway"/>
          <w:sz w:val="15"/>
          <w:szCs w:val="15"/>
        </w:rPr>
        <w:instrText xml:space="preserve"> NOTEREF _Ref231375884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213</w:t>
      </w:r>
      <w:r>
        <w:rPr>
          <w:rFonts w:ascii="Raleway" w:hAnsi="Raleway"/>
          <w:sz w:val="15"/>
          <w:szCs w:val="15"/>
        </w:rPr>
        <w:fldChar w:fldCharType="end"/>
      </w:r>
      <w:r>
        <w:rPr>
          <w:rFonts w:ascii="Raleway" w:hAnsi="Raleway"/>
          <w:sz w:val="15"/>
          <w:szCs w:val="15"/>
        </w:rPr>
        <w:t xml:space="preserve">, </w:t>
      </w:r>
      <w:r w:rsidRPr="001E3DBF">
        <w:rPr>
          <w:rFonts w:ascii="Raleway" w:hAnsi="Raleway"/>
          <w:sz w:val="15"/>
          <w:szCs w:val="15"/>
        </w:rPr>
        <w:t>art. 18 et Nouvelles lignes directrices pour les agences agréées en matière d</w:t>
      </w:r>
      <w:r>
        <w:rPr>
          <w:rFonts w:ascii="Raleway" w:hAnsi="Raleway"/>
          <w:sz w:val="15"/>
          <w:szCs w:val="15"/>
        </w:rPr>
        <w:t>’</w:t>
      </w:r>
      <w:r w:rsidRPr="001E3DBF">
        <w:rPr>
          <w:rFonts w:ascii="Raleway" w:hAnsi="Raleway"/>
          <w:sz w:val="15"/>
          <w:szCs w:val="15"/>
        </w:rPr>
        <w:t>adoption</w:t>
      </w:r>
      <w:r>
        <w:rPr>
          <w:rFonts w:ascii="Raleway" w:hAnsi="Raleway"/>
          <w:sz w:val="15"/>
          <w:szCs w:val="15"/>
        </w:rPr>
        <w:t xml:space="preserve">, 2021, </w:t>
      </w:r>
      <w:r>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_Ref231375884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213</w:t>
      </w:r>
      <w:r>
        <w:rPr>
          <w:rFonts w:ascii="Raleway" w:hAnsi="Raleway"/>
          <w:sz w:val="15"/>
          <w:szCs w:val="15"/>
        </w:rPr>
        <w:fldChar w:fldCharType="end"/>
      </w:r>
      <w:r w:rsidRPr="001E3DBF">
        <w:rPr>
          <w:rFonts w:ascii="Raleway" w:hAnsi="Raleway"/>
          <w:sz w:val="15"/>
          <w:szCs w:val="15"/>
        </w:rPr>
        <w:t>).</w:t>
      </w:r>
    </w:p>
  </w:footnote>
  <w:footnote w:id="246">
    <w:p w14:paraId="1887DAC2" w14:textId="389BEE45" w:rsidR="00974DA5" w:rsidRPr="001E3DBF" w:rsidRDefault="00974DA5" w:rsidP="00EF4CF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Maurice (2026, Q. 33(b)), Chine (RAS de Hong Kong) (2026, Q. 33(d))</w:t>
      </w:r>
      <w:r>
        <w:rPr>
          <w:rFonts w:ascii="Raleway" w:hAnsi="Raleway"/>
          <w:sz w:val="15"/>
          <w:szCs w:val="15"/>
        </w:rPr>
        <w:t xml:space="preserve">, Guatemala (2026, Q. 33(b)) </w:t>
      </w:r>
      <w:r w:rsidRPr="001E3DBF">
        <w:rPr>
          <w:rFonts w:ascii="Raleway" w:hAnsi="Raleway"/>
          <w:sz w:val="15"/>
          <w:szCs w:val="15"/>
        </w:rPr>
        <w:t>(Profils d</w:t>
      </w:r>
      <w:r>
        <w:rPr>
          <w:rFonts w:ascii="Raleway" w:hAnsi="Raleway"/>
          <w:sz w:val="15"/>
          <w:szCs w:val="15"/>
        </w:rPr>
        <w:t>’</w:t>
      </w:r>
      <w:r w:rsidRPr="001E3DBF">
        <w:rPr>
          <w:rFonts w:ascii="Raleway" w:hAnsi="Raleway"/>
          <w:sz w:val="15"/>
          <w:szCs w:val="15"/>
        </w:rPr>
        <w:t>É</w:t>
      </w:r>
      <w:r>
        <w:rPr>
          <w:rFonts w:ascii="Raleway" w:hAnsi="Raleway"/>
          <w:sz w:val="15"/>
          <w:szCs w:val="15"/>
        </w:rPr>
        <w:t>tat électroniques EO) ; Nouvelle</w:t>
      </w:r>
      <w:r>
        <w:rPr>
          <w:rFonts w:ascii="Raleway" w:hAnsi="Raleway"/>
          <w:sz w:val="15"/>
          <w:szCs w:val="15"/>
        </w:rPr>
        <w:noBreakHyphen/>
        <w:t>Zélande (2026, Q. 31(b)) (Profil d’État électronique EA) ; Burkina </w:t>
      </w:r>
      <w:r w:rsidRPr="001E3DBF">
        <w:rPr>
          <w:rFonts w:ascii="Raleway" w:hAnsi="Raleway"/>
          <w:sz w:val="15"/>
          <w:szCs w:val="15"/>
        </w:rPr>
        <w:t>Faso (2022, Q. 33(b)), Ghana (2026, Q. 33(b)), Philippines (2025, Q. 33(b)), Thaïlande (2025, Q. 35(b)), Togo (2024, Q. 33(b)) (Profils d</w:t>
      </w:r>
      <w:r>
        <w:rPr>
          <w:rFonts w:ascii="Raleway" w:hAnsi="Raleway"/>
          <w:sz w:val="15"/>
          <w:szCs w:val="15"/>
        </w:rPr>
        <w:t>’</w:t>
      </w:r>
      <w:r w:rsidRPr="001E3DBF">
        <w:rPr>
          <w:rFonts w:ascii="Raleway" w:hAnsi="Raleway"/>
          <w:sz w:val="15"/>
          <w:szCs w:val="15"/>
        </w:rPr>
        <w:t>État EO) ; Malte (2023, Q. 29(d)), Royaum</w:t>
      </w:r>
      <w:r>
        <w:rPr>
          <w:rFonts w:ascii="Raleway" w:hAnsi="Raleway"/>
          <w:sz w:val="15"/>
          <w:szCs w:val="15"/>
        </w:rPr>
        <w:t>e-Uni (Écosse) (2025, Q. 29(d))</w:t>
      </w:r>
      <w:r w:rsidRPr="001E3DBF">
        <w:rPr>
          <w:rFonts w:ascii="Raleway" w:hAnsi="Raleway"/>
          <w:sz w:val="15"/>
          <w:szCs w:val="15"/>
        </w:rPr>
        <w:t xml:space="preserve"> (Profils d</w:t>
      </w:r>
      <w:r>
        <w:rPr>
          <w:rFonts w:ascii="Raleway" w:hAnsi="Raleway"/>
          <w:sz w:val="15"/>
          <w:szCs w:val="15"/>
        </w:rPr>
        <w:t>’</w:t>
      </w:r>
      <w:r w:rsidRPr="001E3DBF">
        <w:rPr>
          <w:rFonts w:ascii="Raleway" w:hAnsi="Raleway"/>
          <w:sz w:val="15"/>
          <w:szCs w:val="15"/>
        </w:rPr>
        <w:t>État EA)</w:t>
      </w:r>
      <w:r>
        <w:rPr>
          <w:rFonts w:ascii="Raleway" w:hAnsi="Raleway"/>
          <w:sz w:val="15"/>
          <w:szCs w:val="15"/>
        </w:rPr>
        <w:t>.</w:t>
      </w:r>
    </w:p>
  </w:footnote>
  <w:footnote w:id="247">
    <w:p w14:paraId="5C3CD40B" w14:textId="68E705A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693752">
        <w:rPr>
          <w:rFonts w:ascii="Raleway" w:hAnsi="Raleway"/>
          <w:sz w:val="15"/>
          <w:szCs w:val="15"/>
          <w:lang w:val="it-IT"/>
        </w:rPr>
        <w:t xml:space="preserve"> </w:t>
      </w:r>
      <w:r w:rsidRPr="00693752">
        <w:rPr>
          <w:rFonts w:ascii="Raleway" w:hAnsi="Raleway"/>
          <w:sz w:val="15"/>
          <w:szCs w:val="15"/>
          <w:lang w:val="it-IT"/>
        </w:rPr>
        <w:tab/>
        <w:t>Italie (</w:t>
      </w:r>
      <w:r w:rsidRPr="00693752">
        <w:rPr>
          <w:rFonts w:ascii="Raleway" w:hAnsi="Raleway"/>
          <w:i/>
          <w:sz w:val="15"/>
          <w:szCs w:val="15"/>
          <w:lang w:val="it-IT"/>
        </w:rPr>
        <w:t xml:space="preserve">Testo unico delle disposizioni legislative in materia di imposta sul valore aggiunto, </w:t>
      </w:r>
      <w:hyperlink r:id="rId136" w:history="1">
        <w:r w:rsidRPr="00693752">
          <w:rPr>
            <w:rStyle w:val="Hyperlink"/>
            <w:rFonts w:ascii="Raleway" w:hAnsi="Raleway"/>
            <w:i/>
            <w:sz w:val="15"/>
            <w:szCs w:val="15"/>
            <w:lang w:val="it-IT"/>
          </w:rPr>
          <w:t>Decreto del Presidente della Repubblica del 19/01/2026 n. </w:t>
        </w:r>
      </w:hyperlink>
      <w:r>
        <w:rPr>
          <w:rStyle w:val="Hyperlink"/>
          <w:rFonts w:ascii="Raleway" w:hAnsi="Raleway"/>
          <w:i/>
          <w:sz w:val="15"/>
          <w:szCs w:val="15"/>
        </w:rPr>
        <w:t>10</w:t>
      </w:r>
      <w:r w:rsidRPr="001E3DBF">
        <w:rPr>
          <w:rFonts w:ascii="Raleway" w:hAnsi="Raleway"/>
          <w:sz w:val="15"/>
          <w:szCs w:val="15"/>
        </w:rPr>
        <w:t xml:space="preserve"> (</w:t>
      </w:r>
      <w:r>
        <w:rPr>
          <w:rFonts w:ascii="Raleway" w:hAnsi="Raleway"/>
          <w:sz w:val="15"/>
          <w:szCs w:val="15"/>
        </w:rPr>
        <w:t xml:space="preserve">Texte unique en matière de </w:t>
      </w:r>
      <w:r w:rsidRPr="001E3DBF">
        <w:rPr>
          <w:rFonts w:ascii="Raleway" w:hAnsi="Raleway"/>
          <w:sz w:val="15"/>
          <w:szCs w:val="15"/>
        </w:rPr>
        <w:t>taxe sur la valeur ajoutée, décret présidentiel No </w:t>
      </w:r>
      <w:r>
        <w:rPr>
          <w:rFonts w:ascii="Raleway" w:hAnsi="Raleway"/>
          <w:sz w:val="15"/>
          <w:szCs w:val="15"/>
        </w:rPr>
        <w:t>10 du 19</w:t>
      </w:r>
      <w:r w:rsidRPr="001E3DBF">
        <w:rPr>
          <w:rFonts w:ascii="Raleway" w:hAnsi="Raleway"/>
          <w:sz w:val="15"/>
          <w:szCs w:val="15"/>
        </w:rPr>
        <w:t> </w:t>
      </w:r>
      <w:r>
        <w:rPr>
          <w:rFonts w:ascii="Raleway" w:hAnsi="Raleway"/>
          <w:sz w:val="15"/>
          <w:szCs w:val="15"/>
        </w:rPr>
        <w:t>janvier 2026</w:t>
      </w:r>
      <w:r w:rsidRPr="001E3DBF">
        <w:rPr>
          <w:rFonts w:ascii="Raleway" w:hAnsi="Raleway"/>
          <w:sz w:val="15"/>
          <w:szCs w:val="15"/>
        </w:rPr>
        <w:t>, art. </w:t>
      </w:r>
      <w:r>
        <w:rPr>
          <w:rFonts w:ascii="Raleway" w:hAnsi="Raleway"/>
          <w:sz w:val="15"/>
          <w:szCs w:val="15"/>
        </w:rPr>
        <w:t>7</w:t>
      </w:r>
      <w:r w:rsidRPr="001E3DBF">
        <w:rPr>
          <w:rFonts w:ascii="Raleway" w:hAnsi="Raleway"/>
          <w:sz w:val="15"/>
          <w:szCs w:val="15"/>
        </w:rPr>
        <w:t>2).</w:t>
      </w:r>
    </w:p>
  </w:footnote>
  <w:footnote w:id="248">
    <w:p w14:paraId="3CDFBB01" w14:textId="086C921C" w:rsidR="00974DA5" w:rsidRPr="00693752" w:rsidRDefault="00974DA5" w:rsidP="00CD1418">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693752">
        <w:rPr>
          <w:rFonts w:ascii="Raleway" w:hAnsi="Raleway"/>
          <w:sz w:val="15"/>
          <w:szCs w:val="15"/>
          <w:lang w:val="it-IT"/>
        </w:rPr>
        <w:t xml:space="preserve"> </w:t>
      </w:r>
      <w:r w:rsidRPr="00693752">
        <w:rPr>
          <w:rFonts w:ascii="Raleway" w:hAnsi="Raleway"/>
          <w:sz w:val="15"/>
          <w:szCs w:val="15"/>
          <w:lang w:val="it-IT"/>
        </w:rPr>
        <w:tab/>
        <w:t>Togo (Profil d’État EO (2024), Q. 33(b)).</w:t>
      </w:r>
    </w:p>
  </w:footnote>
  <w:footnote w:id="249">
    <w:p w14:paraId="6CE5631F" w14:textId="08CFEEF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Dans certains États d</w:t>
      </w:r>
      <w:r>
        <w:rPr>
          <w:rFonts w:ascii="Raleway" w:hAnsi="Raleway"/>
          <w:sz w:val="15"/>
          <w:szCs w:val="15"/>
        </w:rPr>
        <w:t>’</w:t>
      </w:r>
      <w:r w:rsidRPr="001E3DBF">
        <w:rPr>
          <w:rFonts w:ascii="Raleway" w:hAnsi="Raleway"/>
          <w:sz w:val="15"/>
          <w:szCs w:val="15"/>
        </w:rPr>
        <w:t>origine, un système d</w:t>
      </w:r>
      <w:r>
        <w:rPr>
          <w:rFonts w:ascii="Raleway" w:hAnsi="Raleway"/>
          <w:sz w:val="15"/>
          <w:szCs w:val="15"/>
        </w:rPr>
        <w:t>’</w:t>
      </w:r>
      <w:r w:rsidRPr="001E3DBF">
        <w:rPr>
          <w:rFonts w:ascii="Raleway" w:hAnsi="Raleway"/>
          <w:sz w:val="15"/>
          <w:szCs w:val="15"/>
        </w:rPr>
        <w:t>institutions pour enfants à deux vitesses a été mis en place : celles qui interviennent dans des adoptions internationales ont davantage de fonds pour fournir des services et des biens matériels aux enfants qu</w:t>
      </w:r>
      <w:r>
        <w:rPr>
          <w:rFonts w:ascii="Raleway" w:hAnsi="Raleway"/>
          <w:sz w:val="15"/>
          <w:szCs w:val="15"/>
        </w:rPr>
        <w:t>’</w:t>
      </w:r>
      <w:r w:rsidRPr="001E3DBF">
        <w:rPr>
          <w:rFonts w:ascii="Raleway" w:hAnsi="Raleway"/>
          <w:sz w:val="15"/>
          <w:szCs w:val="15"/>
        </w:rPr>
        <w:t>elles accueillent, tandis que celles qui n</w:t>
      </w:r>
      <w:r>
        <w:rPr>
          <w:rFonts w:ascii="Raleway" w:hAnsi="Raleway"/>
          <w:sz w:val="15"/>
          <w:szCs w:val="15"/>
        </w:rPr>
        <w:t>’</w:t>
      </w:r>
      <w:r w:rsidRPr="001E3DBF">
        <w:rPr>
          <w:rFonts w:ascii="Raleway" w:hAnsi="Raleway"/>
          <w:sz w:val="15"/>
          <w:szCs w:val="15"/>
        </w:rPr>
        <w:t>interviennent pas dans le domaine international ont moins d</w:t>
      </w:r>
      <w:r>
        <w:rPr>
          <w:rFonts w:ascii="Raleway" w:hAnsi="Raleway"/>
          <w:sz w:val="15"/>
          <w:szCs w:val="15"/>
        </w:rPr>
        <w:t>’</w:t>
      </w:r>
      <w:r w:rsidRPr="001E3DBF">
        <w:rPr>
          <w:rFonts w:ascii="Raleway" w:hAnsi="Raleway"/>
          <w:sz w:val="15"/>
          <w:szCs w:val="15"/>
        </w:rPr>
        <w:t>argent et ne peuvent donc fournir la même qualité de soins à leurs enfants. Dans certains États, des institutions pour enfants demandent plus d</w:t>
      </w:r>
      <w:r>
        <w:rPr>
          <w:rFonts w:ascii="Raleway" w:hAnsi="Raleway"/>
          <w:sz w:val="15"/>
          <w:szCs w:val="15"/>
        </w:rPr>
        <w:t>’</w:t>
      </w:r>
      <w:r w:rsidRPr="001E3DBF">
        <w:rPr>
          <w:rFonts w:ascii="Raleway" w:hAnsi="Raleway"/>
          <w:sz w:val="15"/>
          <w:szCs w:val="15"/>
        </w:rPr>
        <w:t>argent que d</w:t>
      </w:r>
      <w:r>
        <w:rPr>
          <w:rFonts w:ascii="Raleway" w:hAnsi="Raleway"/>
          <w:sz w:val="15"/>
          <w:szCs w:val="15"/>
        </w:rPr>
        <w:t>’</w:t>
      </w:r>
      <w:r w:rsidRPr="001E3DBF">
        <w:rPr>
          <w:rFonts w:ascii="Raleway" w:hAnsi="Raleway"/>
          <w:sz w:val="15"/>
          <w:szCs w:val="15"/>
        </w:rPr>
        <w:t xml:space="preserve">autres et les demandes de « dons » sont en forte augmentation. Voir par ex., </w:t>
      </w:r>
      <w:hyperlink r:id="rId137" w:history="1">
        <w:r w:rsidRPr="001E3DBF">
          <w:rPr>
            <w:rStyle w:val="Hyperlink"/>
            <w:rFonts w:ascii="Raleway" w:hAnsi="Raleway"/>
            <w:sz w:val="15"/>
            <w:szCs w:val="15"/>
          </w:rPr>
          <w:t>research-china.org</w:t>
        </w:r>
      </w:hyperlink>
      <w:r w:rsidRPr="001E3DBF">
        <w:rPr>
          <w:rFonts w:ascii="Raleway" w:hAnsi="Raleway"/>
          <w:sz w:val="15"/>
          <w:szCs w:val="15"/>
        </w:rPr>
        <w:t xml:space="preserve"> (2009) et </w:t>
      </w:r>
      <w:hyperlink r:id="rId138" w:history="1">
        <w:r w:rsidRPr="001E3DBF">
          <w:rPr>
            <w:rStyle w:val="Hyperlink"/>
            <w:rFonts w:ascii="Raleway" w:hAnsi="Raleway"/>
            <w:sz w:val="15"/>
            <w:szCs w:val="15"/>
          </w:rPr>
          <w:t>The Indian Express</w:t>
        </w:r>
      </w:hyperlink>
      <w:r w:rsidRPr="001E3DBF">
        <w:rPr>
          <w:rFonts w:ascii="Raleway" w:hAnsi="Raleway"/>
          <w:sz w:val="15"/>
          <w:szCs w:val="15"/>
        </w:rPr>
        <w:t xml:space="preserve"> (2012). </w:t>
      </w:r>
    </w:p>
  </w:footnote>
  <w:footnote w:id="250">
    <w:p w14:paraId="1D9E7420" w14:textId="21B334E0" w:rsidR="00974DA5" w:rsidRPr="001E3DBF" w:rsidRDefault="00974DA5" w:rsidP="004E2356">
      <w:pPr>
        <w:pStyle w:val="FootnoteText"/>
        <w:ind w:left="284" w:hanging="284"/>
        <w:rPr>
          <w:rFonts w:ascii="Raleway" w:hAnsi="Raleway"/>
          <w:sz w:val="15"/>
          <w:szCs w:val="15"/>
        </w:rPr>
      </w:pPr>
      <w:r w:rsidRPr="001E3DBF">
        <w:rPr>
          <w:rStyle w:val="FootnoteReference"/>
          <w:rFonts w:ascii="Raleway" w:hAnsi="Raleway"/>
          <w:sz w:val="15"/>
          <w:szCs w:val="15"/>
        </w:rPr>
        <w:footnoteRef/>
      </w:r>
      <w:r w:rsidR="00E6549D">
        <w:rPr>
          <w:rStyle w:val="FootnoteReference"/>
          <w:rFonts w:ascii="Raleway" w:hAnsi="Raleway"/>
          <w:sz w:val="15"/>
          <w:szCs w:val="15"/>
        </w:rPr>
        <w:t xml:space="preserve"> </w:t>
      </w:r>
      <w:r w:rsidRPr="001E3DBF">
        <w:rPr>
          <w:rFonts w:ascii="Raleway" w:hAnsi="Raleway"/>
          <w:sz w:val="15"/>
          <w:szCs w:val="15"/>
        </w:rPr>
        <w:tab/>
      </w:r>
      <w:r>
        <w:rPr>
          <w:rFonts w:ascii="Raleway" w:hAnsi="Raleway"/>
          <w:sz w:val="15"/>
          <w:szCs w:val="15"/>
        </w:rPr>
        <w:t>Belgique (expériences partagées par l’Autorité centrale flamande à l’une des réunions du Groupe de travail de la HCCH sur les aspects financiers)</w:t>
      </w:r>
      <w:r w:rsidRPr="001E3DBF">
        <w:rPr>
          <w:rFonts w:ascii="Raleway" w:hAnsi="Raleway"/>
          <w:sz w:val="15"/>
          <w:szCs w:val="15"/>
        </w:rPr>
        <w:t>.</w:t>
      </w:r>
    </w:p>
  </w:footnote>
  <w:footnote w:id="251">
    <w:p w14:paraId="78F748F2" w14:textId="0CFD20DC" w:rsidR="00974DA5" w:rsidRPr="001E3DBF" w:rsidRDefault="00974DA5" w:rsidP="004E2356">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Style w:val="FootnoteReference"/>
          <w:rFonts w:ascii="Raleway" w:hAnsi="Raleway"/>
          <w:sz w:val="15"/>
          <w:szCs w:val="15"/>
        </w:rPr>
        <w:t xml:space="preserve"> </w:t>
      </w:r>
      <w:r w:rsidRPr="001E3DBF">
        <w:rPr>
          <w:rFonts w:ascii="Raleway" w:hAnsi="Raleway"/>
          <w:sz w:val="15"/>
          <w:szCs w:val="15"/>
        </w:rPr>
        <w:tab/>
        <w:t>Canada (Québec) (</w:t>
      </w:r>
      <w:hyperlink r:id="rId139" w:history="1">
        <w:r>
          <w:rPr>
            <w:rStyle w:val="Hyperlink"/>
            <w:rFonts w:ascii="Raleway" w:hAnsi="Raleway"/>
            <w:sz w:val="15"/>
            <w:szCs w:val="15"/>
          </w:rPr>
          <w:t>r</w:t>
        </w:r>
        <w:r w:rsidRPr="004E2356">
          <w:rPr>
            <w:rStyle w:val="Hyperlink"/>
            <w:rFonts w:ascii="Raleway" w:hAnsi="Raleway"/>
            <w:sz w:val="15"/>
            <w:szCs w:val="15"/>
          </w:rPr>
          <w:t>èglement sur l</w:t>
        </w:r>
        <w:r>
          <w:rPr>
            <w:rStyle w:val="Hyperlink"/>
            <w:rFonts w:ascii="Raleway" w:hAnsi="Raleway"/>
            <w:sz w:val="15"/>
            <w:szCs w:val="15"/>
          </w:rPr>
          <w:t>’</w:t>
        </w:r>
        <w:r w:rsidRPr="004E2356">
          <w:rPr>
            <w:rStyle w:val="Hyperlink"/>
            <w:rFonts w:ascii="Raleway" w:hAnsi="Raleway"/>
            <w:sz w:val="15"/>
            <w:szCs w:val="15"/>
          </w:rPr>
          <w:t>agrément d</w:t>
        </w:r>
        <w:r>
          <w:rPr>
            <w:rStyle w:val="Hyperlink"/>
            <w:rFonts w:ascii="Raleway" w:hAnsi="Raleway"/>
            <w:sz w:val="15"/>
            <w:szCs w:val="15"/>
          </w:rPr>
          <w:t>’</w:t>
        </w:r>
        <w:r w:rsidRPr="004E2356">
          <w:rPr>
            <w:rStyle w:val="Hyperlink"/>
            <w:rFonts w:ascii="Raleway" w:hAnsi="Raleway"/>
            <w:sz w:val="15"/>
            <w:szCs w:val="15"/>
          </w:rPr>
          <w:t>organismes en adoption internationale</w:t>
        </w:r>
      </w:hyperlink>
      <w:r w:rsidRPr="001E3DBF">
        <w:rPr>
          <w:rFonts w:ascii="Raleway" w:hAnsi="Raleway"/>
          <w:sz w:val="15"/>
          <w:szCs w:val="15"/>
          <w:u w:val="single"/>
        </w:rPr>
        <w:t>,</w:t>
      </w:r>
      <w:r w:rsidRPr="001E3DBF">
        <w:rPr>
          <w:rFonts w:ascii="Raleway" w:hAnsi="Raleway"/>
          <w:sz w:val="15"/>
          <w:szCs w:val="15"/>
        </w:rPr>
        <w:t xml:space="preserve"> QLR c. P-34.1, r. 3, 2005, art. 13</w:t>
      </w:r>
      <w:r>
        <w:rPr>
          <w:rFonts w:ascii="Raleway" w:hAnsi="Raleway"/>
          <w:sz w:val="15"/>
          <w:szCs w:val="15"/>
        </w:rPr>
        <w:t>)</w:t>
      </w:r>
      <w:r w:rsidRPr="001E3DBF">
        <w:rPr>
          <w:rFonts w:ascii="Raleway" w:hAnsi="Raleway"/>
          <w:sz w:val="15"/>
          <w:szCs w:val="15"/>
        </w:rPr>
        <w:t>.</w:t>
      </w:r>
    </w:p>
  </w:footnote>
  <w:footnote w:id="252">
    <w:p w14:paraId="74F1DA90" w14:textId="35CC75B8" w:rsidR="00974DA5" w:rsidRPr="001E3DBF" w:rsidRDefault="00974DA5" w:rsidP="004E2356">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w:t>
      </w:r>
      <w:hyperlink r:id="rId140" w:history="1">
        <w:r w:rsidRPr="001E3DBF">
          <w:rPr>
            <w:rStyle w:val="Hyperlink"/>
            <w:rFonts w:ascii="Raleway" w:hAnsi="Raleway"/>
            <w:i/>
            <w:iCs/>
            <w:sz w:val="15"/>
            <w:szCs w:val="15"/>
          </w:rPr>
          <w:t>Philippine Inter-Country Adoption Act of 1995</w:t>
        </w:r>
      </w:hyperlink>
      <w:r w:rsidRPr="001E3DBF">
        <w:rPr>
          <w:rFonts w:ascii="Raleway" w:hAnsi="Raleway"/>
          <w:sz w:val="15"/>
          <w:szCs w:val="15"/>
        </w:rPr>
        <w:t xml:space="preserve"> (loi philippine sur l</w:t>
      </w:r>
      <w:r>
        <w:rPr>
          <w:rFonts w:ascii="Raleway" w:hAnsi="Raleway"/>
          <w:sz w:val="15"/>
          <w:szCs w:val="15"/>
        </w:rPr>
        <w:t>’</w:t>
      </w:r>
      <w:r w:rsidRPr="001E3DBF">
        <w:rPr>
          <w:rFonts w:ascii="Raleway" w:hAnsi="Raleway"/>
          <w:sz w:val="15"/>
          <w:szCs w:val="15"/>
        </w:rPr>
        <w:t>adoption internationale de 1995)).</w:t>
      </w:r>
    </w:p>
  </w:footnote>
  <w:footnote w:id="253">
    <w:p w14:paraId="247D0EF7" w14:textId="71D01AE0" w:rsidR="00974DA5" w:rsidRPr="001E3DBF" w:rsidRDefault="00974DA5" w:rsidP="004E2356">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(site web de l</w:t>
      </w:r>
      <w:r>
        <w:rPr>
          <w:rFonts w:ascii="Raleway" w:hAnsi="Raleway"/>
          <w:sz w:val="15"/>
          <w:szCs w:val="15"/>
        </w:rPr>
        <w:t>’</w:t>
      </w:r>
      <w:r w:rsidRPr="001E3DBF">
        <w:rPr>
          <w:rFonts w:ascii="Raleway" w:hAnsi="Raleway"/>
          <w:sz w:val="15"/>
          <w:szCs w:val="15"/>
        </w:rPr>
        <w:t xml:space="preserve">Autorité centrale : </w:t>
      </w:r>
      <w:hyperlink r:id="rId141" w:history="1">
        <w:r w:rsidRPr="003A38E2">
          <w:rPr>
            <w:rStyle w:val="Hyperlink"/>
            <w:rFonts w:ascii="Raleway" w:hAnsi="Raleway"/>
            <w:i/>
            <w:sz w:val="15"/>
            <w:szCs w:val="15"/>
          </w:rPr>
          <w:t>Fees, Charges and Assessment</w:t>
        </w:r>
      </w:hyperlink>
      <w:r w:rsidRPr="001E3DBF">
        <w:rPr>
          <w:rFonts w:ascii="Raleway" w:hAnsi="Raleway"/>
          <w:sz w:val="15"/>
          <w:szCs w:val="15"/>
        </w:rPr>
        <w:t xml:space="preserve"> (frais, dépenses et évaluation)).</w:t>
      </w:r>
    </w:p>
  </w:footnote>
  <w:footnote w:id="254">
    <w:p w14:paraId="4D29D5F3" w14:textId="4BAED81B" w:rsidR="00974DA5" w:rsidRPr="000F2513" w:rsidRDefault="00974DA5" w:rsidP="000F2513">
      <w:pPr>
        <w:pStyle w:val="FootnoteText"/>
        <w:ind w:left="284" w:hanging="284"/>
        <w:rPr>
          <w:rFonts w:ascii="Raleway" w:hAnsi="Raleway"/>
          <w:sz w:val="15"/>
          <w:szCs w:val="15"/>
        </w:rPr>
      </w:pPr>
      <w:r w:rsidRPr="000F2513">
        <w:rPr>
          <w:rStyle w:val="FootnoteReference"/>
          <w:rFonts w:ascii="Raleway" w:hAnsi="Raleway"/>
          <w:sz w:val="15"/>
          <w:szCs w:val="15"/>
        </w:rPr>
        <w:footnoteRef/>
      </w:r>
      <w:r w:rsidRPr="000F2513">
        <w:rPr>
          <w:rFonts w:ascii="Raleway" w:hAnsi="Raleway"/>
          <w:sz w:val="15"/>
          <w:szCs w:val="15"/>
        </w:rPr>
        <w:t xml:space="preserve"> </w:t>
      </w:r>
      <w:r>
        <w:rPr>
          <w:rFonts w:ascii="Raleway" w:hAnsi="Raleway"/>
          <w:sz w:val="15"/>
          <w:szCs w:val="15"/>
        </w:rPr>
        <w:tab/>
      </w:r>
      <w:r w:rsidRPr="001E3DBF">
        <w:rPr>
          <w:rFonts w:ascii="Raleway" w:hAnsi="Raleway"/>
          <w:sz w:val="15"/>
          <w:szCs w:val="15"/>
        </w:rPr>
        <w:t xml:space="preserve">Voir </w:t>
      </w:r>
      <w:r>
        <w:rPr>
          <w:rFonts w:ascii="Raleway" w:hAnsi="Raleway"/>
          <w:sz w:val="15"/>
          <w:szCs w:val="15"/>
        </w:rPr>
        <w:t>la recommandation énoncée dans</w:t>
      </w:r>
      <w:r w:rsidRPr="001E3DBF">
        <w:rPr>
          <w:rFonts w:ascii="Raleway" w:hAnsi="Raleway"/>
          <w:sz w:val="15"/>
          <w:szCs w:val="15"/>
        </w:rPr>
        <w:t xml:space="preserve"> EurAdopt, </w:t>
      </w:r>
      <w:hyperlink r:id="rId142" w:history="1">
        <w:r w:rsidRPr="001E3DBF">
          <w:rPr>
            <w:rStyle w:val="Hyperlink"/>
            <w:rFonts w:ascii="Raleway" w:hAnsi="Raleway"/>
            <w:sz w:val="15"/>
            <w:szCs w:val="15"/>
          </w:rPr>
          <w:t>La bonne pratique en ce qui concerne les aspects économiques de l</w:t>
        </w:r>
        <w:r>
          <w:rPr>
            <w:rStyle w:val="Hyperlink"/>
            <w:rFonts w:ascii="Raleway" w:hAnsi="Raleway"/>
            <w:sz w:val="15"/>
            <w:szCs w:val="15"/>
          </w:rPr>
          <w:t>’</w:t>
        </w:r>
        <w:r w:rsidRPr="001E3DBF">
          <w:rPr>
            <w:rStyle w:val="Hyperlink"/>
            <w:rFonts w:ascii="Raleway" w:hAnsi="Raleway"/>
            <w:sz w:val="15"/>
            <w:szCs w:val="15"/>
          </w:rPr>
          <w:t>adoption internationale</w:t>
        </w:r>
      </w:hyperlink>
      <w:r w:rsidRPr="001E3DBF">
        <w:rPr>
          <w:rFonts w:ascii="Raleway" w:hAnsi="Raleway"/>
          <w:sz w:val="15"/>
          <w:szCs w:val="15"/>
        </w:rPr>
        <w:t xml:space="preserve">,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_Ref174714396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45</w:t>
      </w:r>
      <w:r w:rsidRPr="001E3DBF">
        <w:rPr>
          <w:rFonts w:ascii="Raleway" w:hAnsi="Raleway"/>
          <w:sz w:val="15"/>
          <w:szCs w:val="15"/>
        </w:rPr>
        <w:fldChar w:fldCharType="end"/>
      </w:r>
      <w:r>
        <w:rPr>
          <w:rFonts w:ascii="Raleway" w:hAnsi="Raleway"/>
          <w:sz w:val="15"/>
          <w:szCs w:val="15"/>
        </w:rPr>
        <w:t>, p. 5.</w:t>
      </w:r>
    </w:p>
  </w:footnote>
  <w:footnote w:id="255">
    <w:p w14:paraId="2A176325" w14:textId="1C3D817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(Profil d</w:t>
      </w:r>
      <w:r>
        <w:rPr>
          <w:rFonts w:ascii="Raleway" w:hAnsi="Raleway"/>
          <w:sz w:val="15"/>
          <w:szCs w:val="15"/>
        </w:rPr>
        <w:t>’</w:t>
      </w:r>
      <w:r w:rsidRPr="001E3DBF">
        <w:rPr>
          <w:rFonts w:ascii="Raleway" w:hAnsi="Raleway"/>
          <w:sz w:val="15"/>
          <w:szCs w:val="15"/>
        </w:rPr>
        <w:t>État électronique EA (2026), Q. 29(b)).</w:t>
      </w:r>
    </w:p>
  </w:footnote>
  <w:footnote w:id="256">
    <w:p w14:paraId="6E77EE4A" w14:textId="70E8927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(Profil d</w:t>
      </w:r>
      <w:r>
        <w:rPr>
          <w:rFonts w:ascii="Raleway" w:hAnsi="Raleway"/>
          <w:sz w:val="15"/>
          <w:szCs w:val="15"/>
        </w:rPr>
        <w:t>’</w:t>
      </w:r>
      <w:r w:rsidRPr="001E3DBF">
        <w:rPr>
          <w:rFonts w:ascii="Raleway" w:hAnsi="Raleway"/>
          <w:sz w:val="15"/>
          <w:szCs w:val="15"/>
        </w:rPr>
        <w:t>État EA (2025), Q. 29(b)).</w:t>
      </w:r>
    </w:p>
  </w:footnote>
  <w:footnote w:id="257">
    <w:p w14:paraId="19799D6F" w14:textId="75F9D0F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Brésil (2026, Q. 33(b)) et Portugal (2024, Q. 7.1(b) et 7.2(c)) (Profils d</w:t>
      </w:r>
      <w:r>
        <w:rPr>
          <w:rFonts w:ascii="Raleway" w:hAnsi="Raleway"/>
          <w:sz w:val="15"/>
          <w:szCs w:val="15"/>
        </w:rPr>
        <w:t>’</w:t>
      </w:r>
      <w:r w:rsidRPr="001E3DBF">
        <w:rPr>
          <w:rFonts w:ascii="Raleway" w:hAnsi="Raleway"/>
          <w:sz w:val="15"/>
          <w:szCs w:val="15"/>
        </w:rPr>
        <w:t>État EO).</w:t>
      </w:r>
    </w:p>
  </w:footnote>
  <w:footnote w:id="258">
    <w:p w14:paraId="78605FD9" w14:textId="77777777" w:rsidR="00530D07" w:rsidRPr="00C32232" w:rsidRDefault="00530D07" w:rsidP="00530D0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 xml:space="preserve">Canada (Manitoba) (Profil d’État EA (2026), Q. 29(b)). </w:t>
      </w:r>
    </w:p>
  </w:footnote>
  <w:footnote w:id="259">
    <w:p w14:paraId="1A2C0E08" w14:textId="0EE550A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Chine (Profil d</w:t>
      </w:r>
      <w:r>
        <w:rPr>
          <w:rFonts w:ascii="Raleway" w:hAnsi="Raleway"/>
          <w:sz w:val="15"/>
          <w:szCs w:val="15"/>
        </w:rPr>
        <w:t>’</w:t>
      </w:r>
      <w:r w:rsidRPr="001E3DBF">
        <w:rPr>
          <w:rFonts w:ascii="Raleway" w:hAnsi="Raleway"/>
          <w:sz w:val="15"/>
          <w:szCs w:val="15"/>
        </w:rPr>
        <w:t>État EO (2023), Q. 33(b)).</w:t>
      </w:r>
    </w:p>
  </w:footnote>
  <w:footnote w:id="260">
    <w:p w14:paraId="4262FCFD" w14:textId="77777777" w:rsidR="00530D07" w:rsidRPr="001E3DBF" w:rsidRDefault="00530D07" w:rsidP="00530D07">
      <w:pPr>
        <w:pStyle w:val="FootnoteText"/>
        <w:ind w:left="284" w:hanging="284"/>
        <w:rPr>
          <w:rFonts w:ascii="Raleway" w:hAnsi="Raleway"/>
          <w:i/>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w:t>
      </w:r>
      <w:hyperlink r:id="rId143" w:history="1">
        <w:r w:rsidRPr="001E3DBF">
          <w:rPr>
            <w:rStyle w:val="Hyperlink"/>
            <w:rFonts w:ascii="Raleway" w:hAnsi="Raleway"/>
            <w:i/>
            <w:iCs/>
            <w:sz w:val="15"/>
            <w:szCs w:val="15"/>
          </w:rPr>
          <w:t>Report to Congress on the United States Central Authority Under the Hague Convention on Protection of Children and Co-Operation in Respect of Intercountry Adoption for Fiscal Year 2023, Sec. 104 of the Intercountry Adoption Act of 2000</w:t>
        </w:r>
      </w:hyperlink>
      <w:r w:rsidRPr="001E3DBF">
        <w:rPr>
          <w:rFonts w:ascii="Raleway" w:hAnsi="Raleway"/>
          <w:sz w:val="15"/>
          <w:szCs w:val="15"/>
        </w:rPr>
        <w:t xml:space="preserve"> (Rapport au Congrès concernant l</w:t>
      </w:r>
      <w:r>
        <w:rPr>
          <w:rFonts w:ascii="Raleway" w:hAnsi="Raleway"/>
          <w:sz w:val="15"/>
          <w:szCs w:val="15"/>
        </w:rPr>
        <w:t>’</w:t>
      </w:r>
      <w:r w:rsidRPr="001E3DBF">
        <w:rPr>
          <w:rFonts w:ascii="Raleway" w:hAnsi="Raleway"/>
          <w:sz w:val="15"/>
          <w:szCs w:val="15"/>
        </w:rPr>
        <w:t>Autorité centrale américaine</w:t>
      </w:r>
      <w:r>
        <w:rPr>
          <w:rFonts w:ascii="Raleway" w:hAnsi="Raleway"/>
          <w:sz w:val="15"/>
          <w:szCs w:val="15"/>
        </w:rPr>
        <w:t xml:space="preserve"> désignée</w:t>
      </w:r>
      <w:r w:rsidRPr="001E3DBF">
        <w:rPr>
          <w:rFonts w:ascii="Raleway" w:hAnsi="Raleway"/>
          <w:sz w:val="15"/>
          <w:szCs w:val="15"/>
        </w:rPr>
        <w:t xml:space="preserve"> dans le cadre de la Convention Adoption de 1993 pour l</w:t>
      </w:r>
      <w:r>
        <w:rPr>
          <w:rFonts w:ascii="Raleway" w:hAnsi="Raleway"/>
          <w:sz w:val="15"/>
          <w:szCs w:val="15"/>
        </w:rPr>
        <w:t>’</w:t>
      </w:r>
      <w:r w:rsidRPr="001E3DBF">
        <w:rPr>
          <w:rFonts w:ascii="Raleway" w:hAnsi="Raleway"/>
          <w:sz w:val="15"/>
          <w:szCs w:val="15"/>
        </w:rPr>
        <w:t>exercice financier 2023, section 104 de la loi de 2000 sur l</w:t>
      </w:r>
      <w:r>
        <w:rPr>
          <w:rFonts w:ascii="Raleway" w:hAnsi="Raleway"/>
          <w:sz w:val="15"/>
          <w:szCs w:val="15"/>
        </w:rPr>
        <w:t>’</w:t>
      </w:r>
      <w:r w:rsidRPr="001E3DBF">
        <w:rPr>
          <w:rFonts w:ascii="Raleway" w:hAnsi="Raleway"/>
          <w:sz w:val="15"/>
          <w:szCs w:val="15"/>
        </w:rPr>
        <w:t>adoption internationale)).</w:t>
      </w:r>
    </w:p>
  </w:footnote>
  <w:footnote w:id="261">
    <w:p w14:paraId="6A905537" w14:textId="77777777" w:rsidR="00530D07" w:rsidRPr="001E3DBF" w:rsidRDefault="00530D07" w:rsidP="00530D0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(Profil d</w:t>
      </w:r>
      <w:r>
        <w:rPr>
          <w:rFonts w:ascii="Raleway" w:hAnsi="Raleway"/>
          <w:sz w:val="15"/>
          <w:szCs w:val="15"/>
        </w:rPr>
        <w:t>’</w:t>
      </w:r>
      <w:r w:rsidRPr="001E3DBF">
        <w:rPr>
          <w:rFonts w:ascii="Raleway" w:hAnsi="Raleway"/>
          <w:sz w:val="15"/>
          <w:szCs w:val="15"/>
        </w:rPr>
        <w:t>État E</w:t>
      </w:r>
      <w:r>
        <w:rPr>
          <w:rFonts w:ascii="Raleway" w:hAnsi="Raleway"/>
          <w:sz w:val="15"/>
          <w:szCs w:val="15"/>
        </w:rPr>
        <w:t>O</w:t>
      </w:r>
      <w:r w:rsidRPr="001E3DBF">
        <w:rPr>
          <w:rFonts w:ascii="Raleway" w:hAnsi="Raleway"/>
          <w:sz w:val="15"/>
          <w:szCs w:val="15"/>
        </w:rPr>
        <w:t xml:space="preserve"> (2023), Q. 33(b)).</w:t>
      </w:r>
    </w:p>
  </w:footnote>
  <w:footnote w:id="262">
    <w:p w14:paraId="3E2220FB" w14:textId="77777777" w:rsidR="00530D07" w:rsidRPr="001E3DBF" w:rsidRDefault="00530D07" w:rsidP="00530D0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w:t>
      </w:r>
      <w:hyperlink r:id="rId144" w:history="1">
        <w:r w:rsidRPr="001E3DBF">
          <w:rPr>
            <w:rStyle w:val="Hyperlink"/>
            <w:rFonts w:ascii="Raleway" w:hAnsi="Raleway"/>
            <w:i/>
            <w:iCs/>
            <w:sz w:val="15"/>
            <w:szCs w:val="15"/>
          </w:rPr>
          <w:t>Understanding Your Rights – Reporting Concerns and Complaints in an Intercountry Adoption Case</w:t>
        </w:r>
      </w:hyperlink>
      <w:r w:rsidRPr="001E3DBF">
        <w:rPr>
          <w:rFonts w:ascii="Raleway" w:hAnsi="Raleway"/>
          <w:sz w:val="15"/>
          <w:szCs w:val="15"/>
        </w:rPr>
        <w:t xml:space="preserve"> (Comprendre vos droits – Signaler vos craintes et vos plaines dans le cadre d</w:t>
      </w:r>
      <w:r>
        <w:rPr>
          <w:rFonts w:ascii="Raleway" w:hAnsi="Raleway"/>
          <w:sz w:val="15"/>
          <w:szCs w:val="15"/>
        </w:rPr>
        <w:t>’</w:t>
      </w:r>
      <w:r w:rsidRPr="001E3DBF">
        <w:rPr>
          <w:rFonts w:ascii="Raleway" w:hAnsi="Raleway"/>
          <w:sz w:val="15"/>
          <w:szCs w:val="15"/>
        </w:rPr>
        <w:t>une adoption internationale)).</w:t>
      </w:r>
    </w:p>
  </w:footnote>
  <w:footnote w:id="263">
    <w:p w14:paraId="159AA52A" w14:textId="257BF66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France (Profil d</w:t>
      </w:r>
      <w:r>
        <w:rPr>
          <w:rFonts w:ascii="Raleway" w:hAnsi="Raleway"/>
          <w:sz w:val="15"/>
          <w:szCs w:val="15"/>
        </w:rPr>
        <w:t>’</w:t>
      </w:r>
      <w:r w:rsidRPr="001E3DBF">
        <w:rPr>
          <w:rFonts w:ascii="Raleway" w:hAnsi="Raleway"/>
          <w:sz w:val="15"/>
          <w:szCs w:val="15"/>
        </w:rPr>
        <w:t>État EA (2025), Q. 29(b)).</w:t>
      </w:r>
    </w:p>
  </w:footnote>
  <w:footnote w:id="264">
    <w:p w14:paraId="1A840B5B" w14:textId="33DACBB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(Profil d</w:t>
      </w:r>
      <w:r>
        <w:rPr>
          <w:rFonts w:ascii="Raleway" w:hAnsi="Raleway"/>
          <w:sz w:val="15"/>
          <w:szCs w:val="15"/>
        </w:rPr>
        <w:t>’</w:t>
      </w:r>
      <w:r w:rsidRPr="001E3DBF">
        <w:rPr>
          <w:rFonts w:ascii="Raleway" w:hAnsi="Raleway"/>
          <w:sz w:val="15"/>
          <w:szCs w:val="15"/>
        </w:rPr>
        <w:t>État électronique EA (2026), Q. 29(b)).</w:t>
      </w:r>
    </w:p>
  </w:footnote>
  <w:footnote w:id="265">
    <w:p w14:paraId="11533ADE" w14:textId="30945B90" w:rsidR="00974DA5" w:rsidRPr="001E3DBF" w:rsidRDefault="00974DA5" w:rsidP="000F2513">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Malte (Profil d</w:t>
      </w:r>
      <w:r>
        <w:rPr>
          <w:rFonts w:ascii="Raleway" w:hAnsi="Raleway"/>
          <w:sz w:val="15"/>
          <w:szCs w:val="15"/>
        </w:rPr>
        <w:t>’</w:t>
      </w:r>
      <w:r w:rsidRPr="001E3DBF">
        <w:rPr>
          <w:rFonts w:ascii="Raleway" w:hAnsi="Raleway"/>
          <w:sz w:val="15"/>
          <w:szCs w:val="15"/>
        </w:rPr>
        <w:t>État EA (2023), Q. 29(b)).</w:t>
      </w:r>
    </w:p>
  </w:footnote>
  <w:footnote w:id="266">
    <w:p w14:paraId="065B270A" w14:textId="77777777" w:rsidR="007962C2" w:rsidRPr="001E3DBF" w:rsidRDefault="007962C2" w:rsidP="007962C2">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Norvège (Profil d</w:t>
      </w:r>
      <w:r>
        <w:rPr>
          <w:rFonts w:ascii="Raleway" w:hAnsi="Raleway"/>
          <w:sz w:val="15"/>
          <w:szCs w:val="15"/>
        </w:rPr>
        <w:t>’</w:t>
      </w:r>
      <w:r w:rsidRPr="001E3DBF">
        <w:rPr>
          <w:rFonts w:ascii="Raleway" w:hAnsi="Raleway"/>
          <w:sz w:val="15"/>
          <w:szCs w:val="15"/>
        </w:rPr>
        <w:t>État EA (2022), Q. 29(b)).</w:t>
      </w:r>
    </w:p>
  </w:footnote>
  <w:footnote w:id="267">
    <w:p w14:paraId="02E661E8" w14:textId="1F09C717" w:rsidR="00974DA5" w:rsidRPr="001E3DBF" w:rsidRDefault="00974DA5" w:rsidP="000F2513">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Nouvelle-Zélande (Profil d</w:t>
      </w:r>
      <w:r>
        <w:rPr>
          <w:rFonts w:ascii="Raleway" w:hAnsi="Raleway"/>
          <w:sz w:val="15"/>
          <w:szCs w:val="15"/>
        </w:rPr>
        <w:t>’</w:t>
      </w:r>
      <w:r w:rsidRPr="001E3DBF">
        <w:rPr>
          <w:rFonts w:ascii="Raleway" w:hAnsi="Raleway"/>
          <w:sz w:val="15"/>
          <w:szCs w:val="15"/>
        </w:rPr>
        <w:t xml:space="preserve">État </w:t>
      </w:r>
      <w:r>
        <w:rPr>
          <w:rFonts w:ascii="Raleway" w:hAnsi="Raleway"/>
          <w:sz w:val="15"/>
          <w:szCs w:val="15"/>
        </w:rPr>
        <w:t>électronique EA (2026</w:t>
      </w:r>
      <w:r w:rsidRPr="001E3DBF">
        <w:rPr>
          <w:rFonts w:ascii="Raleway" w:hAnsi="Raleway"/>
          <w:sz w:val="15"/>
          <w:szCs w:val="15"/>
        </w:rPr>
        <w:t>), Q. 29(b)).</w:t>
      </w:r>
    </w:p>
  </w:footnote>
  <w:footnote w:id="268">
    <w:p w14:paraId="0A839F03" w14:textId="1E9E7D1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Annexe 2, Philippines.</w:t>
      </w:r>
    </w:p>
  </w:footnote>
  <w:footnote w:id="269">
    <w:p w14:paraId="3317E781" w14:textId="58ADDFE8" w:rsidR="00974DA5" w:rsidRPr="000F2513" w:rsidRDefault="00974DA5" w:rsidP="000F2513">
      <w:pPr>
        <w:pStyle w:val="FootnoteText"/>
        <w:ind w:left="284" w:hanging="284"/>
        <w:rPr>
          <w:rFonts w:ascii="Raleway" w:hAnsi="Raleway"/>
          <w:sz w:val="15"/>
          <w:szCs w:val="15"/>
        </w:rPr>
      </w:pPr>
      <w:r w:rsidRPr="000F2513">
        <w:rPr>
          <w:rStyle w:val="FootnoteReference"/>
          <w:rFonts w:ascii="Raleway" w:hAnsi="Raleway"/>
          <w:sz w:val="15"/>
          <w:szCs w:val="15"/>
        </w:rPr>
        <w:footnoteRef/>
      </w:r>
      <w:r w:rsidRPr="000F2513">
        <w:rPr>
          <w:rFonts w:ascii="Raleway" w:hAnsi="Raleway"/>
          <w:sz w:val="15"/>
          <w:szCs w:val="15"/>
        </w:rPr>
        <w:t xml:space="preserve"> </w:t>
      </w:r>
      <w:r>
        <w:rPr>
          <w:rFonts w:ascii="Raleway" w:hAnsi="Raleway"/>
          <w:sz w:val="15"/>
          <w:szCs w:val="15"/>
        </w:rPr>
        <w:tab/>
        <w:t xml:space="preserve">Philippines (les lignes directrices seront publiées sur le site web de l’Autorité centrale (NACC) : </w:t>
      </w:r>
      <w:hyperlink r:id="rId145" w:history="1">
        <w:r w:rsidRPr="006F50DC">
          <w:rPr>
            <w:rStyle w:val="Hyperlink"/>
            <w:rFonts w:ascii="Raleway" w:hAnsi="Raleway"/>
            <w:sz w:val="15"/>
            <w:szCs w:val="15"/>
          </w:rPr>
          <w:t>Ressources</w:t>
        </w:r>
      </w:hyperlink>
      <w:r>
        <w:rPr>
          <w:rFonts w:ascii="Raleway" w:hAnsi="Raleway"/>
          <w:sz w:val="15"/>
          <w:szCs w:val="15"/>
        </w:rPr>
        <w:t>).</w:t>
      </w:r>
    </w:p>
  </w:footnote>
  <w:footnote w:id="270">
    <w:p w14:paraId="4461FDA5" w14:textId="45E8A4A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Par ex., lors du </w:t>
      </w:r>
      <w:hyperlink r:id="rId146" w:history="1">
        <w:r w:rsidRPr="001E3DBF">
          <w:rPr>
            <w:rStyle w:val="Hyperlink"/>
            <w:rFonts w:ascii="Raleway" w:hAnsi="Raleway"/>
            <w:sz w:val="15"/>
            <w:szCs w:val="15"/>
          </w:rPr>
          <w:t>Séminaire de 2010 consacré à La protection transfrontière des enfants dans la région d</w:t>
        </w:r>
        <w:r>
          <w:rPr>
            <w:rStyle w:val="Hyperlink"/>
            <w:rFonts w:ascii="Raleway" w:hAnsi="Raleway"/>
            <w:sz w:val="15"/>
            <w:szCs w:val="15"/>
          </w:rPr>
          <w:t>’</w:t>
        </w:r>
        <w:r w:rsidRPr="001E3DBF">
          <w:rPr>
            <w:rStyle w:val="Hyperlink"/>
            <w:rFonts w:ascii="Raleway" w:hAnsi="Raleway"/>
            <w:sz w:val="15"/>
            <w:szCs w:val="15"/>
          </w:rPr>
          <w:t>Afrique australe et orientale – Le rôle des Conventions de La Haye relatives aux enfants</w:t>
        </w:r>
      </w:hyperlink>
      <w:r w:rsidRPr="001E3DBF">
        <w:rPr>
          <w:rFonts w:ascii="Raleway" w:hAnsi="Raleway"/>
          <w:sz w:val="15"/>
          <w:szCs w:val="15"/>
        </w:rPr>
        <w:t xml:space="preserve"> (Pretoria, du 22 au 25 février 2010), de hauts fonctionnaires, des juges, des universitaires, des chercheurs et d</w:t>
      </w:r>
      <w:r>
        <w:rPr>
          <w:rFonts w:ascii="Raleway" w:hAnsi="Raleway"/>
          <w:sz w:val="15"/>
          <w:szCs w:val="15"/>
        </w:rPr>
        <w:t>’</w:t>
      </w:r>
      <w:r w:rsidRPr="001E3DBF">
        <w:rPr>
          <w:rFonts w:ascii="Raleway" w:hAnsi="Raleway"/>
          <w:sz w:val="15"/>
          <w:szCs w:val="15"/>
        </w:rPr>
        <w:t>autres experts de divers pays sont unanimement convenus que « [l]es pays d</w:t>
      </w:r>
      <w:r>
        <w:rPr>
          <w:rFonts w:ascii="Raleway" w:hAnsi="Raleway"/>
          <w:sz w:val="15"/>
          <w:szCs w:val="15"/>
        </w:rPr>
        <w:t>’</w:t>
      </w:r>
      <w:r w:rsidRPr="001E3DBF">
        <w:rPr>
          <w:rFonts w:ascii="Raleway" w:hAnsi="Raleway"/>
          <w:sz w:val="15"/>
          <w:szCs w:val="15"/>
        </w:rPr>
        <w:t>accueil et les pays d</w:t>
      </w:r>
      <w:r>
        <w:rPr>
          <w:rFonts w:ascii="Raleway" w:hAnsi="Raleway"/>
          <w:sz w:val="15"/>
          <w:szCs w:val="15"/>
        </w:rPr>
        <w:t>’</w:t>
      </w:r>
      <w:r w:rsidRPr="001E3DBF">
        <w:rPr>
          <w:rFonts w:ascii="Raleway" w:hAnsi="Raleway"/>
          <w:sz w:val="15"/>
          <w:szCs w:val="15"/>
        </w:rPr>
        <w:t xml:space="preserve">origine </w:t>
      </w:r>
      <w:r>
        <w:rPr>
          <w:rFonts w:ascii="Raleway" w:hAnsi="Raleway"/>
          <w:sz w:val="15"/>
          <w:szCs w:val="15"/>
        </w:rPr>
        <w:t>doivent</w:t>
      </w:r>
      <w:r w:rsidRPr="001E3DBF">
        <w:rPr>
          <w:rFonts w:ascii="Raleway" w:hAnsi="Raleway"/>
          <w:sz w:val="15"/>
          <w:szCs w:val="15"/>
        </w:rPr>
        <w:t xml:space="preserve"> coopérer dans l</w:t>
      </w:r>
      <w:r>
        <w:rPr>
          <w:rFonts w:ascii="Raleway" w:hAnsi="Raleway"/>
          <w:sz w:val="15"/>
          <w:szCs w:val="15"/>
        </w:rPr>
        <w:t>’</w:t>
      </w:r>
      <w:r w:rsidRPr="001E3DBF">
        <w:rPr>
          <w:rFonts w:ascii="Raleway" w:hAnsi="Raleway"/>
          <w:sz w:val="15"/>
          <w:szCs w:val="15"/>
        </w:rPr>
        <w:t>échange d</w:t>
      </w:r>
      <w:r>
        <w:rPr>
          <w:rFonts w:ascii="Raleway" w:hAnsi="Raleway"/>
          <w:sz w:val="15"/>
          <w:szCs w:val="15"/>
        </w:rPr>
        <w:t>’</w:t>
      </w:r>
      <w:r w:rsidRPr="001E3DBF">
        <w:rPr>
          <w:rFonts w:ascii="Raleway" w:hAnsi="Raleway"/>
          <w:sz w:val="15"/>
          <w:szCs w:val="15"/>
        </w:rPr>
        <w:t>informations sur les coûts réels du traitement des adoptions ».</w:t>
      </w:r>
    </w:p>
  </w:footnote>
  <w:footnote w:id="271">
    <w:p w14:paraId="578F9400" w14:textId="7ABFECF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au Guatemala, il a été indiqué qu</w:t>
      </w:r>
      <w:r>
        <w:rPr>
          <w:rFonts w:ascii="Raleway" w:hAnsi="Raleway"/>
          <w:sz w:val="15"/>
          <w:szCs w:val="15"/>
        </w:rPr>
        <w:t>’</w:t>
      </w:r>
      <w:r w:rsidRPr="001E3DBF">
        <w:rPr>
          <w:rFonts w:ascii="Raleway" w:hAnsi="Raleway"/>
          <w:sz w:val="15"/>
          <w:szCs w:val="15"/>
        </w:rPr>
        <w:t>à l</w:t>
      </w:r>
      <w:r>
        <w:rPr>
          <w:rFonts w:ascii="Raleway" w:hAnsi="Raleway"/>
          <w:sz w:val="15"/>
          <w:szCs w:val="15"/>
        </w:rPr>
        <w:t>’</w:t>
      </w:r>
      <w:r w:rsidRPr="001E3DBF">
        <w:rPr>
          <w:rFonts w:ascii="Raleway" w:hAnsi="Raleway"/>
          <w:sz w:val="15"/>
          <w:szCs w:val="15"/>
        </w:rPr>
        <w:t>époque où le pays comptait de très nombreuses adoptions internationales, les revenus tirés de l</w:t>
      </w:r>
      <w:r>
        <w:rPr>
          <w:rFonts w:ascii="Raleway" w:hAnsi="Raleway"/>
          <w:sz w:val="15"/>
          <w:szCs w:val="15"/>
        </w:rPr>
        <w:t>’</w:t>
      </w:r>
      <w:r w:rsidRPr="001E3DBF">
        <w:rPr>
          <w:rFonts w:ascii="Raleway" w:hAnsi="Raleway"/>
          <w:sz w:val="15"/>
          <w:szCs w:val="15"/>
        </w:rPr>
        <w:t>adoption représentaient la deuxième source de revenus du pays. Ce calcul tenait compte du coût moyen de chaque adoption internationale, ainsi que des sommes versées aux différents acteurs de la procédure d</w:t>
      </w:r>
      <w:r>
        <w:rPr>
          <w:rFonts w:ascii="Raleway" w:hAnsi="Raleway"/>
          <w:sz w:val="15"/>
          <w:szCs w:val="15"/>
        </w:rPr>
        <w:t>’</w:t>
      </w:r>
      <w:r w:rsidRPr="001E3DBF">
        <w:rPr>
          <w:rFonts w:ascii="Raleway" w:hAnsi="Raleway"/>
          <w:sz w:val="15"/>
          <w:szCs w:val="15"/>
        </w:rPr>
        <w:t>adoption. Les frais de séjour dans l</w:t>
      </w:r>
      <w:r>
        <w:rPr>
          <w:rFonts w:ascii="Raleway" w:hAnsi="Raleway"/>
          <w:sz w:val="15"/>
          <w:szCs w:val="15"/>
        </w:rPr>
        <w:t>’</w:t>
      </w:r>
      <w:r w:rsidRPr="001E3DBF">
        <w:rPr>
          <w:rFonts w:ascii="Raleway" w:hAnsi="Raleway"/>
          <w:sz w:val="15"/>
          <w:szCs w:val="15"/>
        </w:rPr>
        <w:t>État d</w:t>
      </w:r>
      <w:r>
        <w:rPr>
          <w:rFonts w:ascii="Raleway" w:hAnsi="Raleway"/>
          <w:sz w:val="15"/>
          <w:szCs w:val="15"/>
        </w:rPr>
        <w:t>’</w:t>
      </w:r>
      <w:r w:rsidRPr="001E3DBF">
        <w:rPr>
          <w:rFonts w:ascii="Raleway" w:hAnsi="Raleway"/>
          <w:sz w:val="15"/>
          <w:szCs w:val="15"/>
        </w:rPr>
        <w:t>origine pendant la procédure d</w:t>
      </w:r>
      <w:r>
        <w:rPr>
          <w:rFonts w:ascii="Raleway" w:hAnsi="Raleway"/>
          <w:sz w:val="15"/>
          <w:szCs w:val="15"/>
        </w:rPr>
        <w:t>’</w:t>
      </w:r>
      <w:r w:rsidRPr="001E3DBF">
        <w:rPr>
          <w:rFonts w:ascii="Raleway" w:hAnsi="Raleway"/>
          <w:sz w:val="15"/>
          <w:szCs w:val="15"/>
        </w:rPr>
        <w:t>adoption étaient également pris en compte.</w:t>
      </w:r>
    </w:p>
  </w:footnote>
  <w:footnote w:id="272">
    <w:p w14:paraId="3A2D9FF0" w14:textId="3D401EA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Voir chapitre </w:t>
      </w:r>
      <w:r w:rsidRPr="001E3DBF">
        <w:rPr>
          <w:rFonts w:ascii="Raleway" w:hAnsi="Raleway"/>
          <w:sz w:val="15"/>
          <w:szCs w:val="15"/>
        </w:rPr>
        <w:fldChar w:fldCharType="begin"/>
      </w:r>
      <w:r w:rsidRPr="001E3DBF">
        <w:rPr>
          <w:rFonts w:ascii="Raleway" w:hAnsi="Raleway"/>
          <w:sz w:val="15"/>
          <w:szCs w:val="15"/>
        </w:rPr>
        <w:instrText xml:space="preserve"> REF _Ref212146070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4.4</w:t>
      </w:r>
      <w:r w:rsidRPr="001E3DBF">
        <w:rPr>
          <w:rFonts w:ascii="Raleway" w:hAnsi="Raleway"/>
          <w:sz w:val="15"/>
          <w:szCs w:val="15"/>
        </w:rPr>
        <w:fldChar w:fldCharType="end"/>
      </w:r>
      <w:r w:rsidRPr="001E3DBF">
        <w:rPr>
          <w:rFonts w:ascii="Raleway" w:hAnsi="Raleway"/>
          <w:sz w:val="15"/>
          <w:szCs w:val="15"/>
        </w:rPr>
        <w:t xml:space="preserve"> de cette Note. </w:t>
      </w:r>
    </w:p>
  </w:footnote>
  <w:footnote w:id="273">
    <w:p w14:paraId="4E1826C5" w14:textId="54E96E48" w:rsidR="00974DA5" w:rsidRPr="006F50DC" w:rsidRDefault="00974DA5" w:rsidP="006F50DC">
      <w:pPr>
        <w:pStyle w:val="FootnoteText"/>
        <w:ind w:left="284" w:hanging="284"/>
        <w:rPr>
          <w:rFonts w:ascii="Raleway" w:hAnsi="Raleway"/>
          <w:sz w:val="15"/>
          <w:szCs w:val="15"/>
        </w:rPr>
      </w:pPr>
      <w:r w:rsidRPr="006F50DC">
        <w:rPr>
          <w:rStyle w:val="FootnoteReference"/>
          <w:rFonts w:ascii="Raleway" w:hAnsi="Raleway"/>
          <w:sz w:val="15"/>
          <w:szCs w:val="15"/>
        </w:rPr>
        <w:footnoteRef/>
      </w:r>
      <w:r w:rsidRPr="006F50DC">
        <w:rPr>
          <w:rFonts w:ascii="Raleway" w:hAnsi="Raleway"/>
          <w:sz w:val="15"/>
          <w:szCs w:val="15"/>
        </w:rPr>
        <w:t xml:space="preserve"> </w:t>
      </w:r>
      <w:r>
        <w:rPr>
          <w:rFonts w:ascii="Raleway" w:hAnsi="Raleway"/>
          <w:sz w:val="15"/>
          <w:szCs w:val="15"/>
        </w:rPr>
        <w:tab/>
        <w:t xml:space="preserve">Réponses de l’Allemagne (2020), du Danemark (2022), des États-Unis (2020) et de la France (2025) aux </w:t>
      </w:r>
      <w:hyperlink r:id="rId147" w:history="1">
        <w:r w:rsidRPr="002C0F3F">
          <w:rPr>
            <w:rStyle w:val="Hyperlink"/>
            <w:rFonts w:ascii="Raleway" w:hAnsi="Raleway"/>
            <w:sz w:val="15"/>
            <w:szCs w:val="15"/>
          </w:rPr>
          <w:t>Tableaux sur les aspects financiers</w:t>
        </w:r>
      </w:hyperlink>
      <w:r>
        <w:rPr>
          <w:rFonts w:ascii="Raleway" w:hAnsi="Raleway"/>
          <w:sz w:val="15"/>
          <w:szCs w:val="15"/>
        </w:rPr>
        <w:t>.</w:t>
      </w:r>
    </w:p>
  </w:footnote>
  <w:footnote w:id="274">
    <w:p w14:paraId="46A4DEDB" w14:textId="1153EF1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Étude sur les coûts de l</w:t>
      </w:r>
      <w:r>
        <w:rPr>
          <w:rFonts w:ascii="Raleway" w:hAnsi="Raleway"/>
          <w:sz w:val="15"/>
          <w:szCs w:val="15"/>
        </w:rPr>
        <w:t>’</w:t>
      </w:r>
      <w:r w:rsidRPr="001E3DBF">
        <w:rPr>
          <w:rFonts w:ascii="Raleway" w:hAnsi="Raleway"/>
          <w:sz w:val="15"/>
          <w:szCs w:val="15"/>
        </w:rPr>
        <w:t>adoption présentée par l</w:t>
      </w:r>
      <w:r>
        <w:rPr>
          <w:rFonts w:ascii="Raleway" w:hAnsi="Raleway"/>
          <w:sz w:val="15"/>
          <w:szCs w:val="15"/>
        </w:rPr>
        <w:t>’</w:t>
      </w:r>
      <w:r w:rsidRPr="001E3DBF">
        <w:rPr>
          <w:rFonts w:ascii="Raleway" w:hAnsi="Raleway"/>
          <w:sz w:val="15"/>
          <w:szCs w:val="15"/>
        </w:rPr>
        <w:t>Autorité centrale italienne (CAI) pour la 17</w:t>
      </w:r>
      <w:r w:rsidRPr="001E3DBF">
        <w:rPr>
          <w:rFonts w:ascii="Raleway" w:hAnsi="Raleway"/>
          <w:sz w:val="15"/>
          <w:szCs w:val="15"/>
          <w:vertAlign w:val="superscript"/>
        </w:rPr>
        <w:t>e</w:t>
      </w:r>
      <w:r w:rsidRPr="001E3DBF">
        <w:rPr>
          <w:rFonts w:ascii="Raleway" w:hAnsi="Raleway"/>
          <w:sz w:val="15"/>
          <w:szCs w:val="15"/>
        </w:rPr>
        <w:t> réunion des Autorités centrales européennes, Rome, 1</w:t>
      </w:r>
      <w:r w:rsidRPr="001E3DBF">
        <w:rPr>
          <w:rFonts w:ascii="Raleway" w:hAnsi="Raleway"/>
          <w:sz w:val="15"/>
          <w:szCs w:val="15"/>
          <w:vertAlign w:val="superscript"/>
        </w:rPr>
        <w:t>er</w:t>
      </w:r>
      <w:r w:rsidRPr="001E3DBF">
        <w:rPr>
          <w:rFonts w:ascii="Raleway" w:hAnsi="Raleway"/>
          <w:sz w:val="15"/>
          <w:szCs w:val="15"/>
        </w:rPr>
        <w:t>-2 décembre 2011. Les documents sont disponibles sur demande. Ces documents présentaient les frais demandés par plusieurs OAA de plusieurs États européens pour des adoptions intervenant dans une sélection d</w:t>
      </w:r>
      <w:r>
        <w:rPr>
          <w:rFonts w:ascii="Raleway" w:hAnsi="Raleway"/>
          <w:sz w:val="15"/>
          <w:szCs w:val="15"/>
        </w:rPr>
        <w:t>’</w:t>
      </w:r>
      <w:r w:rsidRPr="001E3DBF">
        <w:rPr>
          <w:rFonts w:ascii="Raleway" w:hAnsi="Raleway"/>
          <w:sz w:val="15"/>
          <w:szCs w:val="15"/>
        </w:rPr>
        <w:t>États d</w:t>
      </w:r>
      <w:r>
        <w:rPr>
          <w:rFonts w:ascii="Raleway" w:hAnsi="Raleway"/>
          <w:sz w:val="15"/>
          <w:szCs w:val="15"/>
        </w:rPr>
        <w:t>’</w:t>
      </w:r>
      <w:r w:rsidRPr="001E3DBF">
        <w:rPr>
          <w:rFonts w:ascii="Raleway" w:hAnsi="Raleway"/>
          <w:sz w:val="15"/>
          <w:szCs w:val="15"/>
        </w:rPr>
        <w:t xml:space="preserve">origine. Voir aussi ACPF, </w:t>
      </w:r>
      <w:r w:rsidRPr="001E3DBF">
        <w:rPr>
          <w:rFonts w:ascii="Raleway" w:hAnsi="Raleway"/>
          <w:i/>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24</w:t>
      </w:r>
      <w:r w:rsidRPr="001E3DBF">
        <w:rPr>
          <w:rFonts w:ascii="Raleway" w:hAnsi="Raleway"/>
          <w:sz w:val="15"/>
          <w:szCs w:val="15"/>
        </w:rPr>
        <w:fldChar w:fldCharType="end"/>
      </w:r>
      <w:r w:rsidRPr="001E3DBF">
        <w:rPr>
          <w:rFonts w:ascii="Raleway" w:hAnsi="Raleway"/>
          <w:sz w:val="15"/>
          <w:szCs w:val="15"/>
        </w:rPr>
        <w:t>, p. 21 et 22.</w:t>
      </w:r>
    </w:p>
  </w:footnote>
  <w:footnote w:id="275">
    <w:p w14:paraId="3E06548C" w14:textId="248C1F4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Fiche thématique du SSI,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24</w:t>
      </w:r>
      <w:r w:rsidRPr="001E3DBF">
        <w:rPr>
          <w:rFonts w:ascii="Raleway" w:hAnsi="Raleway"/>
          <w:sz w:val="15"/>
          <w:szCs w:val="15"/>
        </w:rPr>
        <w:fldChar w:fldCharType="end"/>
      </w:r>
      <w:r w:rsidRPr="001E3DBF">
        <w:rPr>
          <w:rFonts w:ascii="Raleway" w:hAnsi="Raleway"/>
          <w:sz w:val="15"/>
          <w:szCs w:val="15"/>
        </w:rPr>
        <w:t>.</w:t>
      </w:r>
    </w:p>
  </w:footnote>
  <w:footnote w:id="276">
    <w:p w14:paraId="657BAB1B" w14:textId="1B6F208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EurAdopt, La bonne pratique en ce qui concerne les aspects économiques de l</w:t>
      </w:r>
      <w:r>
        <w:rPr>
          <w:rFonts w:ascii="Raleway" w:hAnsi="Raleway"/>
          <w:sz w:val="15"/>
          <w:szCs w:val="15"/>
        </w:rPr>
        <w:t>’</w:t>
      </w:r>
      <w:r w:rsidRPr="001E3DBF">
        <w:rPr>
          <w:rFonts w:ascii="Raleway" w:hAnsi="Raleway"/>
          <w:sz w:val="15"/>
          <w:szCs w:val="15"/>
        </w:rPr>
        <w:t xml:space="preserve">adoption internationale, </w:t>
      </w:r>
      <w:r w:rsidRPr="001E3DBF">
        <w:rPr>
          <w:rFonts w:ascii="Raleway" w:hAnsi="Raleway"/>
          <w:i/>
          <w:iCs/>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_Ref174714396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45</w:t>
      </w:r>
      <w:r w:rsidRPr="001E3DBF">
        <w:rPr>
          <w:rFonts w:ascii="Raleway" w:hAnsi="Raleway"/>
          <w:sz w:val="15"/>
          <w:szCs w:val="15"/>
        </w:rPr>
        <w:fldChar w:fldCharType="end"/>
      </w:r>
      <w:r w:rsidRPr="001E3DBF">
        <w:rPr>
          <w:rFonts w:ascii="Raleway" w:hAnsi="Raleway"/>
          <w:sz w:val="15"/>
          <w:szCs w:val="15"/>
        </w:rPr>
        <w:t>, p. 30.</w:t>
      </w:r>
    </w:p>
  </w:footnote>
  <w:footnote w:id="277">
    <w:p w14:paraId="54602278" w14:textId="75D46EA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463 pour une analyse de la pénurie de travailleurs sociaux dans certains États. La sécurité des travailleurs sociaux peut être menacée lorsqu</w:t>
      </w:r>
      <w:r>
        <w:rPr>
          <w:rFonts w:ascii="Raleway" w:hAnsi="Raleway"/>
          <w:sz w:val="15"/>
          <w:szCs w:val="15"/>
        </w:rPr>
        <w:t>’</w:t>
      </w:r>
      <w:r w:rsidRPr="001E3DBF">
        <w:rPr>
          <w:rFonts w:ascii="Raleway" w:hAnsi="Raleway"/>
          <w:sz w:val="15"/>
          <w:szCs w:val="15"/>
        </w:rPr>
        <w:t>ils doivent travailler dans des zones reculées ou se rendre seuls dans une famille.</w:t>
      </w:r>
    </w:p>
  </w:footnote>
  <w:footnote w:id="278">
    <w:p w14:paraId="07173282" w14:textId="63FD064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un employé d</w:t>
      </w:r>
      <w:r>
        <w:rPr>
          <w:rFonts w:ascii="Raleway" w:hAnsi="Raleway"/>
          <w:sz w:val="15"/>
          <w:szCs w:val="15"/>
        </w:rPr>
        <w:t>’</w:t>
      </w:r>
      <w:r w:rsidRPr="001E3DBF">
        <w:rPr>
          <w:rFonts w:ascii="Raleway" w:hAnsi="Raleway"/>
          <w:sz w:val="15"/>
          <w:szCs w:val="15"/>
        </w:rPr>
        <w:t>un OAA qui travaille également avec des institutions pour enfants dans l</w:t>
      </w:r>
      <w:r>
        <w:rPr>
          <w:rFonts w:ascii="Raleway" w:hAnsi="Raleway"/>
          <w:sz w:val="15"/>
          <w:szCs w:val="15"/>
        </w:rPr>
        <w:t>’</w:t>
      </w:r>
      <w:r w:rsidRPr="001E3DBF">
        <w:rPr>
          <w:rFonts w:ascii="Raleway" w:hAnsi="Raleway"/>
          <w:sz w:val="15"/>
          <w:szCs w:val="15"/>
        </w:rPr>
        <w:t>État d</w:t>
      </w:r>
      <w:r>
        <w:rPr>
          <w:rFonts w:ascii="Raleway" w:hAnsi="Raleway"/>
          <w:sz w:val="15"/>
          <w:szCs w:val="15"/>
        </w:rPr>
        <w:t>’</w:t>
      </w:r>
      <w:r w:rsidRPr="001E3DBF">
        <w:rPr>
          <w:rFonts w:ascii="Raleway" w:hAnsi="Raleway"/>
          <w:sz w:val="15"/>
          <w:szCs w:val="15"/>
        </w:rPr>
        <w:t>origine peut être tiraillé entre des intérêts concurrents (œuvrer à un placement national de l</w:t>
      </w:r>
      <w:r>
        <w:rPr>
          <w:rFonts w:ascii="Raleway" w:hAnsi="Raleway"/>
          <w:sz w:val="15"/>
          <w:szCs w:val="15"/>
        </w:rPr>
        <w:t>’</w:t>
      </w:r>
      <w:r w:rsidRPr="001E3DBF">
        <w:rPr>
          <w:rFonts w:ascii="Raleway" w:hAnsi="Raleway"/>
          <w:sz w:val="15"/>
          <w:szCs w:val="15"/>
        </w:rPr>
        <w:t xml:space="preserve">enfant et aider des FPA étrangers à adopter le même enfant). Voir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228.</w:t>
      </w:r>
    </w:p>
  </w:footnote>
  <w:footnote w:id="279">
    <w:p w14:paraId="53A0C92A" w14:textId="7AC3F802" w:rsidR="00974DA5" w:rsidRPr="001E3DBF" w:rsidRDefault="00974DA5" w:rsidP="003016B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Brésil (2023), Chili (2023). Colombie (2025), El Salvador (2020), Équateur (2025), Mexique (2025), Pérou (2022), Uruguay (2021) (</w:t>
      </w:r>
      <w:hyperlink r:id="rId148" w:history="1">
        <w:r w:rsidRPr="001E3DBF">
          <w:rPr>
            <w:rStyle w:val="Hyperlink"/>
            <w:rFonts w:ascii="Raleway" w:hAnsi="Raleway"/>
            <w:sz w:val="15"/>
            <w:szCs w:val="15"/>
          </w:rPr>
          <w:t>Tableaux sur les aspects financiers</w:t>
        </w:r>
      </w:hyperlink>
      <w:r w:rsidRPr="001E3DBF">
        <w:rPr>
          <w:rFonts w:ascii="Raleway" w:hAnsi="Raleway"/>
          <w:sz w:val="15"/>
          <w:szCs w:val="15"/>
        </w:rPr>
        <w:t xml:space="preserve">) ; Colombie (Autorité centrale (ICBF), </w:t>
      </w:r>
      <w:hyperlink r:id="rId149" w:history="1">
        <w:r w:rsidRPr="001E3DBF">
          <w:rPr>
            <w:rStyle w:val="Hyperlink"/>
            <w:rFonts w:ascii="Raleway" w:hAnsi="Raleway"/>
            <w:i/>
            <w:iCs/>
            <w:sz w:val="15"/>
            <w:szCs w:val="15"/>
          </w:rPr>
          <w:t>Asistente de Adopciones</w:t>
        </w:r>
      </w:hyperlink>
      <w:r w:rsidRPr="001E3DBF">
        <w:rPr>
          <w:rFonts w:ascii="Raleway" w:hAnsi="Raleway"/>
          <w:sz w:val="15"/>
          <w:szCs w:val="15"/>
        </w:rPr>
        <w:t xml:space="preserve"> (Aide pour adopter)).</w:t>
      </w:r>
    </w:p>
  </w:footnote>
  <w:footnote w:id="280">
    <w:p w14:paraId="5A52290C" w14:textId="4B0E4D8D" w:rsidR="00974DA5" w:rsidRPr="001E3DBF" w:rsidRDefault="00974DA5" w:rsidP="003016B7">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Portugal (2024) et République tchèque (2025) (</w:t>
      </w:r>
      <w:hyperlink r:id="rId150" w:history="1">
        <w:r w:rsidRPr="001E3DBF">
          <w:rPr>
            <w:rStyle w:val="Hyperlink"/>
            <w:rFonts w:ascii="Raleway" w:hAnsi="Raleway"/>
            <w:sz w:val="15"/>
            <w:szCs w:val="15"/>
          </w:rPr>
          <w:t>Tableaux sur les aspects financiers</w:t>
        </w:r>
      </w:hyperlink>
      <w:r w:rsidRPr="001E3DBF">
        <w:rPr>
          <w:rFonts w:ascii="Raleway" w:hAnsi="Raleway"/>
          <w:sz w:val="15"/>
          <w:szCs w:val="15"/>
        </w:rPr>
        <w:t>).</w:t>
      </w:r>
    </w:p>
  </w:footnote>
  <w:footnote w:id="281">
    <w:p w14:paraId="40E21BE4" w14:textId="19A32976" w:rsidR="00974DA5" w:rsidRPr="001E3DBF" w:rsidRDefault="00974DA5" w:rsidP="00B81285">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Autriche (2025) et Croatie (2025) (Profil</w:t>
      </w:r>
      <w:r>
        <w:rPr>
          <w:rFonts w:ascii="Raleway" w:hAnsi="Raleway"/>
          <w:sz w:val="15"/>
          <w:szCs w:val="15"/>
        </w:rPr>
        <w:t>s</w:t>
      </w:r>
      <w:r w:rsidRPr="001E3DBF">
        <w:rPr>
          <w:rFonts w:ascii="Raleway" w:hAnsi="Raleway"/>
          <w:sz w:val="15"/>
          <w:szCs w:val="15"/>
        </w:rPr>
        <w:t xml:space="preserve"> d</w:t>
      </w:r>
      <w:r>
        <w:rPr>
          <w:rFonts w:ascii="Raleway" w:hAnsi="Raleway"/>
          <w:sz w:val="15"/>
          <w:szCs w:val="15"/>
        </w:rPr>
        <w:t>’</w:t>
      </w:r>
      <w:r w:rsidRPr="001E3DBF">
        <w:rPr>
          <w:rFonts w:ascii="Raleway" w:hAnsi="Raleway"/>
          <w:sz w:val="15"/>
          <w:szCs w:val="15"/>
        </w:rPr>
        <w:t>État EA, Q. 29(a)) et Croatie (Profil d</w:t>
      </w:r>
      <w:r>
        <w:rPr>
          <w:rFonts w:ascii="Raleway" w:hAnsi="Raleway"/>
          <w:sz w:val="15"/>
          <w:szCs w:val="15"/>
        </w:rPr>
        <w:t>’</w:t>
      </w:r>
      <w:r w:rsidRPr="001E3DBF">
        <w:rPr>
          <w:rFonts w:ascii="Raleway" w:hAnsi="Raleway"/>
          <w:sz w:val="15"/>
          <w:szCs w:val="15"/>
        </w:rPr>
        <w:t>État EO (2025), Q. 33(a)).</w:t>
      </w:r>
    </w:p>
  </w:footnote>
  <w:footnote w:id="282">
    <w:p w14:paraId="6A65B914" w14:textId="63CF063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349 et 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sidRPr="001E3DBF">
        <w:rPr>
          <w:rFonts w:ascii="Raleway" w:hAnsi="Raleway"/>
          <w:sz w:val="15"/>
          <w:szCs w:val="15"/>
        </w:rPr>
        <w:t>, para. 69.</w:t>
      </w:r>
    </w:p>
  </w:footnote>
  <w:footnote w:id="283">
    <w:p w14:paraId="5B7A2F72" w14:textId="6E7C9D28"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352 qui fait référence à certains cas où des OAA ont facturé des services qui ont en réalité été fournis gratuitement par l</w:t>
      </w:r>
      <w:r>
        <w:rPr>
          <w:rFonts w:ascii="Raleway" w:hAnsi="Raleway"/>
          <w:sz w:val="15"/>
          <w:szCs w:val="15"/>
        </w:rPr>
        <w:t>’</w:t>
      </w:r>
      <w:r w:rsidRPr="001E3DBF">
        <w:rPr>
          <w:rFonts w:ascii="Raleway" w:hAnsi="Raleway"/>
          <w:sz w:val="15"/>
          <w:szCs w:val="15"/>
        </w:rPr>
        <w:t>Autorité centrale de l</w:t>
      </w:r>
      <w:r>
        <w:rPr>
          <w:rFonts w:ascii="Raleway" w:hAnsi="Raleway"/>
          <w:sz w:val="15"/>
          <w:szCs w:val="15"/>
        </w:rPr>
        <w:t>’</w:t>
      </w:r>
      <w:r w:rsidRPr="001E3DBF">
        <w:rPr>
          <w:rFonts w:ascii="Raleway" w:hAnsi="Raleway"/>
          <w:sz w:val="15"/>
          <w:szCs w:val="15"/>
        </w:rPr>
        <w:t>État d</w:t>
      </w:r>
      <w:r>
        <w:rPr>
          <w:rFonts w:ascii="Raleway" w:hAnsi="Raleway"/>
          <w:sz w:val="15"/>
          <w:szCs w:val="15"/>
        </w:rPr>
        <w:t>’</w:t>
      </w:r>
      <w:r w:rsidRPr="001E3DBF">
        <w:rPr>
          <w:rFonts w:ascii="Raleway" w:hAnsi="Raleway"/>
          <w:sz w:val="15"/>
          <w:szCs w:val="15"/>
        </w:rPr>
        <w:t>origine et para. 344 qui évoque des cas dans lesquels des OAA ont facturé des frais et des honoraires, mais qui ont ensuite cessé leur activité et qui n</w:t>
      </w:r>
      <w:r>
        <w:rPr>
          <w:rFonts w:ascii="Raleway" w:hAnsi="Raleway"/>
          <w:sz w:val="15"/>
          <w:szCs w:val="15"/>
        </w:rPr>
        <w:t>’</w:t>
      </w:r>
      <w:r w:rsidRPr="001E3DBF">
        <w:rPr>
          <w:rFonts w:ascii="Raleway" w:hAnsi="Raleway"/>
          <w:sz w:val="15"/>
          <w:szCs w:val="15"/>
        </w:rPr>
        <w:t xml:space="preserve">ont jamais rendu le service ni remboursé les frais et / ou honoraires. </w:t>
      </w:r>
    </w:p>
  </w:footnote>
  <w:footnote w:id="284">
    <w:p w14:paraId="034C916B" w14:textId="6144074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Colombie (Autorité centrale (ICBF), </w:t>
      </w:r>
      <w:hyperlink r:id="rId151" w:history="1">
        <w:r w:rsidRPr="001E3DBF">
          <w:rPr>
            <w:rStyle w:val="Hyperlink"/>
            <w:rFonts w:ascii="Raleway" w:hAnsi="Raleway"/>
            <w:i/>
            <w:iCs/>
            <w:sz w:val="15"/>
            <w:szCs w:val="15"/>
          </w:rPr>
          <w:t>Asistente de Adopciones</w:t>
        </w:r>
      </w:hyperlink>
      <w:r w:rsidRPr="001E3DBF">
        <w:rPr>
          <w:rFonts w:ascii="Raleway" w:hAnsi="Raleway"/>
          <w:sz w:val="15"/>
          <w:szCs w:val="15"/>
        </w:rPr>
        <w:t xml:space="preserve"> (Aide pour adopter)).</w:t>
      </w:r>
    </w:p>
  </w:footnote>
  <w:footnote w:id="285">
    <w:p w14:paraId="797B19ED" w14:textId="22D1A81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Lignes directrices de la Conférence internationale sur l</w:t>
      </w:r>
      <w:r>
        <w:rPr>
          <w:rFonts w:ascii="Raleway" w:hAnsi="Raleway"/>
          <w:sz w:val="15"/>
          <w:szCs w:val="15"/>
        </w:rPr>
        <w:t>’</w:t>
      </w:r>
      <w:r w:rsidRPr="001E3DBF">
        <w:rPr>
          <w:rFonts w:ascii="Raleway" w:hAnsi="Raleway"/>
          <w:sz w:val="15"/>
          <w:szCs w:val="15"/>
        </w:rPr>
        <w:t xml:space="preserve">enfant africain, </w:t>
      </w:r>
      <w:r w:rsidRPr="001E3DBF">
        <w:rPr>
          <w:rFonts w:ascii="Raleway" w:hAnsi="Raleway"/>
          <w:i/>
          <w:iCs/>
          <w:sz w:val="15"/>
          <w:szCs w:val="15"/>
        </w:rPr>
        <w:t>supra</w:t>
      </w:r>
      <w:r w:rsidRPr="001E3DBF">
        <w:rPr>
          <w:rFonts w:ascii="Raleway" w:hAnsi="Raleway"/>
          <w:sz w:val="15"/>
          <w:szCs w:val="15"/>
        </w:rPr>
        <w:t> note </w:t>
      </w:r>
      <w:r w:rsidRPr="001E3DBF">
        <w:rPr>
          <w:rFonts w:ascii="Raleway" w:hAnsi="Raleway"/>
          <w:sz w:val="15"/>
          <w:szCs w:val="15"/>
        </w:rPr>
        <w:fldChar w:fldCharType="begin"/>
      </w:r>
      <w:r w:rsidRPr="001E3DBF">
        <w:rPr>
          <w:rFonts w:ascii="Raleway" w:hAnsi="Raleway"/>
          <w:sz w:val="15"/>
          <w:szCs w:val="15"/>
        </w:rPr>
        <w:instrText xml:space="preserve"> NOTEREF _Ref142552817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46</w:t>
      </w:r>
      <w:r w:rsidRPr="001E3DBF">
        <w:rPr>
          <w:rFonts w:ascii="Raleway" w:hAnsi="Raleway"/>
          <w:sz w:val="15"/>
          <w:szCs w:val="15"/>
        </w:rPr>
        <w:fldChar w:fldCharType="end"/>
      </w:r>
      <w:r w:rsidRPr="001E3DBF">
        <w:rPr>
          <w:rFonts w:ascii="Raleway" w:hAnsi="Raleway"/>
          <w:sz w:val="15"/>
          <w:szCs w:val="15"/>
        </w:rPr>
        <w:t>, para. 68.</w:t>
      </w:r>
    </w:p>
  </w:footnote>
  <w:footnote w:id="286">
    <w:p w14:paraId="029EA06C" w14:textId="47257B80" w:rsidR="00974DA5" w:rsidRPr="001E3DBF" w:rsidRDefault="00974DA5" w:rsidP="00CD1418">
      <w:pPr>
        <w:pStyle w:val="FootnoteText"/>
        <w:tabs>
          <w:tab w:val="left" w:pos="2127"/>
        </w:tabs>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383, 387 et 397.</w:t>
      </w:r>
    </w:p>
  </w:footnote>
  <w:footnote w:id="287">
    <w:p w14:paraId="1A7D0483" w14:textId="3CE6127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i/>
          <w:sz w:val="15"/>
          <w:szCs w:val="15"/>
        </w:rPr>
        <w:t>Ibid.</w:t>
      </w:r>
      <w:r w:rsidRPr="001E3DBF">
        <w:rPr>
          <w:rFonts w:ascii="Raleway" w:hAnsi="Raleway"/>
          <w:sz w:val="15"/>
          <w:szCs w:val="15"/>
        </w:rPr>
        <w:t>, para. 386 pour un exemple relatif aux professionnels du secteur médical. Les honoraires pour un dossier d</w:t>
      </w:r>
      <w:r>
        <w:rPr>
          <w:rFonts w:ascii="Raleway" w:hAnsi="Raleway"/>
          <w:sz w:val="15"/>
          <w:szCs w:val="15"/>
        </w:rPr>
        <w:t>’</w:t>
      </w:r>
      <w:r w:rsidRPr="001E3DBF">
        <w:rPr>
          <w:rFonts w:ascii="Raleway" w:hAnsi="Raleway"/>
          <w:sz w:val="15"/>
          <w:szCs w:val="15"/>
        </w:rPr>
        <w:t>adoption ne sont pas nécessairement parfaitement identiques à ceux d</w:t>
      </w:r>
      <w:r>
        <w:rPr>
          <w:rFonts w:ascii="Raleway" w:hAnsi="Raleway"/>
          <w:sz w:val="15"/>
          <w:szCs w:val="15"/>
        </w:rPr>
        <w:t>’</w:t>
      </w:r>
      <w:r w:rsidRPr="001E3DBF">
        <w:rPr>
          <w:rFonts w:ascii="Raleway" w:hAnsi="Raleway"/>
          <w:sz w:val="15"/>
          <w:szCs w:val="15"/>
        </w:rPr>
        <w:t>un divorce ou d</w:t>
      </w:r>
      <w:r>
        <w:rPr>
          <w:rFonts w:ascii="Raleway" w:hAnsi="Raleway"/>
          <w:sz w:val="15"/>
          <w:szCs w:val="15"/>
        </w:rPr>
        <w:t>’</w:t>
      </w:r>
      <w:r w:rsidRPr="001E3DBF">
        <w:rPr>
          <w:rFonts w:ascii="Raleway" w:hAnsi="Raleway"/>
          <w:sz w:val="15"/>
          <w:szCs w:val="15"/>
        </w:rPr>
        <w:t>un enlèvement, mais ils peuvent donner un bon point de comparaison. Des écarts peuvent être raisonnables s</w:t>
      </w:r>
      <w:r>
        <w:rPr>
          <w:rFonts w:ascii="Raleway" w:hAnsi="Raleway"/>
          <w:sz w:val="15"/>
          <w:szCs w:val="15"/>
        </w:rPr>
        <w:t>’</w:t>
      </w:r>
      <w:r w:rsidRPr="001E3DBF">
        <w:rPr>
          <w:rFonts w:ascii="Raleway" w:hAnsi="Raleway"/>
          <w:sz w:val="15"/>
          <w:szCs w:val="15"/>
        </w:rPr>
        <w:t>ils sont dus à la complexité</w:t>
      </w:r>
      <w:r>
        <w:rPr>
          <w:rFonts w:ascii="Raleway" w:hAnsi="Raleway"/>
          <w:sz w:val="15"/>
          <w:szCs w:val="15"/>
        </w:rPr>
        <w:t xml:space="preserve"> du dossier</w:t>
      </w:r>
      <w:r w:rsidRPr="001E3DBF">
        <w:rPr>
          <w:rFonts w:ascii="Raleway" w:hAnsi="Raleway"/>
          <w:sz w:val="15"/>
          <w:szCs w:val="15"/>
        </w:rPr>
        <w:t xml:space="preserve"> et au nombre d</w:t>
      </w:r>
      <w:r>
        <w:rPr>
          <w:rFonts w:ascii="Raleway" w:hAnsi="Raleway"/>
          <w:sz w:val="15"/>
          <w:szCs w:val="15"/>
        </w:rPr>
        <w:t>’</w:t>
      </w:r>
      <w:r w:rsidRPr="001E3DBF">
        <w:rPr>
          <w:rFonts w:ascii="Raleway" w:hAnsi="Raleway"/>
          <w:sz w:val="15"/>
          <w:szCs w:val="15"/>
        </w:rPr>
        <w:t xml:space="preserve">heures passées </w:t>
      </w:r>
      <w:r>
        <w:rPr>
          <w:rFonts w:ascii="Raleway" w:hAnsi="Raleway"/>
          <w:sz w:val="15"/>
          <w:szCs w:val="15"/>
        </w:rPr>
        <w:t xml:space="preserve">dessus </w:t>
      </w:r>
      <w:r w:rsidRPr="001E3DBF">
        <w:rPr>
          <w:rFonts w:ascii="Raleway" w:hAnsi="Raleway"/>
          <w:sz w:val="15"/>
          <w:szCs w:val="15"/>
        </w:rPr>
        <w:t>ou au nombre d</w:t>
      </w:r>
      <w:r>
        <w:rPr>
          <w:rFonts w:ascii="Raleway" w:hAnsi="Raleway"/>
          <w:sz w:val="15"/>
          <w:szCs w:val="15"/>
        </w:rPr>
        <w:t>’</w:t>
      </w:r>
      <w:r w:rsidRPr="001E3DBF">
        <w:rPr>
          <w:rFonts w:ascii="Raleway" w:hAnsi="Raleway"/>
          <w:sz w:val="15"/>
          <w:szCs w:val="15"/>
        </w:rPr>
        <w:t>années d</w:t>
      </w:r>
      <w:r>
        <w:rPr>
          <w:rFonts w:ascii="Raleway" w:hAnsi="Raleway"/>
          <w:sz w:val="15"/>
          <w:szCs w:val="15"/>
        </w:rPr>
        <w:t>’</w:t>
      </w:r>
      <w:r w:rsidRPr="001E3DBF">
        <w:rPr>
          <w:rFonts w:ascii="Raleway" w:hAnsi="Raleway"/>
          <w:sz w:val="15"/>
          <w:szCs w:val="15"/>
        </w:rPr>
        <w:t>expérience et aux langues parlées.</w:t>
      </w:r>
    </w:p>
  </w:footnote>
  <w:footnote w:id="288">
    <w:p w14:paraId="51D647C4" w14:textId="3D5580F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(site web de l</w:t>
      </w:r>
      <w:r>
        <w:rPr>
          <w:rFonts w:ascii="Raleway" w:hAnsi="Raleway"/>
          <w:sz w:val="15"/>
          <w:szCs w:val="15"/>
        </w:rPr>
        <w:t>’</w:t>
      </w:r>
      <w:r w:rsidRPr="001E3DBF">
        <w:rPr>
          <w:rFonts w:ascii="Raleway" w:hAnsi="Raleway"/>
          <w:sz w:val="15"/>
          <w:szCs w:val="15"/>
        </w:rPr>
        <w:t xml:space="preserve">Autorité centrale (communauté francophone), </w:t>
      </w:r>
      <w:hyperlink r:id="rId152" w:history="1">
        <w:r w:rsidRPr="0007737D">
          <w:rPr>
            <w:rStyle w:val="Hyperlink"/>
            <w:rFonts w:ascii="Raleway" w:hAnsi="Raleway"/>
            <w:sz w:val="15"/>
            <w:szCs w:val="15"/>
          </w:rPr>
          <w:t>Coût de la procédure</w:t>
        </w:r>
      </w:hyperlink>
      <w:r w:rsidRPr="001E3DBF">
        <w:rPr>
          <w:rFonts w:ascii="Raleway" w:hAnsi="Raleway"/>
          <w:i/>
          <w:sz w:val="15"/>
          <w:szCs w:val="15"/>
        </w:rPr>
        <w:t xml:space="preserve"> </w:t>
      </w:r>
      <w:r w:rsidRPr="001E3DBF">
        <w:rPr>
          <w:rFonts w:ascii="Raleway" w:hAnsi="Raleway"/>
          <w:sz w:val="15"/>
          <w:szCs w:val="15"/>
        </w:rPr>
        <w:t>et</w:t>
      </w:r>
      <w:r w:rsidRPr="001E3DBF">
        <w:rPr>
          <w:rFonts w:ascii="Raleway" w:hAnsi="Raleway"/>
          <w:i/>
          <w:sz w:val="15"/>
          <w:szCs w:val="15"/>
        </w:rPr>
        <w:t xml:space="preserve"> </w:t>
      </w:r>
      <w:r w:rsidRPr="001E3DBF">
        <w:rPr>
          <w:rFonts w:ascii="Raleway" w:hAnsi="Raleway"/>
          <w:sz w:val="15"/>
          <w:szCs w:val="15"/>
        </w:rPr>
        <w:t>Profil d</w:t>
      </w:r>
      <w:r>
        <w:rPr>
          <w:rFonts w:ascii="Raleway" w:hAnsi="Raleway"/>
          <w:sz w:val="15"/>
          <w:szCs w:val="15"/>
        </w:rPr>
        <w:t>’</w:t>
      </w:r>
      <w:r w:rsidRPr="001E3DBF">
        <w:rPr>
          <w:rFonts w:ascii="Raleway" w:hAnsi="Raleway"/>
          <w:sz w:val="15"/>
          <w:szCs w:val="15"/>
        </w:rPr>
        <w:t>État EA (2025), Q. 29(f)).</w:t>
      </w:r>
    </w:p>
  </w:footnote>
  <w:footnote w:id="289">
    <w:p w14:paraId="5923CBDB" w14:textId="1490BA7C"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(communauté flamande)</w:t>
      </w:r>
      <w:r>
        <w:rPr>
          <w:rFonts w:ascii="Raleway" w:hAnsi="Raleway"/>
          <w:sz w:val="15"/>
          <w:szCs w:val="15"/>
        </w:rPr>
        <w:t xml:space="preserve"> </w:t>
      </w:r>
      <w:r w:rsidRPr="001E3DBF">
        <w:rPr>
          <w:rFonts w:ascii="Raleway" w:hAnsi="Raleway"/>
          <w:sz w:val="15"/>
          <w:szCs w:val="15"/>
        </w:rPr>
        <w:t>(Profil d</w:t>
      </w:r>
      <w:r>
        <w:rPr>
          <w:rFonts w:ascii="Raleway" w:hAnsi="Raleway"/>
          <w:sz w:val="15"/>
          <w:szCs w:val="15"/>
        </w:rPr>
        <w:t>’</w:t>
      </w:r>
      <w:r w:rsidRPr="001E3DBF">
        <w:rPr>
          <w:rFonts w:ascii="Raleway" w:hAnsi="Raleway"/>
          <w:sz w:val="15"/>
          <w:szCs w:val="15"/>
        </w:rPr>
        <w:t>État EA (2025), Q. 29(a)).</w:t>
      </w:r>
    </w:p>
  </w:footnote>
  <w:footnote w:id="290">
    <w:p w14:paraId="036B7BBA" w14:textId="62A2F000" w:rsidR="00974DA5" w:rsidRPr="00693752" w:rsidRDefault="00974DA5" w:rsidP="00CD1418">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693752">
        <w:rPr>
          <w:rFonts w:ascii="Raleway" w:hAnsi="Raleway"/>
          <w:sz w:val="15"/>
          <w:szCs w:val="15"/>
          <w:lang w:val="it-IT"/>
        </w:rPr>
        <w:t xml:space="preserve"> </w:t>
      </w:r>
      <w:r w:rsidRPr="00693752">
        <w:rPr>
          <w:rFonts w:ascii="Raleway" w:hAnsi="Raleway"/>
          <w:sz w:val="15"/>
          <w:szCs w:val="15"/>
          <w:lang w:val="it-IT"/>
        </w:rPr>
        <w:tab/>
        <w:t>Bulgarie (Profil d’État EO (2024), Q. 33(b)).</w:t>
      </w:r>
    </w:p>
  </w:footnote>
  <w:footnote w:id="291">
    <w:p w14:paraId="49B36A0C" w14:textId="7271359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Canada (Manitoba) (</w:t>
      </w:r>
      <w:hyperlink r:id="rId153" w:history="1">
        <w:r>
          <w:rPr>
            <w:rStyle w:val="Hyperlink"/>
            <w:rFonts w:ascii="Raleway" w:hAnsi="Raleway"/>
            <w:sz w:val="15"/>
            <w:szCs w:val="15"/>
          </w:rPr>
          <w:t>r</w:t>
        </w:r>
        <w:r w:rsidRPr="001E3DBF">
          <w:rPr>
            <w:rStyle w:val="Hyperlink"/>
            <w:rFonts w:ascii="Raleway" w:hAnsi="Raleway"/>
            <w:sz w:val="15"/>
            <w:szCs w:val="15"/>
          </w:rPr>
          <w:t>èglement sur l</w:t>
        </w:r>
        <w:r>
          <w:rPr>
            <w:rStyle w:val="Hyperlink"/>
            <w:rFonts w:ascii="Raleway" w:hAnsi="Raleway"/>
            <w:sz w:val="15"/>
            <w:szCs w:val="15"/>
          </w:rPr>
          <w:t>’</w:t>
        </w:r>
        <w:r w:rsidRPr="001E3DBF">
          <w:rPr>
            <w:rStyle w:val="Hyperlink"/>
            <w:rFonts w:ascii="Raleway" w:hAnsi="Raleway"/>
            <w:sz w:val="15"/>
            <w:szCs w:val="15"/>
          </w:rPr>
          <w:t>adoption</w:t>
        </w:r>
      </w:hyperlink>
      <w:r w:rsidRPr="001E3DBF">
        <w:rPr>
          <w:rFonts w:ascii="Raleway" w:hAnsi="Raleway"/>
          <w:sz w:val="15"/>
          <w:szCs w:val="15"/>
        </w:rPr>
        <w:t>, R.M. 19/99, section 35(2)(a)).</w:t>
      </w:r>
    </w:p>
  </w:footnote>
  <w:footnote w:id="292">
    <w:p w14:paraId="2BBFEC93" w14:textId="02494BE1"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Pour plus d</w:t>
      </w:r>
      <w:r>
        <w:rPr>
          <w:rFonts w:ascii="Raleway" w:hAnsi="Raleway"/>
          <w:sz w:val="15"/>
          <w:szCs w:val="15"/>
        </w:rPr>
        <w:t>’</w:t>
      </w:r>
      <w:r w:rsidRPr="001E3DBF">
        <w:rPr>
          <w:rFonts w:ascii="Raleway" w:hAnsi="Raleway"/>
          <w:sz w:val="15"/>
          <w:szCs w:val="15"/>
        </w:rPr>
        <w:t xml:space="preserve">explications concernant les termes « personnel », « représentants » et « collaborateurs » utilisés dans cette Note, voir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chapitre 6.</w:t>
      </w:r>
    </w:p>
  </w:footnote>
  <w:footnote w:id="293">
    <w:p w14:paraId="7CE3937F" w14:textId="589B6778" w:rsidR="00974DA5" w:rsidRPr="00C32232"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Boîte à outils sur les pratiques illicites,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FS3, ligne 2</w:t>
      </w:r>
      <w:r>
        <w:rPr>
          <w:rFonts w:ascii="Raleway" w:hAnsi="Raleway"/>
          <w:sz w:val="15"/>
          <w:szCs w:val="15"/>
        </w:rPr>
        <w:t>7</w:t>
      </w:r>
      <w:r w:rsidRPr="001E3DBF">
        <w:rPr>
          <w:rFonts w:ascii="Raleway" w:hAnsi="Raleway"/>
          <w:sz w:val="15"/>
          <w:szCs w:val="15"/>
        </w:rPr>
        <w:t xml:space="preserve"> et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w:t>
      </w:r>
      <w:r w:rsidRPr="00C32232">
        <w:rPr>
          <w:rFonts w:ascii="Raleway" w:hAnsi="Raleway"/>
          <w:sz w:val="15"/>
          <w:szCs w:val="15"/>
        </w:rPr>
        <w:t>376.</w:t>
      </w:r>
    </w:p>
  </w:footnote>
  <w:footnote w:id="294">
    <w:p w14:paraId="419E7602" w14:textId="2F4870A3" w:rsidR="00974DA5" w:rsidRPr="00C32232"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 xml:space="preserve">Guide de bonnes pratiques No 2, </w:t>
      </w:r>
      <w:r w:rsidRPr="00C32232">
        <w:rPr>
          <w:rFonts w:ascii="Raleway" w:hAnsi="Raleway"/>
          <w:i/>
          <w:sz w:val="15"/>
          <w:szCs w:val="15"/>
        </w:rPr>
        <w:t>supra</w:t>
      </w:r>
      <w:r w:rsidRPr="00C32232">
        <w:rPr>
          <w:rFonts w:ascii="Raleway" w:hAnsi="Raleway"/>
          <w:sz w:val="15"/>
          <w:szCs w:val="15"/>
        </w:rPr>
        <w:t xml:space="preserve"> note </w:t>
      </w:r>
      <w:r w:rsidRPr="001E3DBF">
        <w:rPr>
          <w:rFonts w:ascii="Raleway" w:hAnsi="Raleway"/>
          <w:sz w:val="15"/>
          <w:szCs w:val="15"/>
        </w:rPr>
        <w:fldChar w:fldCharType="begin"/>
      </w:r>
      <w:r w:rsidRPr="00C32232">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sidRPr="00C32232">
        <w:rPr>
          <w:rFonts w:ascii="Raleway" w:hAnsi="Raleway"/>
          <w:sz w:val="15"/>
          <w:szCs w:val="15"/>
        </w:rPr>
        <w:t>5</w:t>
      </w:r>
      <w:r w:rsidRPr="001E3DBF">
        <w:rPr>
          <w:rFonts w:ascii="Raleway" w:hAnsi="Raleway"/>
          <w:sz w:val="15"/>
          <w:szCs w:val="15"/>
        </w:rPr>
        <w:fldChar w:fldCharType="end"/>
      </w:r>
      <w:r w:rsidRPr="00C32232">
        <w:rPr>
          <w:rFonts w:ascii="Raleway" w:hAnsi="Raleway"/>
          <w:sz w:val="15"/>
          <w:szCs w:val="15"/>
        </w:rPr>
        <w:t>, para. 377.</w:t>
      </w:r>
    </w:p>
  </w:footnote>
  <w:footnote w:id="295">
    <w:p w14:paraId="772202C4" w14:textId="48D6925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r>
      <w:r w:rsidRPr="00C32232">
        <w:rPr>
          <w:rFonts w:ascii="Raleway" w:hAnsi="Raleway"/>
          <w:i/>
          <w:sz w:val="15"/>
          <w:szCs w:val="15"/>
        </w:rPr>
        <w:t>Ibid.</w:t>
      </w:r>
      <w:r w:rsidRPr="00C32232">
        <w:rPr>
          <w:rFonts w:ascii="Raleway" w:hAnsi="Raleway"/>
          <w:sz w:val="15"/>
          <w:szCs w:val="15"/>
        </w:rPr>
        <w:t>, para. </w:t>
      </w:r>
      <w:r w:rsidRPr="001E3DBF">
        <w:rPr>
          <w:rFonts w:ascii="Raleway" w:hAnsi="Raleway"/>
          <w:sz w:val="15"/>
          <w:szCs w:val="15"/>
        </w:rPr>
        <w:t>402.</w:t>
      </w:r>
    </w:p>
  </w:footnote>
  <w:footnote w:id="296">
    <w:p w14:paraId="6ED10373" w14:textId="2BFE570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Les rémunérations dans la capitale peuvent par ex. être différentes de celles qui sont pratiquées </w:t>
      </w:r>
      <w:r>
        <w:rPr>
          <w:rFonts w:ascii="Raleway" w:hAnsi="Raleway"/>
          <w:sz w:val="15"/>
          <w:szCs w:val="15"/>
        </w:rPr>
        <w:t>dans le reste du pays</w:t>
      </w:r>
      <w:r w:rsidRPr="001E3DBF">
        <w:rPr>
          <w:rFonts w:ascii="Raleway" w:hAnsi="Raleway"/>
          <w:sz w:val="15"/>
          <w:szCs w:val="15"/>
        </w:rPr>
        <w:t>.</w:t>
      </w:r>
    </w:p>
  </w:footnote>
  <w:footnote w:id="297">
    <w:p w14:paraId="637E427E" w14:textId="26135B0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377.</w:t>
      </w:r>
    </w:p>
  </w:footnote>
  <w:footnote w:id="298">
    <w:p w14:paraId="5E480073" w14:textId="77777777" w:rsidR="00351B54" w:rsidRPr="001E3DBF" w:rsidRDefault="00351B54" w:rsidP="00351B54">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Allemagne (Profil d</w:t>
      </w:r>
      <w:r>
        <w:rPr>
          <w:rFonts w:ascii="Raleway" w:hAnsi="Raleway"/>
          <w:sz w:val="15"/>
          <w:szCs w:val="15"/>
        </w:rPr>
        <w:t>’</w:t>
      </w:r>
      <w:r w:rsidRPr="001E3DBF">
        <w:rPr>
          <w:rFonts w:ascii="Raleway" w:hAnsi="Raleway"/>
          <w:sz w:val="15"/>
          <w:szCs w:val="15"/>
        </w:rPr>
        <w:t>État électronique EA (2026), Q. 29(a)).</w:t>
      </w:r>
    </w:p>
  </w:footnote>
  <w:footnote w:id="299">
    <w:p w14:paraId="3E2B3A38" w14:textId="24F2346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Chine (RAS de Hong Kong) (Profil d</w:t>
      </w:r>
      <w:r>
        <w:rPr>
          <w:rFonts w:ascii="Raleway" w:hAnsi="Raleway"/>
          <w:sz w:val="15"/>
          <w:szCs w:val="15"/>
        </w:rPr>
        <w:t>’</w:t>
      </w:r>
      <w:r w:rsidRPr="001E3DBF">
        <w:rPr>
          <w:rFonts w:ascii="Raleway" w:hAnsi="Raleway"/>
          <w:sz w:val="15"/>
          <w:szCs w:val="15"/>
        </w:rPr>
        <w:t>État EA (2026), Q. 29(a)).</w:t>
      </w:r>
    </w:p>
  </w:footnote>
  <w:footnote w:id="300">
    <w:p w14:paraId="648B8594" w14:textId="77777777" w:rsidR="00351B54" w:rsidRPr="001E3DBF" w:rsidRDefault="00351B54" w:rsidP="00351B54">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États-Unis (Profil d</w:t>
      </w:r>
      <w:r>
        <w:rPr>
          <w:rFonts w:ascii="Raleway" w:hAnsi="Raleway"/>
          <w:sz w:val="15"/>
          <w:szCs w:val="15"/>
        </w:rPr>
        <w:t>’</w:t>
      </w:r>
      <w:r w:rsidRPr="001E3DBF">
        <w:rPr>
          <w:rFonts w:ascii="Raleway" w:hAnsi="Raleway"/>
          <w:sz w:val="15"/>
          <w:szCs w:val="15"/>
        </w:rPr>
        <w:t>État EA (2021), Q. 29(a)).</w:t>
      </w:r>
    </w:p>
  </w:footnote>
  <w:footnote w:id="301">
    <w:p w14:paraId="6896BD61" w14:textId="25AAD57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Suisse (Profil d</w:t>
      </w:r>
      <w:r>
        <w:rPr>
          <w:rFonts w:ascii="Raleway" w:hAnsi="Raleway"/>
          <w:sz w:val="15"/>
          <w:szCs w:val="15"/>
        </w:rPr>
        <w:t>’</w:t>
      </w:r>
      <w:r w:rsidRPr="001E3DBF">
        <w:rPr>
          <w:rFonts w:ascii="Raleway" w:hAnsi="Raleway"/>
          <w:sz w:val="15"/>
          <w:szCs w:val="15"/>
        </w:rPr>
        <w:t xml:space="preserve">État électronique EA (2026), Q. 29(a)). </w:t>
      </w:r>
    </w:p>
  </w:footnote>
  <w:footnote w:id="302">
    <w:p w14:paraId="32459F23" w14:textId="0C785C2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aussi SSI, </w:t>
      </w:r>
      <w:hyperlink r:id="rId154" w:history="1">
        <w:r w:rsidRPr="001E3DBF">
          <w:rPr>
            <w:rStyle w:val="Hyperlink"/>
            <w:rFonts w:ascii="Raleway" w:hAnsi="Raleway"/>
            <w:sz w:val="15"/>
            <w:szCs w:val="15"/>
          </w:rPr>
          <w:t>Guide sur le soutien financier</w:t>
        </w:r>
      </w:hyperlink>
      <w:r w:rsidRPr="001E3DBF">
        <w:rPr>
          <w:rFonts w:ascii="Raleway" w:hAnsi="Raleway"/>
          <w:sz w:val="15"/>
          <w:szCs w:val="15"/>
        </w:rPr>
        <w:t>, 2020, section 11.</w:t>
      </w:r>
    </w:p>
  </w:footnote>
  <w:footnote w:id="303">
    <w:p w14:paraId="178E10C0" w14:textId="5D36A043" w:rsidR="00974DA5" w:rsidRPr="001E3DBF" w:rsidRDefault="00974DA5" w:rsidP="00885474">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(communauté flamande) (Profil d</w:t>
      </w:r>
      <w:r>
        <w:rPr>
          <w:rFonts w:ascii="Raleway" w:hAnsi="Raleway"/>
          <w:sz w:val="15"/>
          <w:szCs w:val="15"/>
        </w:rPr>
        <w:t>’</w:t>
      </w:r>
      <w:r w:rsidRPr="001E3DBF">
        <w:rPr>
          <w:rFonts w:ascii="Raleway" w:hAnsi="Raleway"/>
          <w:sz w:val="15"/>
          <w:szCs w:val="15"/>
        </w:rPr>
        <w:t>État EA (2025), Q. 13).</w:t>
      </w:r>
    </w:p>
  </w:footnote>
  <w:footnote w:id="304">
    <w:p w14:paraId="1A9E99D0" w14:textId="2656EB56" w:rsidR="00ED32CD" w:rsidRPr="001E3DBF" w:rsidRDefault="00ED32CD" w:rsidP="00ED32CD">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r>
      <w:r>
        <w:rPr>
          <w:rFonts w:ascii="Raleway" w:hAnsi="Raleway"/>
          <w:sz w:val="15"/>
          <w:szCs w:val="15"/>
        </w:rPr>
        <w:t xml:space="preserve">Espagne (règlement sur l’adoption internationale, Décret royal No 573/2023 du 4 juillet 2023,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_Ref231303398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76</w:t>
      </w:r>
      <w:r>
        <w:rPr>
          <w:rFonts w:ascii="Raleway" w:hAnsi="Raleway"/>
          <w:sz w:val="15"/>
          <w:szCs w:val="15"/>
        </w:rPr>
        <w:fldChar w:fldCharType="end"/>
      </w:r>
      <w:r>
        <w:rPr>
          <w:rFonts w:ascii="Raleway" w:hAnsi="Raleway"/>
          <w:sz w:val="15"/>
          <w:szCs w:val="15"/>
        </w:rPr>
        <w:t>,</w:t>
      </w:r>
      <w:r w:rsidRPr="001E3DBF">
        <w:rPr>
          <w:rFonts w:ascii="Raleway" w:hAnsi="Raleway"/>
          <w:sz w:val="15"/>
          <w:szCs w:val="15"/>
        </w:rPr>
        <w:t xml:space="preserve"> art. 15 et 16).</w:t>
      </w:r>
    </w:p>
  </w:footnote>
  <w:footnote w:id="305">
    <w:p w14:paraId="517F766F" w14:textId="77777777" w:rsidR="00ED32CD" w:rsidRPr="001E3DBF" w:rsidRDefault="00ED32CD" w:rsidP="00ED32CD">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Style w:val="FootnoteReference"/>
          <w:rFonts w:ascii="Raleway" w:hAnsi="Raleway"/>
          <w:sz w:val="15"/>
          <w:szCs w:val="15"/>
        </w:rPr>
        <w:t xml:space="preserve"> </w:t>
      </w:r>
      <w:r w:rsidRPr="001E3DBF">
        <w:rPr>
          <w:rFonts w:ascii="Raleway" w:hAnsi="Raleway"/>
          <w:sz w:val="15"/>
          <w:szCs w:val="15"/>
        </w:rPr>
        <w:tab/>
      </w:r>
      <w:r w:rsidRPr="00885474">
        <w:rPr>
          <w:rFonts w:ascii="Raleway" w:hAnsi="Raleway"/>
          <w:i/>
          <w:sz w:val="15"/>
          <w:szCs w:val="15"/>
        </w:rPr>
        <w:t>Ibid</w:t>
      </w:r>
      <w:r w:rsidRPr="001E3DBF">
        <w:rPr>
          <w:rFonts w:ascii="Raleway" w:hAnsi="Raleway"/>
          <w:i/>
          <w:iCs/>
          <w:sz w:val="15"/>
          <w:szCs w:val="15"/>
        </w:rPr>
        <w:t>.</w:t>
      </w:r>
      <w:r w:rsidRPr="001E3DBF">
        <w:rPr>
          <w:rFonts w:ascii="Raleway" w:hAnsi="Raleway"/>
          <w:sz w:val="15"/>
          <w:szCs w:val="15"/>
        </w:rPr>
        <w:t>, (art. 8 et 10).</w:t>
      </w:r>
    </w:p>
  </w:footnote>
  <w:footnote w:id="306">
    <w:p w14:paraId="21EF712B" w14:textId="5D104783" w:rsidR="00ED32CD" w:rsidRPr="001E3DBF" w:rsidRDefault="00ED32CD" w:rsidP="00ED32CD">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Style w:val="FootnoteReference"/>
          <w:rFonts w:ascii="Raleway" w:hAnsi="Raleway"/>
          <w:sz w:val="15"/>
          <w:szCs w:val="15"/>
        </w:rPr>
        <w:t xml:space="preserve"> </w:t>
      </w:r>
      <w:r w:rsidRPr="001E3DBF">
        <w:rPr>
          <w:rFonts w:ascii="Raleway" w:hAnsi="Raleway"/>
          <w:sz w:val="15"/>
          <w:szCs w:val="15"/>
        </w:rPr>
        <w:tab/>
        <w:t>États-Unis (Code des règlements fédéraux</w:t>
      </w:r>
      <w:r>
        <w:rPr>
          <w:rFonts w:ascii="Raleway" w:hAnsi="Raleway"/>
          <w:sz w:val="15"/>
          <w:szCs w:val="15"/>
        </w:rPr>
        <w:t xml:space="preserve">, </w:t>
      </w:r>
      <w:r w:rsidRPr="005F52E1">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_Ref231303536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123</w:t>
      </w:r>
      <w:r>
        <w:rPr>
          <w:rFonts w:ascii="Raleway" w:hAnsi="Raleway"/>
          <w:sz w:val="15"/>
          <w:szCs w:val="15"/>
        </w:rPr>
        <w:fldChar w:fldCharType="end"/>
      </w:r>
      <w:r>
        <w:rPr>
          <w:rFonts w:ascii="Raleway" w:hAnsi="Raleway"/>
          <w:sz w:val="15"/>
          <w:szCs w:val="15"/>
        </w:rPr>
        <w:t>,</w:t>
      </w:r>
      <w:r w:rsidRPr="001E3DBF">
        <w:rPr>
          <w:rFonts w:ascii="Raleway" w:hAnsi="Raleway"/>
          <w:sz w:val="15"/>
          <w:szCs w:val="15"/>
        </w:rPr>
        <w:t xml:space="preserve"> titre 22, para. 96.40(a)).</w:t>
      </w:r>
    </w:p>
  </w:footnote>
  <w:footnote w:id="307">
    <w:p w14:paraId="2E0E2356" w14:textId="57C636FA" w:rsidR="00974DA5" w:rsidRPr="001E3DBF" w:rsidRDefault="00974DA5" w:rsidP="00FB196B">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Style w:val="FootnoteReference"/>
          <w:rFonts w:ascii="Raleway" w:hAnsi="Raleway"/>
          <w:sz w:val="15"/>
          <w:szCs w:val="15"/>
        </w:rPr>
        <w:t xml:space="preserve"> </w:t>
      </w:r>
      <w:r>
        <w:rPr>
          <w:rFonts w:ascii="Raleway" w:hAnsi="Raleway"/>
          <w:sz w:val="15"/>
          <w:szCs w:val="15"/>
        </w:rPr>
        <w:tab/>
      </w:r>
      <w:r w:rsidRPr="001E3DBF">
        <w:rPr>
          <w:rFonts w:ascii="Raleway" w:hAnsi="Raleway"/>
          <w:sz w:val="15"/>
          <w:szCs w:val="15"/>
        </w:rPr>
        <w:t>France (</w:t>
      </w:r>
      <w:r>
        <w:rPr>
          <w:rFonts w:ascii="Raleway" w:hAnsi="Raleway"/>
          <w:sz w:val="15"/>
          <w:szCs w:val="15"/>
        </w:rPr>
        <w:t xml:space="preserve">loi </w:t>
      </w:r>
      <w:hyperlink r:id="rId155" w:history="1">
        <w:r w:rsidRPr="00885474">
          <w:rPr>
            <w:rStyle w:val="Hyperlink"/>
            <w:rFonts w:ascii="Raleway" w:hAnsi="Raleway"/>
            <w:sz w:val="15"/>
            <w:szCs w:val="15"/>
          </w:rPr>
          <w:t>n° 2022-219 du 21 février 2022 visant à réformer l</w:t>
        </w:r>
        <w:r>
          <w:rPr>
            <w:rStyle w:val="Hyperlink"/>
            <w:rFonts w:ascii="Raleway" w:hAnsi="Raleway"/>
            <w:sz w:val="15"/>
            <w:szCs w:val="15"/>
          </w:rPr>
          <w:t>’</w:t>
        </w:r>
        <w:r w:rsidRPr="00885474">
          <w:rPr>
            <w:rStyle w:val="Hyperlink"/>
            <w:rFonts w:ascii="Raleway" w:hAnsi="Raleway"/>
            <w:sz w:val="15"/>
            <w:szCs w:val="15"/>
          </w:rPr>
          <w:t>adoption</w:t>
        </w:r>
      </w:hyperlink>
      <w:r>
        <w:rPr>
          <w:rFonts w:ascii="Raleway" w:hAnsi="Raleway"/>
          <w:sz w:val="15"/>
          <w:szCs w:val="15"/>
        </w:rPr>
        <w:t xml:space="preserve"> ; </w:t>
      </w:r>
      <w:hyperlink r:id="rId156" w:history="1">
        <w:r w:rsidRPr="00885474">
          <w:rPr>
            <w:rStyle w:val="Hyperlink"/>
            <w:rFonts w:ascii="Raleway" w:hAnsi="Raleway"/>
            <w:sz w:val="15"/>
            <w:szCs w:val="15"/>
          </w:rPr>
          <w:t>Code l</w:t>
        </w:r>
        <w:r>
          <w:rPr>
            <w:rStyle w:val="Hyperlink"/>
            <w:rFonts w:ascii="Raleway" w:hAnsi="Raleway"/>
            <w:sz w:val="15"/>
            <w:szCs w:val="15"/>
          </w:rPr>
          <w:t>’</w:t>
        </w:r>
        <w:r w:rsidRPr="00885474">
          <w:rPr>
            <w:rStyle w:val="Hyperlink"/>
            <w:rFonts w:ascii="Raleway" w:hAnsi="Raleway"/>
            <w:sz w:val="15"/>
            <w:szCs w:val="15"/>
          </w:rPr>
          <w:t>action sociale et des familles</w:t>
        </w:r>
      </w:hyperlink>
      <w:r>
        <w:rPr>
          <w:rFonts w:ascii="Raleway" w:hAnsi="Raleway"/>
          <w:sz w:val="15"/>
          <w:szCs w:val="15"/>
        </w:rPr>
        <w:t xml:space="preserve">, </w:t>
      </w:r>
      <w:r w:rsidRPr="00BA74BA">
        <w:rPr>
          <w:rFonts w:ascii="Raleway" w:hAnsi="Raleway"/>
          <w:i/>
          <w:sz w:val="15"/>
          <w:szCs w:val="15"/>
        </w:rPr>
        <w:t>supra</w:t>
      </w:r>
      <w:r>
        <w:rPr>
          <w:rFonts w:ascii="Raleway" w:hAnsi="Raleway"/>
          <w:sz w:val="15"/>
          <w:szCs w:val="15"/>
        </w:rPr>
        <w:t xml:space="preserve"> note </w:t>
      </w:r>
      <w:r>
        <w:rPr>
          <w:rFonts w:ascii="Raleway" w:hAnsi="Raleway"/>
          <w:sz w:val="15"/>
          <w:szCs w:val="15"/>
        </w:rPr>
        <w:fldChar w:fldCharType="begin"/>
      </w:r>
      <w:r>
        <w:rPr>
          <w:rFonts w:ascii="Raleway" w:hAnsi="Raleway"/>
          <w:sz w:val="15"/>
          <w:szCs w:val="15"/>
        </w:rPr>
        <w:instrText xml:space="preserve"> NOTEREF _Ref231545624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93</w:t>
      </w:r>
      <w:r>
        <w:rPr>
          <w:rFonts w:ascii="Raleway" w:hAnsi="Raleway"/>
          <w:sz w:val="15"/>
          <w:szCs w:val="15"/>
        </w:rPr>
        <w:fldChar w:fldCharType="end"/>
      </w:r>
      <w:r>
        <w:rPr>
          <w:rFonts w:ascii="Raleway" w:hAnsi="Raleway"/>
          <w:sz w:val="15"/>
          <w:szCs w:val="15"/>
        </w:rPr>
        <w:t xml:space="preserve">, </w:t>
      </w:r>
      <w:r w:rsidRPr="00BA74BA">
        <w:rPr>
          <w:rFonts w:ascii="Raleway" w:hAnsi="Raleway"/>
          <w:sz w:val="15"/>
          <w:szCs w:val="15"/>
        </w:rPr>
        <w:t>art</w:t>
      </w:r>
      <w:r>
        <w:rPr>
          <w:rFonts w:ascii="Raleway" w:hAnsi="Raleway"/>
          <w:sz w:val="15"/>
          <w:szCs w:val="15"/>
        </w:rPr>
        <w:t>. L.225-11, R.225</w:t>
      </w:r>
      <w:r>
        <w:rPr>
          <w:rFonts w:ascii="Raleway" w:hAnsi="Raleway"/>
          <w:sz w:val="15"/>
          <w:szCs w:val="15"/>
        </w:rPr>
        <w:noBreakHyphen/>
        <w:t>33 et R.225</w:t>
      </w:r>
      <w:r>
        <w:rPr>
          <w:rFonts w:ascii="Raleway" w:hAnsi="Raleway"/>
          <w:sz w:val="15"/>
          <w:szCs w:val="15"/>
        </w:rPr>
        <w:noBreakHyphen/>
        <w:t>33</w:t>
      </w:r>
      <w:r>
        <w:rPr>
          <w:rFonts w:ascii="Raleway" w:hAnsi="Raleway"/>
          <w:sz w:val="15"/>
          <w:szCs w:val="15"/>
        </w:rPr>
        <w:noBreakHyphen/>
        <w:t>1)</w:t>
      </w:r>
      <w:r w:rsidRPr="001E3DBF">
        <w:rPr>
          <w:rFonts w:ascii="Raleway" w:hAnsi="Raleway"/>
          <w:sz w:val="15"/>
          <w:szCs w:val="15"/>
        </w:rPr>
        <w:t>. En février 2024, il n</w:t>
      </w:r>
      <w:r>
        <w:rPr>
          <w:rFonts w:ascii="Raleway" w:hAnsi="Raleway"/>
          <w:sz w:val="15"/>
          <w:szCs w:val="15"/>
        </w:rPr>
        <w:t>’</w:t>
      </w:r>
      <w:r w:rsidRPr="001E3DBF">
        <w:rPr>
          <w:rFonts w:ascii="Raleway" w:hAnsi="Raleway"/>
          <w:sz w:val="15"/>
          <w:szCs w:val="15"/>
        </w:rPr>
        <w:t>y avait plus que six OAA (contre 20 avant l</w:t>
      </w:r>
      <w:r>
        <w:rPr>
          <w:rFonts w:ascii="Raleway" w:hAnsi="Raleway"/>
          <w:sz w:val="15"/>
          <w:szCs w:val="15"/>
        </w:rPr>
        <w:t>’</w:t>
      </w:r>
      <w:r w:rsidRPr="001E3DBF">
        <w:rPr>
          <w:rFonts w:ascii="Raleway" w:hAnsi="Raleway"/>
          <w:sz w:val="15"/>
          <w:szCs w:val="15"/>
        </w:rPr>
        <w:t>entrée en vigueur de la nouvelle loi).</w:t>
      </w:r>
    </w:p>
  </w:footnote>
  <w:footnote w:id="308">
    <w:p w14:paraId="22984175" w14:textId="480CADDF" w:rsidR="00974DA5" w:rsidRPr="00C32232"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CAGP de 2023, C&amp;D No 25.</w:t>
      </w:r>
    </w:p>
  </w:footnote>
  <w:footnote w:id="309">
    <w:p w14:paraId="4E7FAD9C" w14:textId="7BC1742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Le fait de soutenir des fonds généraux ou d</w:t>
      </w:r>
      <w:r>
        <w:rPr>
          <w:rFonts w:ascii="Raleway" w:hAnsi="Raleway"/>
          <w:sz w:val="15"/>
          <w:szCs w:val="15"/>
        </w:rPr>
        <w:t>’</w:t>
      </w:r>
      <w:r w:rsidRPr="001E3DBF">
        <w:rPr>
          <w:rFonts w:ascii="Raleway" w:hAnsi="Raleway"/>
          <w:sz w:val="15"/>
          <w:szCs w:val="15"/>
        </w:rPr>
        <w:t>y apporter des dons ou contributions n</w:t>
      </w:r>
      <w:r>
        <w:rPr>
          <w:rFonts w:ascii="Raleway" w:hAnsi="Raleway"/>
          <w:sz w:val="15"/>
          <w:szCs w:val="15"/>
        </w:rPr>
        <w:t>’</w:t>
      </w:r>
      <w:r w:rsidRPr="001E3DBF">
        <w:rPr>
          <w:rFonts w:ascii="Raleway" w:hAnsi="Raleway"/>
          <w:sz w:val="15"/>
          <w:szCs w:val="15"/>
        </w:rPr>
        <w:t>est pas problématique en soi, tant i) que cela ne vise pas spécifiquement des parties prenantes à l</w:t>
      </w:r>
      <w:r>
        <w:rPr>
          <w:rFonts w:ascii="Raleway" w:hAnsi="Raleway"/>
          <w:sz w:val="15"/>
          <w:szCs w:val="15"/>
        </w:rPr>
        <w:t>’</w:t>
      </w:r>
      <w:r w:rsidRPr="001E3DBF">
        <w:rPr>
          <w:rFonts w:ascii="Raleway" w:hAnsi="Raleway"/>
          <w:sz w:val="15"/>
          <w:szCs w:val="15"/>
        </w:rPr>
        <w:t>adoption, ii) qu</w:t>
      </w:r>
      <w:r>
        <w:rPr>
          <w:rFonts w:ascii="Raleway" w:hAnsi="Raleway"/>
          <w:sz w:val="15"/>
          <w:szCs w:val="15"/>
        </w:rPr>
        <w:t>’</w:t>
      </w:r>
      <w:r w:rsidRPr="001E3DBF">
        <w:rPr>
          <w:rFonts w:ascii="Raleway" w:hAnsi="Raleway"/>
          <w:sz w:val="15"/>
          <w:szCs w:val="15"/>
        </w:rPr>
        <w:t>il n</w:t>
      </w:r>
      <w:r>
        <w:rPr>
          <w:rFonts w:ascii="Raleway" w:hAnsi="Raleway"/>
          <w:sz w:val="15"/>
          <w:szCs w:val="15"/>
        </w:rPr>
        <w:t>’</w:t>
      </w:r>
      <w:r w:rsidRPr="001E3DBF">
        <w:rPr>
          <w:rFonts w:ascii="Raleway" w:hAnsi="Raleway"/>
          <w:sz w:val="15"/>
          <w:szCs w:val="15"/>
        </w:rPr>
        <w:t>est pas attendu des parties prenantes à l</w:t>
      </w:r>
      <w:r>
        <w:rPr>
          <w:rFonts w:ascii="Raleway" w:hAnsi="Raleway"/>
          <w:sz w:val="15"/>
          <w:szCs w:val="15"/>
        </w:rPr>
        <w:t>’</w:t>
      </w:r>
      <w:r w:rsidRPr="001E3DBF">
        <w:rPr>
          <w:rFonts w:ascii="Raleway" w:hAnsi="Raleway"/>
          <w:sz w:val="15"/>
          <w:szCs w:val="15"/>
        </w:rPr>
        <w:t>adoption qu</w:t>
      </w:r>
      <w:r>
        <w:rPr>
          <w:rFonts w:ascii="Raleway" w:hAnsi="Raleway"/>
          <w:sz w:val="15"/>
          <w:szCs w:val="15"/>
        </w:rPr>
        <w:t>’</w:t>
      </w:r>
      <w:r w:rsidRPr="001E3DBF">
        <w:rPr>
          <w:rFonts w:ascii="Raleway" w:hAnsi="Raleway"/>
          <w:sz w:val="15"/>
          <w:szCs w:val="15"/>
        </w:rPr>
        <w:t>elles y contribuent et iii) que les fonds peuvent soutenir les droits de tous les enfants (et pas seulement dans le domaine de la protection des enfants). Cela peut donc être perçu comme une forme d</w:t>
      </w:r>
      <w:r>
        <w:rPr>
          <w:rFonts w:ascii="Raleway" w:hAnsi="Raleway"/>
          <w:sz w:val="15"/>
          <w:szCs w:val="15"/>
        </w:rPr>
        <w:t>’</w:t>
      </w:r>
      <w:r w:rsidRPr="001E3DBF">
        <w:rPr>
          <w:rFonts w:ascii="Raleway" w:hAnsi="Raleway"/>
          <w:sz w:val="15"/>
          <w:szCs w:val="15"/>
        </w:rPr>
        <w:t>aide générale au développement, puisqu</w:t>
      </w:r>
      <w:r>
        <w:rPr>
          <w:rFonts w:ascii="Raleway" w:hAnsi="Raleway"/>
          <w:sz w:val="15"/>
          <w:szCs w:val="15"/>
        </w:rPr>
        <w:t>’</w:t>
      </w:r>
      <w:r w:rsidRPr="001E3DBF">
        <w:rPr>
          <w:rFonts w:ascii="Raleway" w:hAnsi="Raleway"/>
          <w:sz w:val="15"/>
          <w:szCs w:val="15"/>
        </w:rPr>
        <w:t>il n</w:t>
      </w:r>
      <w:r>
        <w:rPr>
          <w:rFonts w:ascii="Raleway" w:hAnsi="Raleway"/>
          <w:sz w:val="15"/>
          <w:szCs w:val="15"/>
        </w:rPr>
        <w:t>’</w:t>
      </w:r>
      <w:r w:rsidRPr="001E3DBF">
        <w:rPr>
          <w:rFonts w:ascii="Raleway" w:hAnsi="Raleway"/>
          <w:sz w:val="15"/>
          <w:szCs w:val="15"/>
        </w:rPr>
        <w:t xml:space="preserve">y a aucun lien spécifique avec les adoptions, les institutions et / ou la protection des enfants. Le Brésil a par ex. créé le </w:t>
      </w:r>
      <w:r w:rsidRPr="001E3DBF">
        <w:rPr>
          <w:rFonts w:ascii="Raleway" w:hAnsi="Raleway"/>
          <w:i/>
          <w:sz w:val="15"/>
          <w:szCs w:val="15"/>
        </w:rPr>
        <w:t>Fundo Nacional para Criança e Adolescente</w:t>
      </w:r>
      <w:r w:rsidRPr="001E3DBF">
        <w:rPr>
          <w:rFonts w:ascii="Raleway" w:hAnsi="Raleway"/>
          <w:sz w:val="15"/>
          <w:szCs w:val="15"/>
        </w:rPr>
        <w:t xml:space="preserve"> (</w:t>
      </w:r>
      <w:hyperlink r:id="rId157" w:history="1">
        <w:r w:rsidRPr="001E3DBF">
          <w:rPr>
            <w:rStyle w:val="Hyperlink"/>
            <w:rFonts w:ascii="Raleway" w:hAnsi="Raleway"/>
            <w:i/>
            <w:sz w:val="15"/>
            <w:szCs w:val="15"/>
          </w:rPr>
          <w:t>FNCA</w:t>
        </w:r>
      </w:hyperlink>
      <w:r w:rsidRPr="001E3DBF">
        <w:rPr>
          <w:rFonts w:ascii="Raleway" w:hAnsi="Raleway"/>
          <w:sz w:val="15"/>
          <w:szCs w:val="15"/>
        </w:rPr>
        <w:t xml:space="preserve">) (Fonds national pour les enfants et les adolescents) en faveur des droits de tous les enfants. </w:t>
      </w:r>
    </w:p>
  </w:footnote>
  <w:footnote w:id="310">
    <w:p w14:paraId="43D9E630" w14:textId="7C86DC4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L</w:t>
      </w:r>
      <w:r>
        <w:rPr>
          <w:rFonts w:ascii="Raleway" w:hAnsi="Raleway"/>
          <w:sz w:val="15"/>
          <w:szCs w:val="15"/>
        </w:rPr>
        <w:t>’</w:t>
      </w:r>
      <w:r w:rsidRPr="001E3DBF">
        <w:rPr>
          <w:rFonts w:ascii="Raleway" w:hAnsi="Raleway"/>
          <w:sz w:val="15"/>
          <w:szCs w:val="15"/>
        </w:rPr>
        <w:t xml:space="preserve">aide au développement apportée par les circuits officiels est un moyen approprié </w:t>
      </w:r>
      <w:r>
        <w:rPr>
          <w:rFonts w:ascii="Raleway" w:hAnsi="Raleway"/>
          <w:sz w:val="15"/>
          <w:szCs w:val="15"/>
        </w:rPr>
        <w:t>d’</w:t>
      </w:r>
      <w:r w:rsidRPr="001E3DBF">
        <w:rPr>
          <w:rFonts w:ascii="Raleway" w:hAnsi="Raleway"/>
          <w:sz w:val="15"/>
          <w:szCs w:val="15"/>
        </w:rPr>
        <w:t>améliorer les systèmes de protection des enfants. La difficulté est cependant que les organismes d</w:t>
      </w:r>
      <w:r>
        <w:rPr>
          <w:rFonts w:ascii="Raleway" w:hAnsi="Raleway"/>
          <w:sz w:val="15"/>
          <w:szCs w:val="15"/>
        </w:rPr>
        <w:t>’</w:t>
      </w:r>
      <w:r w:rsidRPr="001E3DBF">
        <w:rPr>
          <w:rFonts w:ascii="Raleway" w:hAnsi="Raleway"/>
          <w:sz w:val="15"/>
          <w:szCs w:val="15"/>
        </w:rPr>
        <w:t>aide au développement ne sont parfois pas au courant de la nécessité d</w:t>
      </w:r>
      <w:r>
        <w:rPr>
          <w:rFonts w:ascii="Raleway" w:hAnsi="Raleway"/>
          <w:sz w:val="15"/>
          <w:szCs w:val="15"/>
        </w:rPr>
        <w:t>’</w:t>
      </w:r>
      <w:r w:rsidRPr="001E3DBF">
        <w:rPr>
          <w:rFonts w:ascii="Raleway" w:hAnsi="Raleway"/>
          <w:sz w:val="15"/>
          <w:szCs w:val="15"/>
        </w:rPr>
        <w:t>un renforcement des capacités pour améliorer le fonctionnement du système de protection des enfants, et en particulier la mise en œuvre de la Convention Adoption de 1993, ou peuvent donner la priorité à des projets relevant d</w:t>
      </w:r>
      <w:r>
        <w:rPr>
          <w:rFonts w:ascii="Raleway" w:hAnsi="Raleway"/>
          <w:sz w:val="15"/>
          <w:szCs w:val="15"/>
        </w:rPr>
        <w:t>’</w:t>
      </w:r>
      <w:r w:rsidRPr="001E3DBF">
        <w:rPr>
          <w:rFonts w:ascii="Raleway" w:hAnsi="Raleway"/>
          <w:sz w:val="15"/>
          <w:szCs w:val="15"/>
        </w:rPr>
        <w:t>autres domaines (notamment si les ressources sont limitées). Les Autorités centrales des États d</w:t>
      </w:r>
      <w:r>
        <w:rPr>
          <w:rFonts w:ascii="Raleway" w:hAnsi="Raleway"/>
          <w:sz w:val="15"/>
          <w:szCs w:val="15"/>
        </w:rPr>
        <w:t>’</w:t>
      </w:r>
      <w:r w:rsidRPr="001E3DBF">
        <w:rPr>
          <w:rFonts w:ascii="Raleway" w:hAnsi="Raleway"/>
          <w:sz w:val="15"/>
          <w:szCs w:val="15"/>
        </w:rPr>
        <w:t>accueil peuvent donc informer leurs agences d</w:t>
      </w:r>
      <w:r>
        <w:rPr>
          <w:rFonts w:ascii="Raleway" w:hAnsi="Raleway"/>
          <w:sz w:val="15"/>
          <w:szCs w:val="15"/>
        </w:rPr>
        <w:t>’</w:t>
      </w:r>
      <w:r w:rsidRPr="001E3DBF">
        <w:rPr>
          <w:rFonts w:ascii="Raleway" w:hAnsi="Raleway"/>
          <w:sz w:val="15"/>
          <w:szCs w:val="15"/>
        </w:rPr>
        <w:t>aide au développement des besoins des États d</w:t>
      </w:r>
      <w:r>
        <w:rPr>
          <w:rFonts w:ascii="Raleway" w:hAnsi="Raleway"/>
          <w:sz w:val="15"/>
          <w:szCs w:val="15"/>
        </w:rPr>
        <w:t>’</w:t>
      </w:r>
      <w:r w:rsidRPr="001E3DBF">
        <w:rPr>
          <w:rFonts w:ascii="Raleway" w:hAnsi="Raleway"/>
          <w:sz w:val="15"/>
          <w:szCs w:val="15"/>
        </w:rPr>
        <w:t>origine à cet égard et de l</w:t>
      </w:r>
      <w:r>
        <w:rPr>
          <w:rFonts w:ascii="Raleway" w:hAnsi="Raleway"/>
          <w:sz w:val="15"/>
          <w:szCs w:val="15"/>
        </w:rPr>
        <w:t>’</w:t>
      </w:r>
      <w:r w:rsidRPr="001E3DBF">
        <w:rPr>
          <w:rFonts w:ascii="Raleway" w:hAnsi="Raleway"/>
          <w:sz w:val="15"/>
          <w:szCs w:val="15"/>
        </w:rPr>
        <w:t xml:space="preserve">assistance qui peut leur être nécessaire, en particulier lorsque ces besoins concernent le système de protection des enfants dans son ensemble. </w:t>
      </w:r>
    </w:p>
  </w:footnote>
  <w:footnote w:id="311">
    <w:p w14:paraId="64F759EE" w14:textId="784E339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Voir, par ex., le </w:t>
      </w:r>
      <w:hyperlink r:id="rId158" w:history="1">
        <w:r w:rsidRPr="001E3DBF">
          <w:rPr>
            <w:rStyle w:val="Hyperlink"/>
            <w:rFonts w:ascii="Raleway" w:hAnsi="Raleway"/>
            <w:sz w:val="15"/>
            <w:szCs w:val="15"/>
          </w:rPr>
          <w:t>site web</w:t>
        </w:r>
      </w:hyperlink>
      <w:r w:rsidRPr="001E3DBF">
        <w:rPr>
          <w:rFonts w:ascii="Raleway" w:hAnsi="Raleway"/>
          <w:sz w:val="15"/>
          <w:szCs w:val="15"/>
        </w:rPr>
        <w:t xml:space="preserve"> du Groupe d</w:t>
      </w:r>
      <w:r>
        <w:rPr>
          <w:rFonts w:ascii="Raleway" w:hAnsi="Raleway"/>
          <w:sz w:val="15"/>
          <w:szCs w:val="15"/>
        </w:rPr>
        <w:t>’</w:t>
      </w:r>
      <w:r w:rsidRPr="001E3DBF">
        <w:rPr>
          <w:rFonts w:ascii="Raleway" w:hAnsi="Raleway"/>
          <w:sz w:val="15"/>
          <w:szCs w:val="15"/>
        </w:rPr>
        <w:t xml:space="preserve">experts européen sur la transition des institutions vers une protection communautaire. </w:t>
      </w:r>
    </w:p>
  </w:footnote>
  <w:footnote w:id="312">
    <w:p w14:paraId="1959F44D" w14:textId="7F7DD30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Boîte à outils sur les pratiques illicites,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Pr>
          <w:rFonts w:ascii="Raleway" w:hAnsi="Raleway"/>
          <w:sz w:val="15"/>
          <w:szCs w:val="15"/>
        </w:rPr>
        <w:t> ; FS3, notes </w:t>
      </w:r>
      <w:r w:rsidRPr="001E3DBF">
        <w:rPr>
          <w:rFonts w:ascii="Raleway" w:hAnsi="Raleway"/>
          <w:sz w:val="15"/>
          <w:szCs w:val="15"/>
        </w:rPr>
        <w:t>80 et 91 ; Nations Unies, Comité des droits de l</w:t>
      </w:r>
      <w:r>
        <w:rPr>
          <w:rFonts w:ascii="Raleway" w:hAnsi="Raleway"/>
          <w:sz w:val="15"/>
          <w:szCs w:val="15"/>
        </w:rPr>
        <w:t>’</w:t>
      </w:r>
      <w:r w:rsidRPr="001E3DBF">
        <w:rPr>
          <w:rFonts w:ascii="Raleway" w:hAnsi="Raleway"/>
          <w:sz w:val="15"/>
          <w:szCs w:val="15"/>
        </w:rPr>
        <w:t xml:space="preserve">enfant, </w:t>
      </w:r>
      <w:hyperlink r:id="rId159" w:history="1">
        <w:r w:rsidRPr="001E3DBF">
          <w:rPr>
            <w:rStyle w:val="Hyperlink"/>
            <w:rFonts w:ascii="Raleway" w:hAnsi="Raleway"/>
            <w:sz w:val="15"/>
            <w:szCs w:val="15"/>
          </w:rPr>
          <w:t>Journée de débat général 2021 – Droits de l</w:t>
        </w:r>
        <w:r>
          <w:rPr>
            <w:rStyle w:val="Hyperlink"/>
            <w:rFonts w:ascii="Raleway" w:hAnsi="Raleway"/>
            <w:sz w:val="15"/>
            <w:szCs w:val="15"/>
          </w:rPr>
          <w:t>’</w:t>
        </w:r>
        <w:r w:rsidRPr="001E3DBF">
          <w:rPr>
            <w:rStyle w:val="Hyperlink"/>
            <w:rFonts w:ascii="Raleway" w:hAnsi="Raleway"/>
            <w:sz w:val="15"/>
            <w:szCs w:val="15"/>
          </w:rPr>
          <w:t>enfant et protection de remplacement – Rapport</w:t>
        </w:r>
      </w:hyperlink>
      <w:r w:rsidRPr="001E3DBF">
        <w:rPr>
          <w:rFonts w:ascii="Raleway" w:hAnsi="Raleway"/>
          <w:sz w:val="15"/>
          <w:szCs w:val="15"/>
        </w:rPr>
        <w:t xml:space="preserve"> (traduction informelle), Recommandations, Section E : « Faire évoluer le système de la protection de remplacement vers une protection de type familial et communautaire »</w:t>
      </w:r>
      <w:r>
        <w:rPr>
          <w:rFonts w:ascii="Raleway" w:hAnsi="Raleway"/>
          <w:sz w:val="15"/>
          <w:szCs w:val="15"/>
        </w:rPr>
        <w:t> </w:t>
      </w:r>
      <w:r w:rsidRPr="001E3DBF">
        <w:rPr>
          <w:rFonts w:ascii="Raleway" w:hAnsi="Raleway"/>
          <w:sz w:val="15"/>
          <w:szCs w:val="15"/>
        </w:rPr>
        <w:t xml:space="preserve">; Unicef, </w:t>
      </w:r>
      <w:hyperlink r:id="rId160" w:history="1">
        <w:r w:rsidRPr="002B3058">
          <w:rPr>
            <w:rStyle w:val="Hyperlink"/>
            <w:rFonts w:ascii="Raleway" w:hAnsi="Raleway"/>
            <w:i/>
            <w:sz w:val="15"/>
            <w:szCs w:val="15"/>
          </w:rPr>
          <w:t>Beyond institutional care</w:t>
        </w:r>
      </w:hyperlink>
      <w:r w:rsidRPr="001E3DBF">
        <w:rPr>
          <w:rFonts w:ascii="Raleway" w:hAnsi="Raleway"/>
          <w:sz w:val="15"/>
          <w:szCs w:val="15"/>
        </w:rPr>
        <w:t xml:space="preserve"> (Au-delà de la protection des enfants), 2020 ; Unicef, </w:t>
      </w:r>
      <w:hyperlink r:id="rId161" w:history="1">
        <w:r w:rsidRPr="002B3058">
          <w:rPr>
            <w:rStyle w:val="Hyperlink"/>
            <w:rFonts w:ascii="Raleway" w:hAnsi="Raleway"/>
            <w:i/>
            <w:sz w:val="15"/>
            <w:szCs w:val="15"/>
          </w:rPr>
          <w:t>Ending institutionalisation and strengthening family and community based care for children in Europe and beyond</w:t>
        </w:r>
      </w:hyperlink>
      <w:r w:rsidRPr="001E3DBF">
        <w:rPr>
          <w:rFonts w:ascii="Raleway" w:hAnsi="Raleway"/>
          <w:sz w:val="15"/>
          <w:szCs w:val="15"/>
        </w:rPr>
        <w:t xml:space="preserve"> (Mettre fin à l</w:t>
      </w:r>
      <w:r>
        <w:rPr>
          <w:rFonts w:ascii="Raleway" w:hAnsi="Raleway"/>
          <w:sz w:val="15"/>
          <w:szCs w:val="15"/>
        </w:rPr>
        <w:t>’</w:t>
      </w:r>
      <w:r w:rsidRPr="001E3DBF">
        <w:rPr>
          <w:rFonts w:ascii="Raleway" w:hAnsi="Raleway"/>
          <w:sz w:val="15"/>
          <w:szCs w:val="15"/>
        </w:rPr>
        <w:t>institutionnalisation et renforcer la protection de type familial et communautaire pour les enfants en Europe et au-delà), 2018.</w:t>
      </w:r>
    </w:p>
  </w:footnote>
  <w:footnote w:id="313">
    <w:p w14:paraId="68A6FC7D" w14:textId="5D50A18D"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Comité des droits de l</w:t>
      </w:r>
      <w:r>
        <w:rPr>
          <w:rFonts w:ascii="Raleway" w:hAnsi="Raleway"/>
          <w:sz w:val="15"/>
          <w:szCs w:val="15"/>
        </w:rPr>
        <w:t>’</w:t>
      </w:r>
      <w:r w:rsidRPr="001E3DBF">
        <w:rPr>
          <w:rFonts w:ascii="Raleway" w:hAnsi="Raleway"/>
          <w:sz w:val="15"/>
          <w:szCs w:val="15"/>
        </w:rPr>
        <w:t xml:space="preserve">enfant, </w:t>
      </w:r>
      <w:hyperlink r:id="rId162" w:history="1">
        <w:r w:rsidRPr="001E3DBF">
          <w:rPr>
            <w:rStyle w:val="Hyperlink"/>
            <w:rFonts w:ascii="Raleway" w:hAnsi="Raleway"/>
            <w:sz w:val="15"/>
            <w:szCs w:val="15"/>
          </w:rPr>
          <w:t>Journée de débat général 2021 – Droits de l</w:t>
        </w:r>
        <w:r>
          <w:rPr>
            <w:rStyle w:val="Hyperlink"/>
            <w:rFonts w:ascii="Raleway" w:hAnsi="Raleway"/>
            <w:sz w:val="15"/>
            <w:szCs w:val="15"/>
          </w:rPr>
          <w:t>’</w:t>
        </w:r>
        <w:r w:rsidRPr="001E3DBF">
          <w:rPr>
            <w:rStyle w:val="Hyperlink"/>
            <w:rFonts w:ascii="Raleway" w:hAnsi="Raleway"/>
            <w:sz w:val="15"/>
            <w:szCs w:val="15"/>
          </w:rPr>
          <w:t>enfant et protection de remplacement – Rapport</w:t>
        </w:r>
      </w:hyperlink>
      <w:r w:rsidRPr="001E3DBF">
        <w:rPr>
          <w:rFonts w:ascii="Raleway" w:hAnsi="Raleway"/>
          <w:sz w:val="15"/>
          <w:szCs w:val="15"/>
        </w:rPr>
        <w:t xml:space="preserve"> (traduction informelle), </w:t>
      </w:r>
      <w:r w:rsidRPr="001E3DBF">
        <w:rPr>
          <w:rFonts w:ascii="Raleway" w:hAnsi="Raleway"/>
          <w:i/>
          <w:iCs/>
          <w:sz w:val="15"/>
          <w:szCs w:val="15"/>
        </w:rPr>
        <w:t>supra</w:t>
      </w:r>
      <w:r w:rsidRPr="001E3DBF">
        <w:rPr>
          <w:rFonts w:ascii="Raleway" w:hAnsi="Raleway"/>
          <w:sz w:val="15"/>
          <w:szCs w:val="15"/>
        </w:rPr>
        <w:t xml:space="preserve"> no</w:t>
      </w:r>
      <w:r>
        <w:rPr>
          <w:rFonts w:ascii="Raleway" w:hAnsi="Raleway"/>
          <w:sz w:val="15"/>
          <w:szCs w:val="15"/>
        </w:rPr>
        <w:t>te </w:t>
      </w:r>
      <w:r>
        <w:rPr>
          <w:rFonts w:ascii="Raleway" w:hAnsi="Raleway"/>
          <w:sz w:val="15"/>
          <w:szCs w:val="15"/>
        </w:rPr>
        <w:fldChar w:fldCharType="begin"/>
      </w:r>
      <w:r>
        <w:rPr>
          <w:rFonts w:ascii="Raleway" w:hAnsi="Raleway"/>
          <w:sz w:val="15"/>
          <w:szCs w:val="15"/>
        </w:rPr>
        <w:instrText xml:space="preserve"> NOTEREF _Ref210984611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311</w:t>
      </w:r>
      <w:r>
        <w:rPr>
          <w:rFonts w:ascii="Raleway" w:hAnsi="Raleway"/>
          <w:sz w:val="15"/>
          <w:szCs w:val="15"/>
        </w:rPr>
        <w:fldChar w:fldCharType="end"/>
      </w:r>
      <w:r w:rsidRPr="001E3DBF">
        <w:rPr>
          <w:rFonts w:ascii="Raleway" w:hAnsi="Raleway"/>
          <w:sz w:val="15"/>
          <w:szCs w:val="15"/>
        </w:rPr>
        <w:t xml:space="preserve">. Voir aussi Boîte à outils sur les pratiques illicites,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_Ref202868531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20</w:t>
      </w:r>
      <w:r w:rsidRPr="001E3DBF">
        <w:rPr>
          <w:rFonts w:ascii="Raleway" w:hAnsi="Raleway"/>
          <w:sz w:val="15"/>
          <w:szCs w:val="15"/>
        </w:rPr>
        <w:fldChar w:fldCharType="end"/>
      </w:r>
      <w:r w:rsidRPr="001E3DBF">
        <w:rPr>
          <w:rFonts w:ascii="Raleway" w:hAnsi="Raleway"/>
          <w:sz w:val="15"/>
          <w:szCs w:val="15"/>
        </w:rPr>
        <w:t>, FS3, lignes 10 et 3</w:t>
      </w:r>
      <w:r>
        <w:rPr>
          <w:rFonts w:ascii="Raleway" w:hAnsi="Raleway"/>
          <w:sz w:val="15"/>
          <w:szCs w:val="15"/>
        </w:rPr>
        <w:t>7</w:t>
      </w:r>
      <w:r w:rsidRPr="001E3DBF">
        <w:rPr>
          <w:rFonts w:ascii="Raleway" w:hAnsi="Raleway"/>
          <w:sz w:val="15"/>
          <w:szCs w:val="15"/>
        </w:rPr>
        <w:t xml:space="preserve">. </w:t>
      </w:r>
    </w:p>
  </w:footnote>
  <w:footnote w:id="314">
    <w:p w14:paraId="45850515" w14:textId="0D7904D2" w:rsidR="00974DA5" w:rsidRPr="00693752" w:rsidRDefault="00974DA5" w:rsidP="00CD1418">
      <w:pPr>
        <w:pStyle w:val="FootnoteText"/>
        <w:ind w:left="284" w:hanging="284"/>
        <w:rPr>
          <w:rFonts w:ascii="Raleway" w:hAnsi="Raleway"/>
          <w:sz w:val="15"/>
          <w:szCs w:val="15"/>
          <w:lang w:val="pt-PT"/>
        </w:rPr>
      </w:pPr>
      <w:r w:rsidRPr="001E3DBF">
        <w:rPr>
          <w:rStyle w:val="FootnoteReference"/>
          <w:rFonts w:ascii="Raleway" w:hAnsi="Raleway"/>
          <w:sz w:val="15"/>
          <w:szCs w:val="15"/>
        </w:rPr>
        <w:footnoteRef/>
      </w:r>
      <w:r w:rsidRPr="00693752">
        <w:rPr>
          <w:rFonts w:ascii="Raleway" w:hAnsi="Raleway"/>
          <w:sz w:val="15"/>
          <w:szCs w:val="15"/>
          <w:lang w:val="pt-PT"/>
        </w:rPr>
        <w:t xml:space="preserve"> </w:t>
      </w:r>
      <w:r w:rsidRPr="00693752">
        <w:rPr>
          <w:rFonts w:ascii="Raleway" w:hAnsi="Raleway"/>
          <w:sz w:val="15"/>
          <w:szCs w:val="15"/>
          <w:lang w:val="pt-PT"/>
        </w:rPr>
        <w:tab/>
        <w:t>CS de 2022, C&amp;R No 8 ; voir aussi CS de 2010, C&amp;R No 14.</w:t>
      </w:r>
    </w:p>
  </w:footnote>
  <w:footnote w:id="315">
    <w:p w14:paraId="2675249E" w14:textId="5CF40D13" w:rsidR="00974DA5" w:rsidRPr="00C32232"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C32232">
        <w:rPr>
          <w:rFonts w:ascii="Raleway" w:hAnsi="Raleway"/>
          <w:sz w:val="15"/>
          <w:szCs w:val="15"/>
        </w:rPr>
        <w:t xml:space="preserve"> </w:t>
      </w:r>
      <w:r w:rsidRPr="00C32232">
        <w:rPr>
          <w:rFonts w:ascii="Raleway" w:hAnsi="Raleway"/>
          <w:sz w:val="15"/>
          <w:szCs w:val="15"/>
        </w:rPr>
        <w:tab/>
        <w:t>CS de 2022, C&amp;R No 8.</w:t>
      </w:r>
    </w:p>
  </w:footnote>
  <w:footnote w:id="316">
    <w:p w14:paraId="50A30E8E" w14:textId="4FC1CB1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Pr>
          <w:rFonts w:ascii="Raleway" w:hAnsi="Raleway"/>
          <w:sz w:val="15"/>
          <w:szCs w:val="15"/>
        </w:rPr>
        <w:t>, chapitre 9,5</w:t>
      </w:r>
      <w:r w:rsidRPr="001E3DBF">
        <w:rPr>
          <w:rFonts w:ascii="Raleway" w:hAnsi="Raleway"/>
          <w:sz w:val="15"/>
          <w:szCs w:val="15"/>
        </w:rPr>
        <w:t xml:space="preserve"> et Fiche thématique du SSI,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24</w:t>
      </w:r>
      <w:r w:rsidRPr="001E3DBF">
        <w:rPr>
          <w:rFonts w:ascii="Raleway" w:hAnsi="Raleway"/>
          <w:sz w:val="15"/>
          <w:szCs w:val="15"/>
        </w:rPr>
        <w:fldChar w:fldCharType="end"/>
      </w:r>
      <w:r w:rsidRPr="001E3DBF">
        <w:rPr>
          <w:rFonts w:ascii="Raleway" w:hAnsi="Raleway"/>
          <w:sz w:val="15"/>
          <w:szCs w:val="15"/>
        </w:rPr>
        <w:t>.</w:t>
      </w:r>
    </w:p>
  </w:footnote>
  <w:footnote w:id="317">
    <w:p w14:paraId="203DFEB7" w14:textId="153780C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Réponses au Profil d</w:t>
      </w:r>
      <w:r>
        <w:rPr>
          <w:rFonts w:ascii="Raleway" w:hAnsi="Raleway"/>
          <w:sz w:val="15"/>
          <w:szCs w:val="15"/>
        </w:rPr>
        <w:t>’</w:t>
      </w:r>
      <w:r w:rsidRPr="001E3DBF">
        <w:rPr>
          <w:rFonts w:ascii="Raleway" w:hAnsi="Raleway"/>
          <w:sz w:val="15"/>
          <w:szCs w:val="15"/>
        </w:rPr>
        <w:t>État électronique EO, Q. 34(b).</w:t>
      </w:r>
    </w:p>
  </w:footnote>
  <w:footnote w:id="318">
    <w:p w14:paraId="1B779A16" w14:textId="1593F0E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Fiche thématique du SSI,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_Ref142552654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24</w:t>
      </w:r>
      <w:r w:rsidRPr="001E3DBF">
        <w:rPr>
          <w:rFonts w:ascii="Raleway" w:hAnsi="Raleway"/>
          <w:sz w:val="15"/>
          <w:szCs w:val="15"/>
        </w:rPr>
        <w:fldChar w:fldCharType="end"/>
      </w:r>
      <w:r w:rsidRPr="001E3DBF">
        <w:rPr>
          <w:rFonts w:ascii="Raleway" w:hAnsi="Raleway"/>
          <w:sz w:val="15"/>
          <w:szCs w:val="15"/>
        </w:rPr>
        <w:t>.</w:t>
      </w:r>
    </w:p>
  </w:footnote>
  <w:footnote w:id="319">
    <w:p w14:paraId="34CB88CA" w14:textId="62B885BF" w:rsidR="00974DA5" w:rsidRPr="001E3DBF" w:rsidRDefault="00974DA5" w:rsidP="003D0B5A">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Chapitre </w:t>
      </w:r>
      <w:r w:rsidRPr="001E3DBF">
        <w:rPr>
          <w:rFonts w:ascii="Raleway" w:hAnsi="Raleway"/>
          <w:sz w:val="15"/>
          <w:szCs w:val="15"/>
        </w:rPr>
        <w:fldChar w:fldCharType="begin"/>
      </w:r>
      <w:r w:rsidRPr="001E3DBF">
        <w:rPr>
          <w:rFonts w:ascii="Raleway" w:hAnsi="Raleway"/>
          <w:sz w:val="15"/>
          <w:szCs w:val="15"/>
        </w:rPr>
        <w:instrText xml:space="preserve"> REF _Ref165564642 \r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4.2</w:t>
      </w:r>
      <w:r w:rsidRPr="001E3DBF">
        <w:rPr>
          <w:rFonts w:ascii="Raleway" w:hAnsi="Raleway"/>
          <w:sz w:val="15"/>
          <w:szCs w:val="15"/>
        </w:rPr>
        <w:fldChar w:fldCharType="end"/>
      </w:r>
      <w:r>
        <w:rPr>
          <w:rFonts w:ascii="Raleway" w:hAnsi="Raleway"/>
          <w:sz w:val="15"/>
          <w:szCs w:val="15"/>
        </w:rPr>
        <w:t xml:space="preserve"> de la présente Not</w:t>
      </w:r>
      <w:r w:rsidRPr="001E3DBF">
        <w:rPr>
          <w:rFonts w:ascii="Raleway" w:hAnsi="Raleway"/>
          <w:sz w:val="15"/>
          <w:szCs w:val="15"/>
        </w:rPr>
        <w:t>e</w:t>
      </w:r>
      <w:r>
        <w:rPr>
          <w:rFonts w:ascii="Raleway" w:hAnsi="Raleway"/>
          <w:sz w:val="15"/>
          <w:szCs w:val="15"/>
        </w:rPr>
        <w:t> </w:t>
      </w:r>
      <w:r w:rsidRPr="001E3DBF">
        <w:rPr>
          <w:rFonts w:ascii="Raleway" w:hAnsi="Raleway"/>
          <w:sz w:val="15"/>
          <w:szCs w:val="15"/>
        </w:rPr>
        <w:t xml:space="preserve">; Guide de bonnes pratiques No 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_Ref142561201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w:t>
      </w:r>
      <w:r w:rsidRPr="001E3DBF">
        <w:rPr>
          <w:rFonts w:ascii="Raleway" w:hAnsi="Raleway"/>
          <w:sz w:val="15"/>
          <w:szCs w:val="15"/>
        </w:rPr>
        <w:fldChar w:fldCharType="end"/>
      </w:r>
      <w:r w:rsidRPr="001E3DBF">
        <w:rPr>
          <w:rFonts w:ascii="Raleway" w:hAnsi="Raleway"/>
          <w:sz w:val="15"/>
          <w:szCs w:val="15"/>
        </w:rPr>
        <w:t>, para. 351.</w:t>
      </w:r>
    </w:p>
  </w:footnote>
  <w:footnote w:id="320">
    <w:p w14:paraId="6B0A9A24" w14:textId="1905A68E"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Loibl,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_Ref165642737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54</w:t>
      </w:r>
      <w:r w:rsidRPr="001E3DBF">
        <w:rPr>
          <w:rFonts w:ascii="Raleway" w:hAnsi="Raleway"/>
          <w:sz w:val="15"/>
          <w:szCs w:val="15"/>
        </w:rPr>
        <w:fldChar w:fldCharType="end"/>
      </w:r>
      <w:r w:rsidRPr="001E3DBF">
        <w:rPr>
          <w:rFonts w:ascii="Raleway" w:hAnsi="Raleway"/>
          <w:sz w:val="15"/>
          <w:szCs w:val="15"/>
        </w:rPr>
        <w:t>, p. 218.</w:t>
      </w:r>
    </w:p>
  </w:footnote>
  <w:footnote w:id="321">
    <w:p w14:paraId="2EBC2042" w14:textId="045123A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Par ex., le Brésil, la Colombie et l</w:t>
      </w:r>
      <w:r>
        <w:rPr>
          <w:rFonts w:ascii="Raleway" w:hAnsi="Raleway"/>
          <w:sz w:val="15"/>
          <w:szCs w:val="15"/>
        </w:rPr>
        <w:t>’</w:t>
      </w:r>
      <w:r w:rsidRPr="001E3DBF">
        <w:rPr>
          <w:rFonts w:ascii="Raleway" w:hAnsi="Raleway"/>
          <w:sz w:val="15"/>
          <w:szCs w:val="15"/>
        </w:rPr>
        <w:t>Uruguay. Voir aussi la discussion dans le Rapport du SSI intitulé, « </w:t>
      </w:r>
      <w:hyperlink r:id="rId163" w:history="1">
        <w:r w:rsidRPr="001E3DBF">
          <w:rPr>
            <w:rStyle w:val="Hyperlink"/>
            <w:rFonts w:ascii="Raleway" w:hAnsi="Raleway"/>
            <w:sz w:val="15"/>
            <w:szCs w:val="15"/>
          </w:rPr>
          <w:t>Adoption au Vietnam : Conclusions et recommandations d</w:t>
        </w:r>
        <w:r>
          <w:rPr>
            <w:rStyle w:val="Hyperlink"/>
            <w:rFonts w:ascii="Raleway" w:hAnsi="Raleway"/>
            <w:sz w:val="15"/>
            <w:szCs w:val="15"/>
          </w:rPr>
          <w:t>’</w:t>
        </w:r>
        <w:r w:rsidRPr="001E3DBF">
          <w:rPr>
            <w:rStyle w:val="Hyperlink"/>
            <w:rFonts w:ascii="Raleway" w:hAnsi="Raleway"/>
            <w:sz w:val="15"/>
            <w:szCs w:val="15"/>
          </w:rPr>
          <w:t>une évaluation</w:t>
        </w:r>
      </w:hyperlink>
      <w:r w:rsidRPr="001E3DBF">
        <w:rPr>
          <w:rFonts w:ascii="Raleway" w:hAnsi="Raleway"/>
          <w:sz w:val="15"/>
          <w:szCs w:val="15"/>
        </w:rPr>
        <w:t> », novembre 2009, chapitre 5.3.2.</w:t>
      </w:r>
    </w:p>
  </w:footnote>
  <w:footnote w:id="322">
    <w:p w14:paraId="5686ED42" w14:textId="248AFB24"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CS de 2022, </w:t>
      </w:r>
      <w:r>
        <w:rPr>
          <w:rFonts w:ascii="Raleway" w:hAnsi="Raleway"/>
          <w:sz w:val="15"/>
          <w:szCs w:val="15"/>
        </w:rPr>
        <w:t>C&amp;R No</w:t>
      </w:r>
      <w:r w:rsidRPr="001E3DBF">
        <w:rPr>
          <w:rFonts w:ascii="Raleway" w:hAnsi="Raleway"/>
          <w:sz w:val="15"/>
          <w:szCs w:val="15"/>
        </w:rPr>
        <w:t> 9.</w:t>
      </w:r>
    </w:p>
  </w:footnote>
  <w:footnote w:id="323">
    <w:p w14:paraId="65035BD6" w14:textId="0D26C290" w:rsidR="00974DA5" w:rsidRPr="00B1242A" w:rsidRDefault="00974DA5" w:rsidP="00035A48">
      <w:pPr>
        <w:pStyle w:val="FootnoteText"/>
        <w:ind w:left="284" w:hanging="284"/>
        <w:rPr>
          <w:rFonts w:ascii="Raleway" w:hAnsi="Raleway"/>
          <w:sz w:val="15"/>
          <w:szCs w:val="15"/>
        </w:rPr>
      </w:pPr>
      <w:r w:rsidRPr="00035A48">
        <w:rPr>
          <w:rStyle w:val="FootnoteReference"/>
          <w:rFonts w:ascii="Raleway" w:hAnsi="Raleway"/>
          <w:sz w:val="15"/>
          <w:szCs w:val="15"/>
        </w:rPr>
        <w:footnoteRef/>
      </w:r>
      <w:r w:rsidRPr="00035A48">
        <w:rPr>
          <w:rFonts w:ascii="Raleway" w:hAnsi="Raleway"/>
          <w:sz w:val="15"/>
          <w:szCs w:val="15"/>
        </w:rPr>
        <w:t xml:space="preserve"> </w:t>
      </w:r>
      <w:r>
        <w:rPr>
          <w:rFonts w:ascii="Raleway" w:hAnsi="Raleway"/>
          <w:sz w:val="15"/>
          <w:szCs w:val="15"/>
        </w:rPr>
        <w:tab/>
        <w:t>Tel est notamment le cas, lorsque la « [r]</w:t>
      </w:r>
      <w:r w:rsidRPr="00035A48">
        <w:rPr>
          <w:rFonts w:ascii="Raleway" w:hAnsi="Raleway"/>
          <w:sz w:val="15"/>
          <w:szCs w:val="15"/>
        </w:rPr>
        <w:t xml:space="preserve">églementation </w:t>
      </w:r>
      <w:r>
        <w:rPr>
          <w:rFonts w:ascii="Raleway" w:hAnsi="Raleway"/>
          <w:sz w:val="15"/>
          <w:szCs w:val="15"/>
        </w:rPr>
        <w:t xml:space="preserve">[est] </w:t>
      </w:r>
      <w:r w:rsidRPr="00035A48">
        <w:rPr>
          <w:rFonts w:ascii="Raleway" w:hAnsi="Raleway"/>
          <w:sz w:val="15"/>
          <w:szCs w:val="15"/>
        </w:rPr>
        <w:t>inexistante ou inadéquate concernant le paiement, par les FPA, de la prise en charge de l</w:t>
      </w:r>
      <w:r>
        <w:rPr>
          <w:rFonts w:ascii="Raleway" w:hAnsi="Raleway"/>
          <w:sz w:val="15"/>
          <w:szCs w:val="15"/>
        </w:rPr>
        <w:t>’</w:t>
      </w:r>
      <w:r w:rsidRPr="00035A48">
        <w:rPr>
          <w:rFonts w:ascii="Raleway" w:hAnsi="Raleway"/>
          <w:sz w:val="15"/>
          <w:szCs w:val="15"/>
        </w:rPr>
        <w:t>enfant, entre le moment de l</w:t>
      </w:r>
      <w:r>
        <w:rPr>
          <w:rFonts w:ascii="Raleway" w:hAnsi="Raleway"/>
          <w:sz w:val="15"/>
          <w:szCs w:val="15"/>
        </w:rPr>
        <w:t>’</w:t>
      </w:r>
      <w:r w:rsidRPr="00035A48">
        <w:rPr>
          <w:rFonts w:ascii="Raleway" w:hAnsi="Raleway"/>
          <w:sz w:val="15"/>
          <w:szCs w:val="15"/>
        </w:rPr>
        <w:t>acceptation de la décision d</w:t>
      </w:r>
      <w:r>
        <w:rPr>
          <w:rFonts w:ascii="Raleway" w:hAnsi="Raleway"/>
          <w:sz w:val="15"/>
          <w:szCs w:val="15"/>
        </w:rPr>
        <w:t>’</w:t>
      </w:r>
      <w:r w:rsidRPr="00035A48">
        <w:rPr>
          <w:rFonts w:ascii="Raleway" w:hAnsi="Raleway"/>
          <w:sz w:val="15"/>
          <w:szCs w:val="15"/>
        </w:rPr>
        <w:t>apparentement et jusqu</w:t>
      </w:r>
      <w:r>
        <w:rPr>
          <w:rFonts w:ascii="Raleway" w:hAnsi="Raleway"/>
          <w:sz w:val="15"/>
          <w:szCs w:val="15"/>
        </w:rPr>
        <w:t>’</w:t>
      </w:r>
      <w:r w:rsidRPr="00035A48">
        <w:rPr>
          <w:rFonts w:ascii="Raleway" w:hAnsi="Raleway"/>
          <w:sz w:val="15"/>
          <w:szCs w:val="15"/>
        </w:rPr>
        <w:t>à ce que l</w:t>
      </w:r>
      <w:r>
        <w:rPr>
          <w:rFonts w:ascii="Raleway" w:hAnsi="Raleway"/>
          <w:sz w:val="15"/>
          <w:szCs w:val="15"/>
        </w:rPr>
        <w:t>’</w:t>
      </w:r>
      <w:r w:rsidRPr="00035A48">
        <w:rPr>
          <w:rFonts w:ascii="Raleway" w:hAnsi="Raleway"/>
          <w:sz w:val="15"/>
          <w:szCs w:val="15"/>
        </w:rPr>
        <w:t>enfant leur soit confié</w:t>
      </w:r>
      <w:r>
        <w:rPr>
          <w:rFonts w:ascii="Raleway" w:hAnsi="Raleway"/>
          <w:sz w:val="15"/>
          <w:szCs w:val="15"/>
        </w:rPr>
        <w:t> » (</w:t>
      </w:r>
      <w:r w:rsidRPr="00797E0D">
        <w:rPr>
          <w:rFonts w:ascii="Raleway" w:hAnsi="Raleway"/>
          <w:color w:val="FFC000"/>
          <w:sz w:val="15"/>
          <w:szCs w:val="15"/>
        </w:rPr>
        <w:t>FS3, lignes 21</w:t>
      </w:r>
      <w:r>
        <w:rPr>
          <w:rFonts w:ascii="Raleway" w:hAnsi="Raleway"/>
          <w:sz w:val="15"/>
          <w:szCs w:val="15"/>
        </w:rPr>
        <w:t>).</w:t>
      </w:r>
    </w:p>
  </w:footnote>
  <w:footnote w:id="324">
    <w:p w14:paraId="074D0DF4" w14:textId="33848F4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CS de 2022, </w:t>
      </w:r>
      <w:r>
        <w:rPr>
          <w:rFonts w:ascii="Raleway" w:hAnsi="Raleway"/>
          <w:sz w:val="15"/>
          <w:szCs w:val="15"/>
        </w:rPr>
        <w:t>C&amp;R No</w:t>
      </w:r>
      <w:r w:rsidRPr="001E3DBF">
        <w:rPr>
          <w:rFonts w:ascii="Raleway" w:hAnsi="Raleway"/>
          <w:sz w:val="15"/>
          <w:szCs w:val="15"/>
        </w:rPr>
        <w:t> 10.</w:t>
      </w:r>
    </w:p>
  </w:footnote>
  <w:footnote w:id="325">
    <w:p w14:paraId="74A5C2F8" w14:textId="3EE4D09F"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Belgique (2025) et Pays-Bas (2022) (Profils d</w:t>
      </w:r>
      <w:r>
        <w:rPr>
          <w:rFonts w:ascii="Raleway" w:hAnsi="Raleway"/>
          <w:sz w:val="15"/>
          <w:szCs w:val="15"/>
        </w:rPr>
        <w:t>’</w:t>
      </w:r>
      <w:r w:rsidRPr="001E3DBF">
        <w:rPr>
          <w:rFonts w:ascii="Raleway" w:hAnsi="Raleway"/>
          <w:sz w:val="15"/>
          <w:szCs w:val="15"/>
        </w:rPr>
        <w:t xml:space="preserve">État EA, Q. 30(a)). </w:t>
      </w:r>
    </w:p>
  </w:footnote>
  <w:footnote w:id="326">
    <w:p w14:paraId="747CC4A4" w14:textId="65CCAC1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(site web de l</w:t>
      </w:r>
      <w:r>
        <w:rPr>
          <w:rFonts w:ascii="Raleway" w:hAnsi="Raleway"/>
          <w:sz w:val="15"/>
          <w:szCs w:val="15"/>
        </w:rPr>
        <w:t>’</w:t>
      </w:r>
      <w:r w:rsidRPr="001E3DBF">
        <w:rPr>
          <w:rFonts w:ascii="Raleway" w:hAnsi="Raleway"/>
          <w:sz w:val="15"/>
          <w:szCs w:val="15"/>
        </w:rPr>
        <w:t xml:space="preserve">Autorité centrale : </w:t>
      </w:r>
      <w:hyperlink r:id="rId164" w:history="1">
        <w:r w:rsidRPr="001E3DBF">
          <w:rPr>
            <w:rStyle w:val="Hyperlink"/>
            <w:rFonts w:ascii="Raleway" w:hAnsi="Raleway"/>
            <w:i/>
            <w:sz w:val="15"/>
            <w:szCs w:val="15"/>
          </w:rPr>
          <w:t>Notizie</w:t>
        </w:r>
      </w:hyperlink>
      <w:r>
        <w:rPr>
          <w:rFonts w:ascii="Raleway" w:hAnsi="Raleway"/>
          <w:sz w:val="15"/>
          <w:szCs w:val="15"/>
        </w:rPr>
        <w:t xml:space="preserve"> (Actualités))</w:t>
      </w:r>
      <w:r w:rsidRPr="001E3DBF">
        <w:rPr>
          <w:rFonts w:ascii="Raleway" w:hAnsi="Raleway"/>
          <w:sz w:val="15"/>
          <w:szCs w:val="15"/>
        </w:rPr>
        <w:t>.</w:t>
      </w:r>
    </w:p>
  </w:footnote>
  <w:footnote w:id="327">
    <w:p w14:paraId="35B79527" w14:textId="2A1CC5D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Madagascar (</w:t>
      </w:r>
      <w:r w:rsidR="0098628E">
        <w:rPr>
          <w:rFonts w:ascii="Raleway" w:hAnsi="Raleway"/>
          <w:sz w:val="15"/>
          <w:szCs w:val="15"/>
        </w:rPr>
        <w:t>l</w:t>
      </w:r>
      <w:r w:rsidRPr="009A75E2">
        <w:rPr>
          <w:rFonts w:ascii="Raleway" w:hAnsi="Raleway"/>
          <w:sz w:val="15"/>
          <w:szCs w:val="15"/>
        </w:rPr>
        <w:t xml:space="preserve">oi 2005-014, </w:t>
      </w:r>
      <w:r>
        <w:rPr>
          <w:rFonts w:ascii="Raleway" w:hAnsi="Raleway"/>
          <w:sz w:val="15"/>
          <w:szCs w:val="15"/>
        </w:rPr>
        <w:t>r</w:t>
      </w:r>
      <w:r w:rsidRPr="009A75E2">
        <w:rPr>
          <w:rFonts w:ascii="Raleway" w:hAnsi="Raleway"/>
          <w:sz w:val="15"/>
          <w:szCs w:val="15"/>
        </w:rPr>
        <w:t>elative à l</w:t>
      </w:r>
      <w:r>
        <w:rPr>
          <w:rFonts w:ascii="Raleway" w:hAnsi="Raleway"/>
          <w:sz w:val="15"/>
          <w:szCs w:val="15"/>
        </w:rPr>
        <w:t>’</w:t>
      </w:r>
      <w:r w:rsidRPr="009A75E2">
        <w:rPr>
          <w:rFonts w:ascii="Raleway" w:hAnsi="Raleway"/>
          <w:sz w:val="15"/>
          <w:szCs w:val="15"/>
        </w:rPr>
        <w:t>adoption</w:t>
      </w:r>
      <w:r w:rsidRPr="001E3DBF">
        <w:rPr>
          <w:rFonts w:ascii="Raleway" w:hAnsi="Raleway"/>
          <w:sz w:val="15"/>
          <w:szCs w:val="15"/>
        </w:rPr>
        <w:t>, du 7 septembre 2005, art. 64, et décret No 2006-596 du 10 août 2006 portant application de la loi 2005-014 du 7 septembre 2005, art. 44 et 46</w:t>
      </w:r>
      <w:r w:rsidR="0098628E">
        <w:rPr>
          <w:rFonts w:ascii="Raleway" w:hAnsi="Raleway"/>
          <w:sz w:val="15"/>
          <w:szCs w:val="15"/>
        </w:rPr>
        <w:t>)</w:t>
      </w:r>
      <w:r w:rsidRPr="001E3DBF">
        <w:rPr>
          <w:rFonts w:ascii="Raleway" w:hAnsi="Raleway"/>
          <w:sz w:val="15"/>
          <w:szCs w:val="15"/>
        </w:rPr>
        <w:t xml:space="preserve">. </w:t>
      </w:r>
    </w:p>
  </w:footnote>
  <w:footnote w:id="328">
    <w:p w14:paraId="5B454778" w14:textId="5DAB9C23"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Aux Philippines, les agences de protection de l</w:t>
      </w:r>
      <w:r>
        <w:rPr>
          <w:rFonts w:ascii="Raleway" w:hAnsi="Raleway"/>
          <w:sz w:val="15"/>
          <w:szCs w:val="15"/>
        </w:rPr>
        <w:t>’</w:t>
      </w:r>
      <w:r w:rsidRPr="001E3DBF">
        <w:rPr>
          <w:rFonts w:ascii="Raleway" w:hAnsi="Raleway"/>
          <w:sz w:val="15"/>
          <w:szCs w:val="15"/>
        </w:rPr>
        <w:t>enfance prennent en charge les enfants abandonnés (abandon ou abandon formel volontaire) et victimes de mauvais traitements ou de négligences. Ces institutions sont responsables de l</w:t>
      </w:r>
      <w:r>
        <w:rPr>
          <w:rFonts w:ascii="Raleway" w:hAnsi="Raleway"/>
          <w:sz w:val="15"/>
          <w:szCs w:val="15"/>
        </w:rPr>
        <w:t>’</w:t>
      </w:r>
      <w:r w:rsidRPr="001E3DBF">
        <w:rPr>
          <w:rFonts w:ascii="Raleway" w:hAnsi="Raleway"/>
          <w:sz w:val="15"/>
          <w:szCs w:val="15"/>
        </w:rPr>
        <w:t>apparentement de l</w:t>
      </w:r>
      <w:r>
        <w:rPr>
          <w:rFonts w:ascii="Raleway" w:hAnsi="Raleway"/>
          <w:sz w:val="15"/>
          <w:szCs w:val="15"/>
        </w:rPr>
        <w:t>’</w:t>
      </w:r>
      <w:r w:rsidRPr="001E3DBF">
        <w:rPr>
          <w:rFonts w:ascii="Raleway" w:hAnsi="Raleway"/>
          <w:sz w:val="15"/>
          <w:szCs w:val="15"/>
        </w:rPr>
        <w:t xml:space="preserve">enfant avec les FPA (Voir </w:t>
      </w:r>
      <w:hyperlink r:id="rId165" w:history="1">
        <w:r w:rsidRPr="001E3DBF">
          <w:rPr>
            <w:rStyle w:val="Hyperlink"/>
            <w:rFonts w:ascii="Raleway" w:hAnsi="Raleway"/>
            <w:i/>
            <w:iCs/>
            <w:sz w:val="15"/>
            <w:szCs w:val="15"/>
          </w:rPr>
          <w:t>Republic Act n°9523</w:t>
        </w:r>
      </w:hyperlink>
      <w:r>
        <w:rPr>
          <w:rFonts w:ascii="Raleway" w:hAnsi="Raleway"/>
          <w:sz w:val="15"/>
          <w:szCs w:val="15"/>
        </w:rPr>
        <w:t xml:space="preserve"> (</w:t>
      </w:r>
      <w:r w:rsidRPr="001E3DBF">
        <w:rPr>
          <w:rFonts w:ascii="Raleway" w:hAnsi="Raleway"/>
          <w:sz w:val="15"/>
          <w:szCs w:val="15"/>
        </w:rPr>
        <w:t>loi de la République No 9523), section 2).</w:t>
      </w:r>
    </w:p>
  </w:footnote>
  <w:footnote w:id="329">
    <w:p w14:paraId="32D9EE5A" w14:textId="2F7B1BE5"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En Colombie par ex., tout type de récompense aux parents pour l</w:t>
      </w:r>
      <w:r>
        <w:rPr>
          <w:rFonts w:ascii="Raleway" w:hAnsi="Raleway"/>
          <w:sz w:val="15"/>
          <w:szCs w:val="15"/>
        </w:rPr>
        <w:t>’</w:t>
      </w:r>
      <w:r w:rsidRPr="001E3DBF">
        <w:rPr>
          <w:rFonts w:ascii="Raleway" w:hAnsi="Raleway"/>
          <w:sz w:val="15"/>
          <w:szCs w:val="15"/>
        </w:rPr>
        <w:t>abandon de leur enfant en vue de l</w:t>
      </w:r>
      <w:r>
        <w:rPr>
          <w:rFonts w:ascii="Raleway" w:hAnsi="Raleway"/>
          <w:sz w:val="15"/>
          <w:szCs w:val="15"/>
        </w:rPr>
        <w:t>’</w:t>
      </w:r>
      <w:r w:rsidRPr="001E3DBF">
        <w:rPr>
          <w:rFonts w:ascii="Raleway" w:hAnsi="Raleway"/>
          <w:sz w:val="15"/>
          <w:szCs w:val="15"/>
        </w:rPr>
        <w:t>adoption est interdit (voir Code de l</w:t>
      </w:r>
      <w:r>
        <w:rPr>
          <w:rFonts w:ascii="Raleway" w:hAnsi="Raleway"/>
          <w:sz w:val="15"/>
          <w:szCs w:val="15"/>
        </w:rPr>
        <w:t>’</w:t>
      </w:r>
      <w:r w:rsidRPr="001E3DBF">
        <w:rPr>
          <w:rFonts w:ascii="Raleway" w:hAnsi="Raleway"/>
          <w:sz w:val="15"/>
          <w:szCs w:val="15"/>
        </w:rPr>
        <w:t>enfance et de l</w:t>
      </w:r>
      <w:r>
        <w:rPr>
          <w:rFonts w:ascii="Raleway" w:hAnsi="Raleway"/>
          <w:sz w:val="15"/>
          <w:szCs w:val="15"/>
        </w:rPr>
        <w:t>’</w:t>
      </w:r>
      <w:r w:rsidRPr="001E3DBF">
        <w:rPr>
          <w:rFonts w:ascii="Raleway" w:hAnsi="Raleway"/>
          <w:sz w:val="15"/>
          <w:szCs w:val="15"/>
        </w:rPr>
        <w:t xml:space="preserve">adolescence, loi No 1098 de 2006, </w:t>
      </w:r>
      <w:r w:rsidR="004A10FA">
        <w:rPr>
          <w:rFonts w:ascii="Raleway" w:hAnsi="Raleway"/>
          <w:i/>
          <w:sz w:val="15"/>
          <w:szCs w:val="15"/>
        </w:rPr>
        <w:t xml:space="preserve">supra </w:t>
      </w:r>
      <w:r w:rsidR="004A10FA">
        <w:rPr>
          <w:rFonts w:ascii="Raleway" w:hAnsi="Raleway"/>
          <w:sz w:val="15"/>
          <w:szCs w:val="15"/>
        </w:rPr>
        <w:t>note </w:t>
      </w:r>
      <w:r w:rsidR="004A10FA">
        <w:rPr>
          <w:rFonts w:ascii="Raleway" w:hAnsi="Raleway"/>
          <w:sz w:val="15"/>
          <w:szCs w:val="15"/>
        </w:rPr>
        <w:fldChar w:fldCharType="begin"/>
      </w:r>
      <w:r w:rsidR="004A10FA">
        <w:rPr>
          <w:rFonts w:ascii="Raleway" w:hAnsi="Raleway"/>
          <w:sz w:val="15"/>
          <w:szCs w:val="15"/>
        </w:rPr>
        <w:instrText xml:space="preserve"> NOTEREF _Ref231311461 \h </w:instrText>
      </w:r>
      <w:r w:rsidR="004A10FA">
        <w:rPr>
          <w:rFonts w:ascii="Raleway" w:hAnsi="Raleway"/>
          <w:sz w:val="15"/>
          <w:szCs w:val="15"/>
        </w:rPr>
      </w:r>
      <w:r w:rsidR="004A10FA">
        <w:rPr>
          <w:rFonts w:ascii="Raleway" w:hAnsi="Raleway"/>
          <w:sz w:val="15"/>
          <w:szCs w:val="15"/>
        </w:rPr>
        <w:fldChar w:fldCharType="separate"/>
      </w:r>
      <w:r w:rsidR="00E6549D">
        <w:rPr>
          <w:rFonts w:ascii="Raleway" w:hAnsi="Raleway"/>
          <w:sz w:val="15"/>
          <w:szCs w:val="15"/>
        </w:rPr>
        <w:t>114</w:t>
      </w:r>
      <w:r w:rsidR="004A10FA">
        <w:rPr>
          <w:rFonts w:ascii="Raleway" w:hAnsi="Raleway"/>
          <w:sz w:val="15"/>
          <w:szCs w:val="15"/>
        </w:rPr>
        <w:fldChar w:fldCharType="end"/>
      </w:r>
      <w:r w:rsidR="004A10FA">
        <w:rPr>
          <w:rFonts w:ascii="Raleway" w:hAnsi="Raleway"/>
          <w:sz w:val="15"/>
          <w:szCs w:val="15"/>
        </w:rPr>
        <w:t xml:space="preserve">, </w:t>
      </w:r>
      <w:r w:rsidRPr="001E3DBF">
        <w:rPr>
          <w:rFonts w:ascii="Raleway" w:hAnsi="Raleway"/>
          <w:sz w:val="15"/>
          <w:szCs w:val="15"/>
        </w:rPr>
        <w:t>art. 74).</w:t>
      </w:r>
    </w:p>
  </w:footnote>
  <w:footnote w:id="330">
    <w:p w14:paraId="7FCA3099" w14:textId="4AB11C02"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 xml:space="preserve">CS de 2000, rapport et C&amp;R No 42, </w:t>
      </w:r>
      <w:r w:rsidRPr="001E3DBF">
        <w:rPr>
          <w:rFonts w:ascii="Raleway" w:hAnsi="Raleway"/>
          <w:i/>
          <w:sz w:val="15"/>
          <w:szCs w:val="15"/>
        </w:rPr>
        <w:t>supra</w:t>
      </w:r>
      <w:r w:rsidRPr="001E3DBF">
        <w:rPr>
          <w:rFonts w:ascii="Raleway" w:hAnsi="Raleway"/>
          <w:sz w:val="15"/>
          <w:szCs w:val="15"/>
        </w:rPr>
        <w:t xml:space="preserve"> note </w:t>
      </w:r>
      <w:r w:rsidRPr="001E3DBF">
        <w:rPr>
          <w:rFonts w:ascii="Raleway" w:hAnsi="Raleway"/>
          <w:sz w:val="15"/>
          <w:szCs w:val="15"/>
        </w:rPr>
        <w:fldChar w:fldCharType="begin"/>
      </w:r>
      <w:r w:rsidRPr="001E3DBF">
        <w:rPr>
          <w:rFonts w:ascii="Raleway" w:hAnsi="Raleway"/>
          <w:sz w:val="15"/>
          <w:szCs w:val="15"/>
        </w:rPr>
        <w:instrText xml:space="preserve"> NOTEREF _Ref142552740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32</w:t>
      </w:r>
      <w:r w:rsidRPr="001E3DBF">
        <w:rPr>
          <w:rFonts w:ascii="Raleway" w:hAnsi="Raleway"/>
          <w:sz w:val="15"/>
          <w:szCs w:val="15"/>
        </w:rPr>
        <w:fldChar w:fldCharType="end"/>
      </w:r>
      <w:r w:rsidRPr="001E3DBF">
        <w:rPr>
          <w:rFonts w:ascii="Raleway" w:hAnsi="Raleway"/>
          <w:sz w:val="15"/>
          <w:szCs w:val="15"/>
        </w:rPr>
        <w:t>. La C&amp;R No 9 a été réaffirmée lors de la CS de 2005, voir C&amp;R No 5.</w:t>
      </w:r>
    </w:p>
  </w:footnote>
  <w:footnote w:id="331">
    <w:p w14:paraId="33429335" w14:textId="4660F52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Australie (Profil d</w:t>
      </w:r>
      <w:r>
        <w:rPr>
          <w:rFonts w:ascii="Raleway" w:hAnsi="Raleway"/>
          <w:sz w:val="15"/>
          <w:szCs w:val="15"/>
        </w:rPr>
        <w:t>’</w:t>
      </w:r>
      <w:r w:rsidRPr="001E3DBF">
        <w:rPr>
          <w:rFonts w:ascii="Raleway" w:hAnsi="Raleway"/>
          <w:sz w:val="15"/>
          <w:szCs w:val="15"/>
        </w:rPr>
        <w:t>État électronique EA (2026), Q. 30(c)).</w:t>
      </w:r>
    </w:p>
  </w:footnote>
  <w:footnote w:id="332">
    <w:p w14:paraId="052A10C1" w14:textId="71976447" w:rsidR="00974DA5" w:rsidRPr="00693752" w:rsidRDefault="00974DA5" w:rsidP="00CD1418">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693752">
        <w:rPr>
          <w:rFonts w:ascii="Raleway" w:hAnsi="Raleway"/>
          <w:sz w:val="15"/>
          <w:szCs w:val="15"/>
          <w:lang w:val="it-IT"/>
        </w:rPr>
        <w:t xml:space="preserve"> </w:t>
      </w:r>
      <w:r w:rsidRPr="00693752">
        <w:rPr>
          <w:rFonts w:ascii="Raleway" w:hAnsi="Raleway"/>
          <w:sz w:val="15"/>
          <w:szCs w:val="15"/>
          <w:lang w:val="it-IT"/>
        </w:rPr>
        <w:tab/>
        <w:t>Burundi (Profil d’État EO (2024), Q. 34(c)).</w:t>
      </w:r>
    </w:p>
  </w:footnote>
  <w:footnote w:id="333">
    <w:p w14:paraId="79245A9B" w14:textId="061CDE6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Cambodge (Profil d</w:t>
      </w:r>
      <w:r>
        <w:rPr>
          <w:rFonts w:ascii="Raleway" w:hAnsi="Raleway"/>
          <w:sz w:val="15"/>
          <w:szCs w:val="15"/>
        </w:rPr>
        <w:t>’</w:t>
      </w:r>
      <w:r w:rsidRPr="001E3DBF">
        <w:rPr>
          <w:rFonts w:ascii="Raleway" w:hAnsi="Raleway"/>
          <w:sz w:val="15"/>
          <w:szCs w:val="15"/>
        </w:rPr>
        <w:t>État EO (2025), Q. 34(c)).</w:t>
      </w:r>
    </w:p>
  </w:footnote>
  <w:footnote w:id="334">
    <w:p w14:paraId="61C4F843" w14:textId="423F5457"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Colombie (Code de l</w:t>
      </w:r>
      <w:r>
        <w:rPr>
          <w:rFonts w:ascii="Raleway" w:hAnsi="Raleway"/>
          <w:sz w:val="15"/>
          <w:szCs w:val="15"/>
        </w:rPr>
        <w:t>’</w:t>
      </w:r>
      <w:r w:rsidRPr="001E3DBF">
        <w:rPr>
          <w:rFonts w:ascii="Raleway" w:hAnsi="Raleway"/>
          <w:sz w:val="15"/>
          <w:szCs w:val="15"/>
        </w:rPr>
        <w:t>enfance et de l</w:t>
      </w:r>
      <w:r>
        <w:rPr>
          <w:rFonts w:ascii="Raleway" w:hAnsi="Raleway"/>
          <w:sz w:val="15"/>
          <w:szCs w:val="15"/>
        </w:rPr>
        <w:t>’</w:t>
      </w:r>
      <w:r w:rsidRPr="001E3DBF">
        <w:rPr>
          <w:rFonts w:ascii="Raleway" w:hAnsi="Raleway"/>
          <w:sz w:val="15"/>
          <w:szCs w:val="15"/>
        </w:rPr>
        <w:t>adolescence</w:t>
      </w:r>
      <w:r>
        <w:rPr>
          <w:rFonts w:ascii="Raleway" w:hAnsi="Raleway"/>
          <w:sz w:val="15"/>
          <w:szCs w:val="15"/>
        </w:rPr>
        <w:t xml:space="preserve"> </w:t>
      </w:r>
      <w:r w:rsidRPr="001E3DBF">
        <w:rPr>
          <w:rFonts w:ascii="Raleway" w:hAnsi="Raleway"/>
          <w:sz w:val="15"/>
          <w:szCs w:val="15"/>
        </w:rPr>
        <w:t xml:space="preserve">de 2006, </w:t>
      </w:r>
      <w:r>
        <w:rPr>
          <w:rFonts w:ascii="Raleway" w:hAnsi="Raleway"/>
          <w:i/>
          <w:sz w:val="15"/>
          <w:szCs w:val="15"/>
        </w:rPr>
        <w:t>supra</w:t>
      </w:r>
      <w:r>
        <w:rPr>
          <w:rFonts w:ascii="Raleway" w:hAnsi="Raleway"/>
          <w:sz w:val="15"/>
          <w:szCs w:val="15"/>
        </w:rPr>
        <w:t xml:space="preserve"> note </w:t>
      </w:r>
      <w:r w:rsidR="004A10FA">
        <w:rPr>
          <w:rFonts w:ascii="Raleway" w:hAnsi="Raleway"/>
          <w:sz w:val="15"/>
          <w:szCs w:val="15"/>
        </w:rPr>
        <w:fldChar w:fldCharType="begin"/>
      </w:r>
      <w:r w:rsidR="004A10FA">
        <w:rPr>
          <w:rFonts w:ascii="Raleway" w:hAnsi="Raleway"/>
          <w:sz w:val="15"/>
          <w:szCs w:val="15"/>
        </w:rPr>
        <w:instrText xml:space="preserve"> NOTEREF _Ref231311461 \h </w:instrText>
      </w:r>
      <w:r w:rsidR="004A10FA">
        <w:rPr>
          <w:rFonts w:ascii="Raleway" w:hAnsi="Raleway"/>
          <w:sz w:val="15"/>
          <w:szCs w:val="15"/>
        </w:rPr>
      </w:r>
      <w:r w:rsidR="004A10FA">
        <w:rPr>
          <w:rFonts w:ascii="Raleway" w:hAnsi="Raleway"/>
          <w:sz w:val="15"/>
          <w:szCs w:val="15"/>
        </w:rPr>
        <w:fldChar w:fldCharType="separate"/>
      </w:r>
      <w:r w:rsidR="00E6549D">
        <w:rPr>
          <w:rFonts w:ascii="Raleway" w:hAnsi="Raleway"/>
          <w:sz w:val="15"/>
          <w:szCs w:val="15"/>
        </w:rPr>
        <w:t>114</w:t>
      </w:r>
      <w:r w:rsidR="004A10FA">
        <w:rPr>
          <w:rFonts w:ascii="Raleway" w:hAnsi="Raleway"/>
          <w:sz w:val="15"/>
          <w:szCs w:val="15"/>
        </w:rPr>
        <w:fldChar w:fldCharType="end"/>
      </w:r>
      <w:r>
        <w:rPr>
          <w:rFonts w:ascii="Raleway" w:hAnsi="Raleway"/>
          <w:sz w:val="15"/>
          <w:szCs w:val="15"/>
        </w:rPr>
        <w:fldChar w:fldCharType="begin"/>
      </w:r>
      <w:r>
        <w:rPr>
          <w:rFonts w:ascii="Raleway" w:hAnsi="Raleway"/>
          <w:sz w:val="15"/>
          <w:szCs w:val="15"/>
        </w:rPr>
        <w:instrText xml:space="preserve"> NOTEREF _Ref231466116 \h </w:instrText>
      </w:r>
      <w:r>
        <w:rPr>
          <w:rFonts w:ascii="Raleway" w:hAnsi="Raleway"/>
          <w:sz w:val="15"/>
          <w:szCs w:val="15"/>
        </w:rPr>
      </w:r>
      <w:r>
        <w:rPr>
          <w:rFonts w:ascii="Raleway" w:hAnsi="Raleway"/>
          <w:sz w:val="15"/>
          <w:szCs w:val="15"/>
        </w:rPr>
        <w:fldChar w:fldCharType="separate"/>
      </w:r>
      <w:r w:rsidR="00E6549D">
        <w:rPr>
          <w:rFonts w:ascii="Raleway" w:hAnsi="Raleway"/>
          <w:sz w:val="15"/>
          <w:szCs w:val="15"/>
        </w:rPr>
        <w:t>328</w:t>
      </w:r>
      <w:r>
        <w:rPr>
          <w:rFonts w:ascii="Raleway" w:hAnsi="Raleway"/>
          <w:sz w:val="15"/>
          <w:szCs w:val="15"/>
        </w:rPr>
        <w:fldChar w:fldCharType="end"/>
      </w:r>
      <w:r>
        <w:rPr>
          <w:rFonts w:ascii="Raleway" w:hAnsi="Raleway"/>
          <w:sz w:val="15"/>
          <w:szCs w:val="15"/>
        </w:rPr>
        <w:t xml:space="preserve">, </w:t>
      </w:r>
      <w:r w:rsidRPr="001E3DBF">
        <w:rPr>
          <w:rFonts w:ascii="Raleway" w:hAnsi="Raleway"/>
          <w:sz w:val="15"/>
          <w:szCs w:val="15"/>
        </w:rPr>
        <w:t>art. 74).</w:t>
      </w:r>
    </w:p>
  </w:footnote>
  <w:footnote w:id="335">
    <w:p w14:paraId="0C5142F9" w14:textId="35B1B47A"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Côte d</w:t>
      </w:r>
      <w:r>
        <w:rPr>
          <w:rFonts w:ascii="Raleway" w:hAnsi="Raleway"/>
          <w:sz w:val="15"/>
          <w:szCs w:val="15"/>
        </w:rPr>
        <w:t>’</w:t>
      </w:r>
      <w:r w:rsidRPr="001E3DBF">
        <w:rPr>
          <w:rFonts w:ascii="Raleway" w:hAnsi="Raleway"/>
          <w:sz w:val="15"/>
          <w:szCs w:val="15"/>
        </w:rPr>
        <w:t>Ivoire (Profil d</w:t>
      </w:r>
      <w:r>
        <w:rPr>
          <w:rFonts w:ascii="Raleway" w:hAnsi="Raleway"/>
          <w:sz w:val="15"/>
          <w:szCs w:val="15"/>
        </w:rPr>
        <w:t>’</w:t>
      </w:r>
      <w:r w:rsidRPr="001E3DBF">
        <w:rPr>
          <w:rFonts w:ascii="Raleway" w:hAnsi="Raleway"/>
          <w:sz w:val="15"/>
          <w:szCs w:val="15"/>
        </w:rPr>
        <w:t>État électronique EO (2026), Q. 34(c)).</w:t>
      </w:r>
    </w:p>
  </w:footnote>
  <w:footnote w:id="336">
    <w:p w14:paraId="5C751B7F" w14:textId="39A9CD60"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En France, le fait qu</w:t>
      </w:r>
      <w:r>
        <w:rPr>
          <w:rFonts w:ascii="Raleway" w:hAnsi="Raleway"/>
          <w:sz w:val="15"/>
          <w:szCs w:val="15"/>
        </w:rPr>
        <w:t>’</w:t>
      </w:r>
      <w:r w:rsidRPr="001E3DBF">
        <w:rPr>
          <w:rFonts w:ascii="Raleway" w:hAnsi="Raleway"/>
          <w:sz w:val="15"/>
          <w:szCs w:val="15"/>
        </w:rPr>
        <w:t>un OAA sollicite ou accepte des FPA, pour lui-même ou pour toute autre personne physique ou morale, un don de quelque nature que ce soit est un motif de retrait de l</w:t>
      </w:r>
      <w:r>
        <w:rPr>
          <w:rFonts w:ascii="Raleway" w:hAnsi="Raleway"/>
          <w:sz w:val="15"/>
          <w:szCs w:val="15"/>
        </w:rPr>
        <w:t>’</w:t>
      </w:r>
      <w:r w:rsidRPr="001E3DBF">
        <w:rPr>
          <w:rFonts w:ascii="Raleway" w:hAnsi="Raleway"/>
          <w:sz w:val="15"/>
          <w:szCs w:val="15"/>
        </w:rPr>
        <w:t>agrément. Cette interdiction s</w:t>
      </w:r>
      <w:r>
        <w:rPr>
          <w:rFonts w:ascii="Raleway" w:hAnsi="Raleway"/>
          <w:sz w:val="15"/>
          <w:szCs w:val="15"/>
        </w:rPr>
        <w:t>’</w:t>
      </w:r>
      <w:r w:rsidRPr="001E3DBF">
        <w:rPr>
          <w:rFonts w:ascii="Raleway" w:hAnsi="Raleway"/>
          <w:sz w:val="15"/>
          <w:szCs w:val="15"/>
        </w:rPr>
        <w:t>applique jusqu</w:t>
      </w:r>
      <w:r>
        <w:rPr>
          <w:rFonts w:ascii="Raleway" w:hAnsi="Raleway"/>
          <w:sz w:val="15"/>
          <w:szCs w:val="15"/>
        </w:rPr>
        <w:t>’</w:t>
      </w:r>
      <w:r w:rsidRPr="001E3DBF">
        <w:rPr>
          <w:rFonts w:ascii="Raleway" w:hAnsi="Raleway"/>
          <w:sz w:val="15"/>
          <w:szCs w:val="15"/>
        </w:rPr>
        <w:t>à ce que le jugement d</w:t>
      </w:r>
      <w:r>
        <w:rPr>
          <w:rFonts w:ascii="Raleway" w:hAnsi="Raleway"/>
          <w:sz w:val="15"/>
          <w:szCs w:val="15"/>
        </w:rPr>
        <w:t>’</w:t>
      </w:r>
      <w:r w:rsidRPr="001E3DBF">
        <w:rPr>
          <w:rFonts w:ascii="Raleway" w:hAnsi="Raleway"/>
          <w:sz w:val="15"/>
          <w:szCs w:val="15"/>
        </w:rPr>
        <w:t>adoption soit devenu définitif ou jusqu</w:t>
      </w:r>
      <w:r>
        <w:rPr>
          <w:rFonts w:ascii="Raleway" w:hAnsi="Raleway"/>
          <w:sz w:val="15"/>
          <w:szCs w:val="15"/>
        </w:rPr>
        <w:t>’</w:t>
      </w:r>
      <w:r w:rsidRPr="001E3DBF">
        <w:rPr>
          <w:rFonts w:ascii="Raleway" w:hAnsi="Raleway"/>
          <w:sz w:val="15"/>
          <w:szCs w:val="15"/>
        </w:rPr>
        <w:t>à la transcription du jugement étranger (</w:t>
      </w:r>
      <w:hyperlink r:id="rId166" w:history="1">
        <w:r w:rsidRPr="00B34B47">
          <w:rPr>
            <w:rStyle w:val="Hyperlink"/>
            <w:rFonts w:ascii="Raleway" w:hAnsi="Raleway"/>
            <w:sz w:val="15"/>
            <w:szCs w:val="15"/>
          </w:rPr>
          <w:t>Code de l</w:t>
        </w:r>
        <w:r>
          <w:rPr>
            <w:rStyle w:val="Hyperlink"/>
            <w:rFonts w:ascii="Raleway" w:hAnsi="Raleway"/>
            <w:sz w:val="15"/>
            <w:szCs w:val="15"/>
          </w:rPr>
          <w:t>’</w:t>
        </w:r>
        <w:r w:rsidRPr="00B34B47">
          <w:rPr>
            <w:rStyle w:val="Hyperlink"/>
            <w:rFonts w:ascii="Raleway" w:hAnsi="Raleway"/>
            <w:sz w:val="15"/>
            <w:szCs w:val="15"/>
          </w:rPr>
          <w:t>action sociale et des familles</w:t>
        </w:r>
      </w:hyperlink>
      <w:r w:rsidRPr="001E3DBF">
        <w:rPr>
          <w:rFonts w:ascii="Raleway" w:hAnsi="Raleway"/>
          <w:sz w:val="15"/>
          <w:szCs w:val="15"/>
        </w:rPr>
        <w:t>, art. R225-30(6)).</w:t>
      </w:r>
    </w:p>
  </w:footnote>
  <w:footnote w:id="337">
    <w:p w14:paraId="40BE8614" w14:textId="160A2EDC" w:rsidR="00974DA5" w:rsidRPr="001E3DBF" w:rsidRDefault="00974DA5" w:rsidP="001D5C89">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Italie (Profil d</w:t>
      </w:r>
      <w:r>
        <w:rPr>
          <w:rFonts w:ascii="Raleway" w:hAnsi="Raleway"/>
          <w:sz w:val="15"/>
          <w:szCs w:val="15"/>
        </w:rPr>
        <w:t>’</w:t>
      </w:r>
      <w:r w:rsidRPr="001E3DBF">
        <w:rPr>
          <w:rFonts w:ascii="Raleway" w:hAnsi="Raleway"/>
          <w:sz w:val="15"/>
          <w:szCs w:val="15"/>
        </w:rPr>
        <w:t>État électronique EA (2026), Q. 30(3)).</w:t>
      </w:r>
    </w:p>
  </w:footnote>
  <w:footnote w:id="338">
    <w:p w14:paraId="33FD94B6" w14:textId="68A439B9"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République dominicaine (Profil d</w:t>
      </w:r>
      <w:r>
        <w:rPr>
          <w:rFonts w:ascii="Raleway" w:hAnsi="Raleway"/>
          <w:sz w:val="15"/>
          <w:szCs w:val="15"/>
        </w:rPr>
        <w:t>’</w:t>
      </w:r>
      <w:r w:rsidRPr="001E3DBF">
        <w:rPr>
          <w:rFonts w:ascii="Raleway" w:hAnsi="Raleway"/>
          <w:sz w:val="15"/>
          <w:szCs w:val="15"/>
        </w:rPr>
        <w:t>État EO (2020), Q. 34(c)).</w:t>
      </w:r>
    </w:p>
  </w:footnote>
  <w:footnote w:id="339">
    <w:p w14:paraId="0FE16E21" w14:textId="3CB7C94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Philippines (site web de l</w:t>
      </w:r>
      <w:r>
        <w:rPr>
          <w:rFonts w:ascii="Raleway" w:hAnsi="Raleway"/>
          <w:sz w:val="15"/>
          <w:szCs w:val="15"/>
        </w:rPr>
        <w:t>’</w:t>
      </w:r>
      <w:r w:rsidRPr="001E3DBF">
        <w:rPr>
          <w:rFonts w:ascii="Raleway" w:hAnsi="Raleway"/>
          <w:sz w:val="15"/>
          <w:szCs w:val="15"/>
        </w:rPr>
        <w:t xml:space="preserve">Autorité centrale, </w:t>
      </w:r>
      <w:r w:rsidRPr="001E3DBF">
        <w:rPr>
          <w:rFonts w:ascii="Raleway" w:hAnsi="Raleway"/>
          <w:i/>
          <w:sz w:val="15"/>
          <w:szCs w:val="15"/>
        </w:rPr>
        <w:t xml:space="preserve">supra </w:t>
      </w:r>
      <w:r w:rsidRPr="001E3DBF">
        <w:rPr>
          <w:rFonts w:ascii="Raleway" w:hAnsi="Raleway"/>
          <w:sz w:val="15"/>
          <w:szCs w:val="15"/>
        </w:rPr>
        <w:t xml:space="preserve">note </w:t>
      </w:r>
      <w:r w:rsidRPr="001E3DBF">
        <w:rPr>
          <w:rFonts w:ascii="Raleway" w:hAnsi="Raleway"/>
          <w:sz w:val="15"/>
          <w:szCs w:val="15"/>
        </w:rPr>
        <w:fldChar w:fldCharType="begin"/>
      </w:r>
      <w:r w:rsidRPr="001E3DBF">
        <w:rPr>
          <w:rFonts w:ascii="Raleway" w:hAnsi="Raleway"/>
          <w:sz w:val="15"/>
          <w:szCs w:val="15"/>
        </w:rPr>
        <w:instrText xml:space="preserve"> NOTEREF _Ref203985327 \h  \* MERGEFORMAT </w:instrText>
      </w:r>
      <w:r w:rsidRPr="001E3DBF">
        <w:rPr>
          <w:rFonts w:ascii="Raleway" w:hAnsi="Raleway"/>
          <w:sz w:val="15"/>
          <w:szCs w:val="15"/>
        </w:rPr>
      </w:r>
      <w:r w:rsidRPr="001E3DBF">
        <w:rPr>
          <w:rFonts w:ascii="Raleway" w:hAnsi="Raleway"/>
          <w:sz w:val="15"/>
          <w:szCs w:val="15"/>
        </w:rPr>
        <w:fldChar w:fldCharType="separate"/>
      </w:r>
      <w:r w:rsidR="00E6549D">
        <w:rPr>
          <w:rFonts w:ascii="Raleway" w:hAnsi="Raleway"/>
          <w:sz w:val="15"/>
          <w:szCs w:val="15"/>
        </w:rPr>
        <w:t>196</w:t>
      </w:r>
      <w:r w:rsidRPr="001E3DBF">
        <w:rPr>
          <w:rFonts w:ascii="Raleway" w:hAnsi="Raleway"/>
          <w:sz w:val="15"/>
          <w:szCs w:val="15"/>
        </w:rPr>
        <w:fldChar w:fldCharType="end"/>
      </w:r>
      <w:r w:rsidRPr="001E3DBF">
        <w:rPr>
          <w:rFonts w:ascii="Raleway" w:hAnsi="Raleway"/>
          <w:sz w:val="15"/>
          <w:szCs w:val="15"/>
        </w:rPr>
        <w:t>, sous la rubrique « Questions fréquentes »).</w:t>
      </w:r>
    </w:p>
  </w:footnote>
  <w:footnote w:id="340">
    <w:p w14:paraId="4C6426C0" w14:textId="64E1AACD" w:rsidR="00974DA5" w:rsidRPr="00693752" w:rsidRDefault="00974DA5" w:rsidP="002D0EF0">
      <w:pPr>
        <w:pStyle w:val="FootnoteText"/>
        <w:ind w:left="284" w:hanging="284"/>
        <w:rPr>
          <w:rFonts w:ascii="Raleway" w:hAnsi="Raleway"/>
          <w:sz w:val="15"/>
          <w:szCs w:val="15"/>
          <w:lang w:val="it-IT"/>
        </w:rPr>
      </w:pPr>
      <w:r w:rsidRPr="001E3DBF">
        <w:rPr>
          <w:rStyle w:val="FootnoteReference"/>
          <w:rFonts w:ascii="Raleway" w:hAnsi="Raleway"/>
          <w:sz w:val="15"/>
          <w:szCs w:val="15"/>
        </w:rPr>
        <w:footnoteRef/>
      </w:r>
      <w:r w:rsidRPr="00693752">
        <w:rPr>
          <w:rFonts w:ascii="Raleway" w:hAnsi="Raleway"/>
          <w:sz w:val="15"/>
          <w:szCs w:val="15"/>
          <w:lang w:val="it-IT"/>
        </w:rPr>
        <w:t xml:space="preserve"> </w:t>
      </w:r>
      <w:r w:rsidRPr="00693752">
        <w:rPr>
          <w:rFonts w:ascii="Raleway" w:hAnsi="Raleway"/>
          <w:sz w:val="15"/>
          <w:szCs w:val="15"/>
          <w:lang w:val="it-IT"/>
        </w:rPr>
        <w:tab/>
        <w:t>Burkina Faso (Profil d’État EO (2022), Q. 34(b)).</w:t>
      </w:r>
    </w:p>
  </w:footnote>
  <w:footnote w:id="341">
    <w:p w14:paraId="76ADE7CF" w14:textId="77DAC5CB" w:rsidR="00974DA5" w:rsidRPr="001E3DBF" w:rsidRDefault="00974DA5" w:rsidP="00CD1418">
      <w:pPr>
        <w:pStyle w:val="FootnoteText"/>
        <w:ind w:left="284" w:hanging="284"/>
        <w:rPr>
          <w:rFonts w:ascii="Raleway" w:hAnsi="Raleway"/>
          <w:sz w:val="15"/>
          <w:szCs w:val="15"/>
        </w:rPr>
      </w:pPr>
      <w:r w:rsidRPr="001E3DBF">
        <w:rPr>
          <w:rStyle w:val="FootnoteReference"/>
          <w:rFonts w:ascii="Raleway" w:hAnsi="Raleway"/>
          <w:sz w:val="15"/>
          <w:szCs w:val="15"/>
        </w:rPr>
        <w:footnoteRef/>
      </w:r>
      <w:r w:rsidRPr="001E3DBF">
        <w:rPr>
          <w:rFonts w:ascii="Raleway" w:hAnsi="Raleway"/>
          <w:sz w:val="15"/>
          <w:szCs w:val="15"/>
        </w:rPr>
        <w:t xml:space="preserve"> </w:t>
      </w:r>
      <w:r w:rsidRPr="001E3DBF">
        <w:rPr>
          <w:rFonts w:ascii="Raleway" w:hAnsi="Raleway"/>
          <w:sz w:val="15"/>
          <w:szCs w:val="15"/>
        </w:rPr>
        <w:tab/>
        <w:t>Suède (</w:t>
      </w:r>
      <w:hyperlink r:id="rId167" w:history="1">
        <w:r w:rsidRPr="001E3DBF">
          <w:rPr>
            <w:rStyle w:val="Hyperlink"/>
            <w:rFonts w:ascii="Raleway" w:hAnsi="Raleway"/>
            <w:i/>
            <w:sz w:val="15"/>
            <w:szCs w:val="15"/>
          </w:rPr>
          <w:t>Internationell adoption - Handbok för socialtjänsten</w:t>
        </w:r>
      </w:hyperlink>
      <w:r w:rsidRPr="001E3DBF">
        <w:rPr>
          <w:rFonts w:ascii="Raleway" w:hAnsi="Raleway"/>
          <w:sz w:val="15"/>
          <w:szCs w:val="15"/>
        </w:rPr>
        <w:t xml:space="preserve"> (Adoption internationale – Manuel à l</w:t>
      </w:r>
      <w:r>
        <w:rPr>
          <w:rFonts w:ascii="Raleway" w:hAnsi="Raleway"/>
          <w:sz w:val="15"/>
          <w:szCs w:val="15"/>
        </w:rPr>
        <w:t>’</w:t>
      </w:r>
      <w:r w:rsidRPr="001E3DBF">
        <w:rPr>
          <w:rFonts w:ascii="Raleway" w:hAnsi="Raleway"/>
          <w:sz w:val="15"/>
          <w:szCs w:val="15"/>
        </w:rPr>
        <w:t>usage des</w:t>
      </w:r>
      <w:r w:rsidR="00CC417D">
        <w:rPr>
          <w:rFonts w:ascii="Raleway" w:hAnsi="Raleway"/>
          <w:sz w:val="15"/>
          <w:szCs w:val="15"/>
        </w:rPr>
        <w:t xml:space="preserve"> services sociaux)</w:t>
      </w:r>
      <w:r w:rsidRPr="001E3DBF">
        <w:rPr>
          <w:rFonts w:ascii="Raleway" w:hAnsi="Raleway"/>
          <w:sz w:val="15"/>
          <w:szCs w:val="15"/>
        </w:rPr>
        <w:t>, 2022, p.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9EF6" w14:textId="63FAA4D3" w:rsidR="00974DA5" w:rsidRDefault="00974DA5">
    <w:pPr>
      <w:pStyle w:val="Header"/>
    </w:pPr>
    <w:r>
      <w:rPr>
        <w:noProof/>
        <w:lang w:eastAsia="fr-FR"/>
      </w:rPr>
      <mc:AlternateContent>
        <mc:Choice Requires="wps">
          <w:drawing>
            <wp:anchor distT="0" distB="0" distL="114300" distR="114300" simplePos="0" relativeHeight="251658241" behindDoc="1" locked="0" layoutInCell="0" allowOverlap="1" wp14:anchorId="554E2017" wp14:editId="602061E7">
              <wp:simplePos x="0" y="0"/>
              <wp:positionH relativeFrom="margin">
                <wp:align>center</wp:align>
              </wp:positionH>
              <wp:positionV relativeFrom="margin">
                <wp:align>center</wp:align>
              </wp:positionV>
              <wp:extent cx="5772150" cy="2308860"/>
              <wp:effectExtent l="0" t="0" r="0" b="0"/>
              <wp:wrapNone/>
              <wp:docPr id="384803104" name="PowerPlusWaterMarkObject1726276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1E07F9B" w14:textId="77777777" w:rsidR="00974DA5" w:rsidRDefault="00974DA5"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54E2017" id="_x0000_t202" coordsize="21600,21600" o:spt="202" path="m,l,21600r21600,l21600,xe">
              <v:stroke joinstyle="miter"/>
              <v:path gradientshapeok="t" o:connecttype="rect"/>
            </v:shapetype>
            <v:shape id="PowerPlusWaterMarkObject17262766" o:spid="_x0000_s1026" type="#_x0000_t202" style="position:absolute;margin-left:0;margin-top:0;width:454.5pt;height:181.8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" o:allowincell="f" filled="f" stroked="f">
              <v:stroke joinstyle="round"/>
              <o:lock v:ext="edit" rotation="t" aspectratio="t" verticies="t" adjusthandles="t" grouping="t" shapetype="t"/>
              <v:textbox>
                <w:txbxContent>
                  <w:p w14:paraId="61E07F9B" w14:textId="77777777" w:rsidR="00974DA5" w:rsidRDefault="00974DA5" w:rsidP="004E04DB">
                    <w:pPr>
                      <w:jc w:val="center"/>
                      <w:rPr>
                        <w:rFonts w:ascii="Franklin Gothic Book" w:hAnsi="Franklin Gothic Book" w:hint="eastAsia"/>
                        <w:color w:val="C0C0C0"/>
                        <w:sz w:val="72"/>
                        <w:szCs w:val="72"/>
                        <w14:textFill>
                          <w14:solidFill>
                            <w14:srgbClr w14:val="C0C0C0">
                              <w14:alpha w14:val="50000"/>
                            </w14:srgbClr>
                          </w14:solidFill>
                        </w14:textFill>
                      </w:rPr>
                    </w:pPr>
                    <w:r>
                      <w:rPr>
                        <w:rFonts w:ascii="Franklin Gothic Book" w:hAnsi="Franklin Gothic Book"/>
                        <w:color w:val="C0C0C0"/>
                        <w:sz w:val="72"/>
                        <w14:textFill>
                          <w14:solidFill>
                            <w14:srgbClr w14:val="C0C0C0">
                              <w14:alpha w14:val="50000"/>
                            </w14:srgbClr>
                          </w14:solidFill>
                        </w14:textFill>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7243" w14:textId="7B85C8FA" w:rsidR="00974DA5" w:rsidRDefault="00974DA5">
    <w:pPr>
      <w:pStyle w:val="Header"/>
    </w:pPr>
    <w:r>
      <w:rPr>
        <w:noProof/>
        <w:lang w:eastAsia="fr-FR"/>
      </w:rPr>
      <mc:AlternateContent>
        <mc:Choice Requires="wps">
          <w:drawing>
            <wp:anchor distT="0" distB="0" distL="114300" distR="114300" simplePos="0" relativeHeight="251658242" behindDoc="1" locked="0" layoutInCell="0" allowOverlap="1" wp14:anchorId="23F0086B" wp14:editId="29F22095">
              <wp:simplePos x="0" y="0"/>
              <wp:positionH relativeFrom="margin">
                <wp:align>center</wp:align>
              </wp:positionH>
              <wp:positionV relativeFrom="margin">
                <wp:align>center</wp:align>
              </wp:positionV>
              <wp:extent cx="5772150" cy="2308860"/>
              <wp:effectExtent l="0" t="0" r="0" b="0"/>
              <wp:wrapNone/>
              <wp:docPr id="818039578" name="PowerPlusWaterMarkObject1726276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1820A" w14:textId="77777777" w:rsidR="00974DA5" w:rsidRDefault="00974DA5"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3F0086B" id="_x0000_t202" coordsize="21600,21600" o:spt="202" path="m,l,21600r21600,l21600,xe">
              <v:stroke joinstyle="miter"/>
              <v:path gradientshapeok="t" o:connecttype="rect"/>
            </v:shapetype>
            <v:shape id="PowerPlusWaterMarkObject17262767" o:spid="_x0000_s1027" type="#_x0000_t202" style="position:absolute;margin-left:0;margin-top:0;width:454.5pt;height:181.8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" o:allowincell="f" filled="f" stroked="f">
              <v:stroke joinstyle="round"/>
              <o:lock v:ext="edit" rotation="t" aspectratio="t" verticies="t" adjusthandles="t" grouping="t" shapetype="t"/>
              <v:textbox>
                <w:txbxContent>
                  <w:p w14:paraId="7D71820A" w14:textId="77777777" w:rsidR="00974DA5" w:rsidRDefault="00974DA5" w:rsidP="004E04DB">
                    <w:pPr>
                      <w:jc w:val="center"/>
                      <w:rPr>
                        <w:rFonts w:ascii="Franklin Gothic Book" w:hAnsi="Franklin Gothic Book" w:hint="eastAsia"/>
                        <w:color w:val="C0C0C0"/>
                        <w:sz w:val="72"/>
                        <w:szCs w:val="72"/>
                        <w14:textFill>
                          <w14:solidFill>
                            <w14:srgbClr w14:val="C0C0C0">
                              <w14:alpha w14:val="50000"/>
                            </w14:srgbClr>
                          </w14:solidFill>
                        </w14:textFill>
                      </w:rPr>
                    </w:pPr>
                    <w:r>
                      <w:rPr>
                        <w:rFonts w:ascii="Franklin Gothic Book" w:hAnsi="Franklin Gothic Book"/>
                        <w:color w:val="C0C0C0"/>
                        <w:sz w:val="72"/>
                        <w14:textFill>
                          <w14:solidFill>
                            <w14:srgbClr w14:val="C0C0C0">
                              <w14:alpha w14:val="50000"/>
                            </w14:srgbClr>
                          </w14:solidFill>
                        </w14:textFill>
                      </w:rPr>
                      <w:t>PROJET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322"/>
      <w:gridCol w:w="4704"/>
    </w:tblGrid>
    <w:tr w:rsidR="00974DA5" w14:paraId="6E527154" w14:textId="77777777" w:rsidTr="00A94C87">
      <w:tc>
        <w:tcPr>
          <w:tcW w:w="5097" w:type="dxa"/>
          <w:vAlign w:val="bottom"/>
        </w:tcPr>
        <w:p w14:paraId="168BC393" w14:textId="77777777" w:rsidR="00974DA5" w:rsidRPr="009C5F7B" w:rsidRDefault="00974DA5" w:rsidP="006C3396">
          <w:pPr>
            <w:pStyle w:val="Header"/>
            <w:tabs>
              <w:tab w:val="clear" w:pos="4513"/>
              <w:tab w:val="clear" w:pos="9026"/>
            </w:tabs>
            <w:spacing w:before="160"/>
            <w:rPr>
              <w:rFonts w:cstheme="minorHAnsi"/>
              <w:b/>
              <w:caps/>
              <w:color w:val="03295A" w:themeColor="accent4"/>
              <w:sz w:val="20"/>
              <w:szCs w:val="20"/>
            </w:rPr>
          </w:pPr>
          <w:r>
            <w:rPr>
              <w:b/>
              <w:caps/>
              <w:color w:val="03295A" w:themeColor="accent4"/>
            </w:rPr>
            <w:t>Convention Adoption de 1993</w:t>
          </w:r>
        </w:p>
        <w:p w14:paraId="18422D65" w14:textId="77777777" w:rsidR="00974DA5" w:rsidRPr="009C5F7B" w:rsidRDefault="00974DA5" w:rsidP="006C3396">
          <w:pPr>
            <w:pStyle w:val="Header"/>
            <w:tabs>
              <w:tab w:val="clear" w:pos="4513"/>
              <w:tab w:val="clear" w:pos="9026"/>
            </w:tabs>
            <w:spacing w:before="160"/>
            <w:rPr>
              <w:rFonts w:cstheme="minorHAnsi"/>
              <w:b/>
              <w:caps/>
              <w:color w:val="03295A" w:themeColor="accent4"/>
              <w:sz w:val="20"/>
              <w:szCs w:val="20"/>
            </w:rPr>
          </w:pPr>
          <w:r>
            <w:rPr>
              <w:b/>
              <w:caps/>
              <w:color w:val="03295A" w:themeColor="accent4"/>
              <w:sz w:val="20"/>
            </w:rPr>
            <w:t xml:space="preserve">Groupe de travail sur les aspects financiers </w:t>
          </w:r>
        </w:p>
        <w:p w14:paraId="01E3EAD5" w14:textId="2FB788D7" w:rsidR="00974DA5" w:rsidRPr="009C5F7B" w:rsidRDefault="00974DA5" w:rsidP="00E26F1D">
          <w:pPr>
            <w:pStyle w:val="Header"/>
            <w:tabs>
              <w:tab w:val="clear" w:pos="4513"/>
              <w:tab w:val="clear" w:pos="9026"/>
            </w:tabs>
            <w:spacing w:before="160"/>
            <w:rPr>
              <w:rFonts w:cstheme="minorHAnsi"/>
              <w:b/>
              <w:caps/>
              <w:color w:val="03295A" w:themeColor="accent4"/>
              <w:sz w:val="20"/>
              <w:szCs w:val="20"/>
            </w:rPr>
          </w:pPr>
          <w:r>
            <w:rPr>
              <w:b/>
              <w:caps/>
              <w:color w:val="03295A" w:themeColor="accent4"/>
              <w:sz w:val="20"/>
            </w:rPr>
            <w:t xml:space="preserve">PROJET : </w:t>
          </w:r>
          <w:r w:rsidR="00B44DC3">
            <w:rPr>
              <w:b/>
              <w:caps/>
              <w:color w:val="03295A" w:themeColor="accent4"/>
              <w:sz w:val="20"/>
            </w:rPr>
            <w:t>Juillet</w:t>
          </w:r>
          <w:r>
            <w:rPr>
              <w:b/>
              <w:caps/>
              <w:color w:val="03295A" w:themeColor="accent4"/>
              <w:sz w:val="20"/>
            </w:rPr>
            <w:t> 2026</w:t>
          </w:r>
        </w:p>
      </w:tc>
      <w:tc>
        <w:tcPr>
          <w:tcW w:w="5097" w:type="dxa"/>
          <w:vAlign w:val="bottom"/>
        </w:tcPr>
        <w:p w14:paraId="1FB498B1" w14:textId="5AAF80B3" w:rsidR="00974DA5" w:rsidRDefault="00974DA5" w:rsidP="006C3396">
          <w:pPr>
            <w:pStyle w:val="Header"/>
            <w:tabs>
              <w:tab w:val="clear" w:pos="4513"/>
              <w:tab w:val="clear" w:pos="9026"/>
            </w:tabs>
            <w:jc w:val="right"/>
          </w:pPr>
          <w:r>
            <w:rPr>
              <w:noProof/>
              <w:lang w:eastAsia="fr-FR"/>
            </w:rPr>
            <w:drawing>
              <wp:inline distT="0" distB="0" distL="0" distR="0" wp14:anchorId="19E93BDB" wp14:editId="23A9F875">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6F1BC272" w14:textId="567C1056" w:rsidR="00974DA5" w:rsidRDefault="00974DA5">
    <w:pPr>
      <w:pStyle w:val="Header"/>
    </w:pPr>
    <w:r>
      <w:rPr>
        <w:noProof/>
        <w:lang w:eastAsia="fr-FR"/>
      </w:rPr>
      <mc:AlternateContent>
        <mc:Choice Requires="wps">
          <w:drawing>
            <wp:anchor distT="0" distB="0" distL="114300" distR="114300" simplePos="0" relativeHeight="251658240" behindDoc="1" locked="0" layoutInCell="0" allowOverlap="1" wp14:anchorId="504151EB" wp14:editId="0C3E6BD7">
              <wp:simplePos x="0" y="0"/>
              <wp:positionH relativeFrom="margin">
                <wp:align>center</wp:align>
              </wp:positionH>
              <wp:positionV relativeFrom="margin">
                <wp:align>center</wp:align>
              </wp:positionV>
              <wp:extent cx="5772150" cy="2308860"/>
              <wp:effectExtent l="0" t="0" r="0" b="0"/>
              <wp:wrapNone/>
              <wp:docPr id="330742703" name="PowerPlusWaterMarkObject1726276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91519A" w14:textId="77777777" w:rsidR="00974DA5" w:rsidRDefault="00974DA5" w:rsidP="004E04DB">
                          <w:pPr>
                            <w:jc w:val="center"/>
                            <w:rPr>
                              <w:rFonts w:ascii="Franklin Gothic Book" w:hAnsi="Franklin Gothic Book"/>
                              <w:color w:val="C0C0C0"/>
                              <w:sz w:val="72"/>
                              <w:szCs w:val="72"/>
                              <w14:textFill>
                                <w14:solidFill>
                                  <w14:srgbClr w14:val="C0C0C0">
                                    <w14:alpha w14:val="50000"/>
                                  </w14:srgbClr>
                                </w14:solidFill>
                              </w14:textFill>
                            </w:rPr>
                          </w:pPr>
                          <w:r>
                            <w:rPr>
                              <w:rFonts w:ascii="Franklin Gothic Book" w:hAnsi="Franklin Gothic Book"/>
                              <w:color w:val="C0C0C0"/>
                              <w:sz w:val="72"/>
                              <w14:textFill>
                                <w14:solidFill>
                                  <w14:srgbClr w14:val="C0C0C0">
                                    <w14:alpha w14:val="50000"/>
                                  </w14:srgbClr>
                                </w14:solidFill>
                              </w14:textFill>
                            </w:rPr>
                            <w:t>PROJET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504151EB" id="_x0000_t202" coordsize="21600,21600" o:spt="202" path="m,l,21600r21600,l21600,xe">
              <v:stroke joinstyle="miter"/>
              <v:path gradientshapeok="t" o:connecttype="rect"/>
            </v:shapetype>
            <v:shape id="PowerPlusWaterMarkObject17262765" o:spid="_x0000_s1028" type="#_x0000_t202" style="position:absolute;margin-left:0;margin-top:0;width:454.5pt;height:18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" o:allowincell="f" filled="f" stroked="f">
              <v:stroke joinstyle="round"/>
              <o:lock v:ext="edit" rotation="t" aspectratio="t" verticies="t" adjusthandles="t" grouping="t" shapetype="t"/>
              <v:textbox>
                <w:txbxContent>
                  <w:p w14:paraId="5091519A" w14:textId="77777777" w:rsidR="00974DA5" w:rsidRDefault="00974DA5" w:rsidP="004E04DB">
                    <w:pPr>
                      <w:jc w:val="center"/>
                      <w:rPr>
                        <w:rFonts w:ascii="Franklin Gothic Book" w:hAnsi="Franklin Gothic Book" w:hint="eastAsia"/>
                        <w:color w:val="C0C0C0"/>
                        <w:sz w:val="72"/>
                        <w:szCs w:val="72"/>
                        <w14:textFill>
                          <w14:solidFill>
                            <w14:srgbClr w14:val="C0C0C0">
                              <w14:alpha w14:val="50000"/>
                            </w14:srgbClr>
                          </w14:solidFill>
                        </w14:textFill>
                      </w:rPr>
                    </w:pPr>
                    <w:r>
                      <w:rPr>
                        <w:rFonts w:ascii="Franklin Gothic Book" w:hAnsi="Franklin Gothic Book"/>
                        <w:color w:val="C0C0C0"/>
                        <w:sz w:val="72"/>
                        <w14:textFill>
                          <w14:solidFill>
                            <w14:srgbClr w14:val="C0C0C0">
                              <w14:alpha w14:val="50000"/>
                            </w14:srgbClr>
                          </w14:solidFill>
                        </w14:textFill>
                      </w:rPr>
                      <w:t>PROJET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DC"/>
    <w:multiLevelType w:val="hybridMultilevel"/>
    <w:tmpl w:val="3FC4ABC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 w15:restartNumberingAfterBreak="0">
    <w:nsid w:val="00917A67"/>
    <w:multiLevelType w:val="hybridMultilevel"/>
    <w:tmpl w:val="A6F46D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4D60DB5"/>
    <w:multiLevelType w:val="multilevel"/>
    <w:tmpl w:val="D2605B8C"/>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0125FC"/>
    <w:multiLevelType w:val="hybridMultilevel"/>
    <w:tmpl w:val="E1FAE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AB81D42"/>
    <w:multiLevelType w:val="hybridMultilevel"/>
    <w:tmpl w:val="343AE3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1D451EC"/>
    <w:multiLevelType w:val="hybridMultilevel"/>
    <w:tmpl w:val="222C3382"/>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3C956207"/>
    <w:multiLevelType w:val="hybridMultilevel"/>
    <w:tmpl w:val="3D0AFAA4"/>
    <w:lvl w:ilvl="0" w:tplc="1000000F">
      <w:start w:val="1"/>
      <w:numFmt w:val="decimal"/>
      <w:lvlText w:val="%1."/>
      <w:lvlJc w:val="left"/>
      <w:pPr>
        <w:ind w:left="360" w:hanging="360"/>
      </w:pPr>
    </w:lvl>
    <w:lvl w:ilvl="1" w:tplc="FFFFFFFF">
      <w:start w:val="1"/>
      <w:numFmt w:val="bullet"/>
      <w:lvlText w:val="-"/>
      <w:lvlJc w:val="left"/>
      <w:pPr>
        <w:ind w:left="1080" w:hanging="360"/>
      </w:pPr>
      <w:rPr>
        <w:rFonts w:ascii="Franklin Gothic Medium" w:hAnsi="Franklin Gothic Medium" w:hint="default"/>
        <w:color w:val="09295A"/>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3CF706E6"/>
    <w:multiLevelType w:val="hybridMultilevel"/>
    <w:tmpl w:val="A7863BB8"/>
    <w:lvl w:ilvl="0" w:tplc="7222F742">
      <w:start w:val="1"/>
      <w:numFmt w:val="bullet"/>
      <w:lvlText w:val=""/>
      <w:lvlJc w:val="left"/>
      <w:pPr>
        <w:ind w:left="1080" w:hanging="360"/>
      </w:pPr>
      <w:rPr>
        <w:rFonts w:ascii="Symbol" w:hAnsi="Symbol"/>
      </w:rPr>
    </w:lvl>
    <w:lvl w:ilvl="1" w:tplc="5A5268AC">
      <w:start w:val="1"/>
      <w:numFmt w:val="bullet"/>
      <w:lvlText w:val=""/>
      <w:lvlJc w:val="left"/>
      <w:pPr>
        <w:ind w:left="1080" w:hanging="360"/>
      </w:pPr>
      <w:rPr>
        <w:rFonts w:ascii="Symbol" w:hAnsi="Symbol"/>
      </w:rPr>
    </w:lvl>
    <w:lvl w:ilvl="2" w:tplc="13A85604">
      <w:start w:val="1"/>
      <w:numFmt w:val="bullet"/>
      <w:lvlText w:val=""/>
      <w:lvlJc w:val="left"/>
      <w:pPr>
        <w:ind w:left="1080" w:hanging="360"/>
      </w:pPr>
      <w:rPr>
        <w:rFonts w:ascii="Symbol" w:hAnsi="Symbol"/>
      </w:rPr>
    </w:lvl>
    <w:lvl w:ilvl="3" w:tplc="677457C0">
      <w:start w:val="1"/>
      <w:numFmt w:val="bullet"/>
      <w:lvlText w:val=""/>
      <w:lvlJc w:val="left"/>
      <w:pPr>
        <w:ind w:left="1080" w:hanging="360"/>
      </w:pPr>
      <w:rPr>
        <w:rFonts w:ascii="Symbol" w:hAnsi="Symbol"/>
      </w:rPr>
    </w:lvl>
    <w:lvl w:ilvl="4" w:tplc="E8103F8E">
      <w:start w:val="1"/>
      <w:numFmt w:val="bullet"/>
      <w:lvlText w:val=""/>
      <w:lvlJc w:val="left"/>
      <w:pPr>
        <w:ind w:left="1080" w:hanging="360"/>
      </w:pPr>
      <w:rPr>
        <w:rFonts w:ascii="Symbol" w:hAnsi="Symbol"/>
      </w:rPr>
    </w:lvl>
    <w:lvl w:ilvl="5" w:tplc="A9F241FC">
      <w:start w:val="1"/>
      <w:numFmt w:val="bullet"/>
      <w:lvlText w:val=""/>
      <w:lvlJc w:val="left"/>
      <w:pPr>
        <w:ind w:left="1080" w:hanging="360"/>
      </w:pPr>
      <w:rPr>
        <w:rFonts w:ascii="Symbol" w:hAnsi="Symbol"/>
      </w:rPr>
    </w:lvl>
    <w:lvl w:ilvl="6" w:tplc="BB58B53E">
      <w:start w:val="1"/>
      <w:numFmt w:val="bullet"/>
      <w:lvlText w:val=""/>
      <w:lvlJc w:val="left"/>
      <w:pPr>
        <w:ind w:left="1080" w:hanging="360"/>
      </w:pPr>
      <w:rPr>
        <w:rFonts w:ascii="Symbol" w:hAnsi="Symbol"/>
      </w:rPr>
    </w:lvl>
    <w:lvl w:ilvl="7" w:tplc="8A740E6A">
      <w:start w:val="1"/>
      <w:numFmt w:val="bullet"/>
      <w:lvlText w:val=""/>
      <w:lvlJc w:val="left"/>
      <w:pPr>
        <w:ind w:left="1080" w:hanging="360"/>
      </w:pPr>
      <w:rPr>
        <w:rFonts w:ascii="Symbol" w:hAnsi="Symbol"/>
      </w:rPr>
    </w:lvl>
    <w:lvl w:ilvl="8" w:tplc="4118C7C2">
      <w:start w:val="1"/>
      <w:numFmt w:val="bullet"/>
      <w:lvlText w:val=""/>
      <w:lvlJc w:val="left"/>
      <w:pPr>
        <w:ind w:left="1080" w:hanging="360"/>
      </w:pPr>
      <w:rPr>
        <w:rFonts w:ascii="Symbol" w:hAnsi="Symbol"/>
      </w:rPr>
    </w:lvl>
  </w:abstractNum>
  <w:abstractNum w:abstractNumId="8" w15:restartNumberingAfterBreak="0">
    <w:nsid w:val="406C1E38"/>
    <w:multiLevelType w:val="hybridMultilevel"/>
    <w:tmpl w:val="102E0B3E"/>
    <w:lvl w:ilvl="0" w:tplc="C0482DB6">
      <w:start w:val="1"/>
      <w:numFmt w:val="bullet"/>
      <w:lvlText w:val=""/>
      <w:lvlJc w:val="left"/>
      <w:pPr>
        <w:ind w:left="1080" w:hanging="360"/>
      </w:pPr>
      <w:rPr>
        <w:rFonts w:ascii="Symbol" w:hAnsi="Symbol"/>
      </w:rPr>
    </w:lvl>
    <w:lvl w:ilvl="1" w:tplc="139EFB92">
      <w:start w:val="1"/>
      <w:numFmt w:val="bullet"/>
      <w:lvlText w:val=""/>
      <w:lvlJc w:val="left"/>
      <w:pPr>
        <w:ind w:left="1080" w:hanging="360"/>
      </w:pPr>
      <w:rPr>
        <w:rFonts w:ascii="Symbol" w:hAnsi="Symbol"/>
      </w:rPr>
    </w:lvl>
    <w:lvl w:ilvl="2" w:tplc="CB3074A8">
      <w:start w:val="1"/>
      <w:numFmt w:val="bullet"/>
      <w:lvlText w:val=""/>
      <w:lvlJc w:val="left"/>
      <w:pPr>
        <w:ind w:left="1080" w:hanging="360"/>
      </w:pPr>
      <w:rPr>
        <w:rFonts w:ascii="Symbol" w:hAnsi="Symbol"/>
      </w:rPr>
    </w:lvl>
    <w:lvl w:ilvl="3" w:tplc="B96CFA8E">
      <w:start w:val="1"/>
      <w:numFmt w:val="bullet"/>
      <w:lvlText w:val=""/>
      <w:lvlJc w:val="left"/>
      <w:pPr>
        <w:ind w:left="1080" w:hanging="360"/>
      </w:pPr>
      <w:rPr>
        <w:rFonts w:ascii="Symbol" w:hAnsi="Symbol"/>
      </w:rPr>
    </w:lvl>
    <w:lvl w:ilvl="4" w:tplc="DCF2F228">
      <w:start w:val="1"/>
      <w:numFmt w:val="bullet"/>
      <w:lvlText w:val=""/>
      <w:lvlJc w:val="left"/>
      <w:pPr>
        <w:ind w:left="1080" w:hanging="360"/>
      </w:pPr>
      <w:rPr>
        <w:rFonts w:ascii="Symbol" w:hAnsi="Symbol"/>
      </w:rPr>
    </w:lvl>
    <w:lvl w:ilvl="5" w:tplc="741608D0">
      <w:start w:val="1"/>
      <w:numFmt w:val="bullet"/>
      <w:lvlText w:val=""/>
      <w:lvlJc w:val="left"/>
      <w:pPr>
        <w:ind w:left="1080" w:hanging="360"/>
      </w:pPr>
      <w:rPr>
        <w:rFonts w:ascii="Symbol" w:hAnsi="Symbol"/>
      </w:rPr>
    </w:lvl>
    <w:lvl w:ilvl="6" w:tplc="6C9E5158">
      <w:start w:val="1"/>
      <w:numFmt w:val="bullet"/>
      <w:lvlText w:val=""/>
      <w:lvlJc w:val="left"/>
      <w:pPr>
        <w:ind w:left="1080" w:hanging="360"/>
      </w:pPr>
      <w:rPr>
        <w:rFonts w:ascii="Symbol" w:hAnsi="Symbol"/>
      </w:rPr>
    </w:lvl>
    <w:lvl w:ilvl="7" w:tplc="FA760D66">
      <w:start w:val="1"/>
      <w:numFmt w:val="bullet"/>
      <w:lvlText w:val=""/>
      <w:lvlJc w:val="left"/>
      <w:pPr>
        <w:ind w:left="1080" w:hanging="360"/>
      </w:pPr>
      <w:rPr>
        <w:rFonts w:ascii="Symbol" w:hAnsi="Symbol"/>
      </w:rPr>
    </w:lvl>
    <w:lvl w:ilvl="8" w:tplc="3DECF9FC">
      <w:start w:val="1"/>
      <w:numFmt w:val="bullet"/>
      <w:lvlText w:val=""/>
      <w:lvlJc w:val="left"/>
      <w:pPr>
        <w:ind w:left="1080" w:hanging="360"/>
      </w:pPr>
      <w:rPr>
        <w:rFonts w:ascii="Symbol" w:hAnsi="Symbol"/>
      </w:rPr>
    </w:lvl>
  </w:abstractNum>
  <w:abstractNum w:abstractNumId="9" w15:restartNumberingAfterBreak="0">
    <w:nsid w:val="47931CD4"/>
    <w:multiLevelType w:val="multilevel"/>
    <w:tmpl w:val="937A4C14"/>
    <w:lvl w:ilvl="0">
      <w:start w:val="1"/>
      <w:numFmt w:val="decimal"/>
      <w:pStyle w:val="Heading1"/>
      <w:lvlText w:val="%1."/>
      <w:lvlJc w:val="right"/>
      <w:pPr>
        <w:ind w:left="567" w:hanging="567"/>
      </w:pPr>
      <w:rPr>
        <w:rFonts w:hint="default"/>
      </w:rPr>
    </w:lvl>
    <w:lvl w:ilvl="1">
      <w:start w:val="1"/>
      <w:numFmt w:val="decimal"/>
      <w:lvlRestart w:val="0"/>
      <w:pStyle w:val="Heading2"/>
      <w:lvlText w:val="%1.%2."/>
      <w:lvlJc w:val="left"/>
      <w:pPr>
        <w:ind w:left="1134" w:hanging="567"/>
      </w:pPr>
      <w:rPr>
        <w:rFonts w:hint="default"/>
      </w:rPr>
    </w:lvl>
    <w:lvl w:ilvl="2">
      <w:start w:val="1"/>
      <w:numFmt w:val="upperLetter"/>
      <w:pStyle w:val="Heading3"/>
      <w:lvlText w:val="%3."/>
      <w:lvlJc w:val="left"/>
      <w:pPr>
        <w:ind w:left="1134" w:hanging="567"/>
      </w:pPr>
      <w:rPr>
        <w:rFonts w:hint="default"/>
      </w:rPr>
    </w:lvl>
    <w:lvl w:ilvl="3">
      <w:start w:val="1"/>
      <w:numFmt w:val="none"/>
      <w:lvlRestart w:val="0"/>
      <w:lvlText w:val=""/>
      <w:lvlJc w:val="left"/>
      <w:pPr>
        <w:ind w:left="567" w:firstLine="0"/>
      </w:pPr>
      <w:rPr>
        <w:rFonts w:hint="default"/>
        <w:b w:val="0"/>
        <w:i/>
      </w:rPr>
    </w:lvl>
    <w:lvl w:ilvl="4">
      <w:start w:val="1"/>
      <w:numFmt w:val="none"/>
      <w:lvlText w:val=""/>
      <w:lvlJc w:val="left"/>
      <w:pPr>
        <w:ind w:left="1134"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433E52"/>
    <w:multiLevelType w:val="multilevel"/>
    <w:tmpl w:val="DE52893C"/>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11" w15:restartNumberingAfterBreak="0">
    <w:nsid w:val="4F564C94"/>
    <w:multiLevelType w:val="multilevel"/>
    <w:tmpl w:val="7EF4B700"/>
    <w:lvl w:ilvl="0">
      <w:start w:val="1"/>
      <w:numFmt w:val="decimal"/>
      <w:pStyle w:val="PBParagraph"/>
      <w:lvlText w:val="%1"/>
      <w:lvlJc w:val="right"/>
      <w:pPr>
        <w:ind w:left="567" w:hanging="567"/>
      </w:pPr>
      <w:rPr>
        <w:color w:val="auto"/>
        <w:sz w:val="21"/>
        <w:szCs w:val="21"/>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DE228F6"/>
    <w:multiLevelType w:val="hybridMultilevel"/>
    <w:tmpl w:val="37D0708E"/>
    <w:lvl w:ilvl="0" w:tplc="6DD8736A">
      <w:start w:val="1"/>
      <w:numFmt w:val="bullet"/>
      <w:lvlText w:val=""/>
      <w:lvlJc w:val="left"/>
      <w:pPr>
        <w:ind w:left="1080" w:hanging="360"/>
      </w:pPr>
      <w:rPr>
        <w:rFonts w:ascii="Symbol" w:hAnsi="Symbol"/>
      </w:rPr>
    </w:lvl>
    <w:lvl w:ilvl="1" w:tplc="4C664C70">
      <w:start w:val="1"/>
      <w:numFmt w:val="bullet"/>
      <w:lvlText w:val=""/>
      <w:lvlJc w:val="left"/>
      <w:pPr>
        <w:ind w:left="1080" w:hanging="360"/>
      </w:pPr>
      <w:rPr>
        <w:rFonts w:ascii="Symbol" w:hAnsi="Symbol"/>
      </w:rPr>
    </w:lvl>
    <w:lvl w:ilvl="2" w:tplc="E8FCD36C">
      <w:start w:val="1"/>
      <w:numFmt w:val="bullet"/>
      <w:lvlText w:val=""/>
      <w:lvlJc w:val="left"/>
      <w:pPr>
        <w:ind w:left="1080" w:hanging="360"/>
      </w:pPr>
      <w:rPr>
        <w:rFonts w:ascii="Symbol" w:hAnsi="Symbol"/>
      </w:rPr>
    </w:lvl>
    <w:lvl w:ilvl="3" w:tplc="86CE06EC">
      <w:start w:val="1"/>
      <w:numFmt w:val="bullet"/>
      <w:lvlText w:val=""/>
      <w:lvlJc w:val="left"/>
      <w:pPr>
        <w:ind w:left="1080" w:hanging="360"/>
      </w:pPr>
      <w:rPr>
        <w:rFonts w:ascii="Symbol" w:hAnsi="Symbol"/>
      </w:rPr>
    </w:lvl>
    <w:lvl w:ilvl="4" w:tplc="056A1820">
      <w:start w:val="1"/>
      <w:numFmt w:val="bullet"/>
      <w:lvlText w:val=""/>
      <w:lvlJc w:val="left"/>
      <w:pPr>
        <w:ind w:left="1080" w:hanging="360"/>
      </w:pPr>
      <w:rPr>
        <w:rFonts w:ascii="Symbol" w:hAnsi="Symbol"/>
      </w:rPr>
    </w:lvl>
    <w:lvl w:ilvl="5" w:tplc="0324C624">
      <w:start w:val="1"/>
      <w:numFmt w:val="bullet"/>
      <w:lvlText w:val=""/>
      <w:lvlJc w:val="left"/>
      <w:pPr>
        <w:ind w:left="1080" w:hanging="360"/>
      </w:pPr>
      <w:rPr>
        <w:rFonts w:ascii="Symbol" w:hAnsi="Symbol"/>
      </w:rPr>
    </w:lvl>
    <w:lvl w:ilvl="6" w:tplc="DBB0A9B4">
      <w:start w:val="1"/>
      <w:numFmt w:val="bullet"/>
      <w:lvlText w:val=""/>
      <w:lvlJc w:val="left"/>
      <w:pPr>
        <w:ind w:left="1080" w:hanging="360"/>
      </w:pPr>
      <w:rPr>
        <w:rFonts w:ascii="Symbol" w:hAnsi="Symbol"/>
      </w:rPr>
    </w:lvl>
    <w:lvl w:ilvl="7" w:tplc="D8C20988">
      <w:start w:val="1"/>
      <w:numFmt w:val="bullet"/>
      <w:lvlText w:val=""/>
      <w:lvlJc w:val="left"/>
      <w:pPr>
        <w:ind w:left="1080" w:hanging="360"/>
      </w:pPr>
      <w:rPr>
        <w:rFonts w:ascii="Symbol" w:hAnsi="Symbol"/>
      </w:rPr>
    </w:lvl>
    <w:lvl w:ilvl="8" w:tplc="141A6A8E">
      <w:start w:val="1"/>
      <w:numFmt w:val="bullet"/>
      <w:lvlText w:val=""/>
      <w:lvlJc w:val="left"/>
      <w:pPr>
        <w:ind w:left="1080" w:hanging="360"/>
      </w:pPr>
      <w:rPr>
        <w:rFonts w:ascii="Symbol" w:hAnsi="Symbol"/>
      </w:rPr>
    </w:lvl>
  </w:abstractNum>
  <w:num w:numId="1" w16cid:durableId="1925458786">
    <w:abstractNumId w:val="2"/>
  </w:num>
  <w:num w:numId="2" w16cid:durableId="8178472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96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11422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01931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3547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7732900">
    <w:abstractNumId w:val="10"/>
  </w:num>
  <w:num w:numId="8" w16cid:durableId="1736198355">
    <w:abstractNumId w:val="11"/>
  </w:num>
  <w:num w:numId="9" w16cid:durableId="506022492">
    <w:abstractNumId w:val="2"/>
  </w:num>
  <w:num w:numId="10" w16cid:durableId="2055157674">
    <w:abstractNumId w:val="9"/>
  </w:num>
  <w:num w:numId="11" w16cid:durableId="20644787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94010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7085285">
    <w:abstractNumId w:val="6"/>
    <w:lvlOverride w:ilvl="0">
      <w:startOverride w:val="1"/>
    </w:lvlOverride>
    <w:lvlOverride w:ilvl="1"/>
    <w:lvlOverride w:ilvl="2"/>
    <w:lvlOverride w:ilvl="3"/>
    <w:lvlOverride w:ilvl="4"/>
    <w:lvlOverride w:ilvl="5"/>
    <w:lvlOverride w:ilvl="6"/>
    <w:lvlOverride w:ilvl="7"/>
    <w:lvlOverride w:ilvl="8"/>
  </w:num>
  <w:num w:numId="14" w16cid:durableId="1713724404">
    <w:abstractNumId w:val="4"/>
  </w:num>
  <w:num w:numId="15" w16cid:durableId="1607032903">
    <w:abstractNumId w:val="0"/>
  </w:num>
  <w:num w:numId="16" w16cid:durableId="28841491">
    <w:abstractNumId w:val="1"/>
  </w:num>
  <w:num w:numId="17" w16cid:durableId="1629506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1026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2953135">
    <w:abstractNumId w:val="3"/>
  </w:num>
  <w:num w:numId="20" w16cid:durableId="1618951873">
    <w:abstractNumId w:val="11"/>
  </w:num>
  <w:num w:numId="21" w16cid:durableId="452867225">
    <w:abstractNumId w:val="11"/>
  </w:num>
  <w:num w:numId="22" w16cid:durableId="1644889186">
    <w:abstractNumId w:val="11"/>
  </w:num>
  <w:num w:numId="23" w16cid:durableId="69272997">
    <w:abstractNumId w:val="11"/>
  </w:num>
  <w:num w:numId="24" w16cid:durableId="758335817">
    <w:abstractNumId w:val="12"/>
  </w:num>
  <w:num w:numId="25" w16cid:durableId="1778329505">
    <w:abstractNumId w:val="7"/>
  </w:num>
  <w:num w:numId="26" w16cid:durableId="37291576">
    <w:abstractNumId w:val="8"/>
  </w:num>
  <w:num w:numId="27" w16cid:durableId="2070768256">
    <w:abstractNumId w:val="6"/>
  </w:num>
  <w:num w:numId="28" w16cid:durableId="389698029">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F6"/>
    <w:rsid w:val="00000026"/>
    <w:rsid w:val="000000B4"/>
    <w:rsid w:val="00000261"/>
    <w:rsid w:val="0000027A"/>
    <w:rsid w:val="000002DD"/>
    <w:rsid w:val="0000043B"/>
    <w:rsid w:val="000004E8"/>
    <w:rsid w:val="000005D8"/>
    <w:rsid w:val="000005E5"/>
    <w:rsid w:val="00000651"/>
    <w:rsid w:val="00000684"/>
    <w:rsid w:val="000007F6"/>
    <w:rsid w:val="0000081D"/>
    <w:rsid w:val="00000867"/>
    <w:rsid w:val="0000095F"/>
    <w:rsid w:val="000009B3"/>
    <w:rsid w:val="00000A20"/>
    <w:rsid w:val="00000A24"/>
    <w:rsid w:val="00000C33"/>
    <w:rsid w:val="00000CDE"/>
    <w:rsid w:val="00000EBA"/>
    <w:rsid w:val="00000F37"/>
    <w:rsid w:val="0000115B"/>
    <w:rsid w:val="000011FF"/>
    <w:rsid w:val="00001211"/>
    <w:rsid w:val="000012C0"/>
    <w:rsid w:val="000012FA"/>
    <w:rsid w:val="0000146C"/>
    <w:rsid w:val="00001513"/>
    <w:rsid w:val="000015CB"/>
    <w:rsid w:val="00001650"/>
    <w:rsid w:val="00001752"/>
    <w:rsid w:val="000017A0"/>
    <w:rsid w:val="00001844"/>
    <w:rsid w:val="00001896"/>
    <w:rsid w:val="000018DC"/>
    <w:rsid w:val="000018F0"/>
    <w:rsid w:val="00001A25"/>
    <w:rsid w:val="00001AD2"/>
    <w:rsid w:val="00001ADC"/>
    <w:rsid w:val="00001CF8"/>
    <w:rsid w:val="00001D76"/>
    <w:rsid w:val="00001D87"/>
    <w:rsid w:val="00001EF4"/>
    <w:rsid w:val="00002082"/>
    <w:rsid w:val="00002133"/>
    <w:rsid w:val="00002174"/>
    <w:rsid w:val="0000226E"/>
    <w:rsid w:val="0000227A"/>
    <w:rsid w:val="0000228A"/>
    <w:rsid w:val="000022F2"/>
    <w:rsid w:val="0000232D"/>
    <w:rsid w:val="000025A7"/>
    <w:rsid w:val="0000261C"/>
    <w:rsid w:val="000026A0"/>
    <w:rsid w:val="000029B6"/>
    <w:rsid w:val="00002A67"/>
    <w:rsid w:val="00002AD2"/>
    <w:rsid w:val="00002AD5"/>
    <w:rsid w:val="00002B1D"/>
    <w:rsid w:val="00002BCF"/>
    <w:rsid w:val="00002CA3"/>
    <w:rsid w:val="00002DF4"/>
    <w:rsid w:val="00002F91"/>
    <w:rsid w:val="00002FA8"/>
    <w:rsid w:val="00002FA9"/>
    <w:rsid w:val="00003246"/>
    <w:rsid w:val="00003276"/>
    <w:rsid w:val="000032BE"/>
    <w:rsid w:val="00003363"/>
    <w:rsid w:val="0000336F"/>
    <w:rsid w:val="000036DD"/>
    <w:rsid w:val="000038DB"/>
    <w:rsid w:val="000038EE"/>
    <w:rsid w:val="00003912"/>
    <w:rsid w:val="00003A00"/>
    <w:rsid w:val="00003C69"/>
    <w:rsid w:val="00003C7F"/>
    <w:rsid w:val="00003CF1"/>
    <w:rsid w:val="00003D06"/>
    <w:rsid w:val="00003E9C"/>
    <w:rsid w:val="00004261"/>
    <w:rsid w:val="00004319"/>
    <w:rsid w:val="000043F7"/>
    <w:rsid w:val="00004572"/>
    <w:rsid w:val="0000465F"/>
    <w:rsid w:val="00004664"/>
    <w:rsid w:val="000047D9"/>
    <w:rsid w:val="00004847"/>
    <w:rsid w:val="00004866"/>
    <w:rsid w:val="000048D3"/>
    <w:rsid w:val="00004914"/>
    <w:rsid w:val="00004B5F"/>
    <w:rsid w:val="00004CBB"/>
    <w:rsid w:val="00004EB8"/>
    <w:rsid w:val="00004F64"/>
    <w:rsid w:val="00004FBA"/>
    <w:rsid w:val="000050C6"/>
    <w:rsid w:val="00005182"/>
    <w:rsid w:val="0000523E"/>
    <w:rsid w:val="000053BF"/>
    <w:rsid w:val="00005514"/>
    <w:rsid w:val="00005632"/>
    <w:rsid w:val="000057E6"/>
    <w:rsid w:val="00005899"/>
    <w:rsid w:val="000058B4"/>
    <w:rsid w:val="000058C9"/>
    <w:rsid w:val="000058CA"/>
    <w:rsid w:val="000058D9"/>
    <w:rsid w:val="0000594E"/>
    <w:rsid w:val="0000598F"/>
    <w:rsid w:val="00005AB5"/>
    <w:rsid w:val="00005C76"/>
    <w:rsid w:val="00005E9F"/>
    <w:rsid w:val="00005EE3"/>
    <w:rsid w:val="00005F9A"/>
    <w:rsid w:val="00006049"/>
    <w:rsid w:val="00006070"/>
    <w:rsid w:val="000061A6"/>
    <w:rsid w:val="00006271"/>
    <w:rsid w:val="000062D1"/>
    <w:rsid w:val="000063C8"/>
    <w:rsid w:val="000063D1"/>
    <w:rsid w:val="0000693F"/>
    <w:rsid w:val="00006DC9"/>
    <w:rsid w:val="00006DDA"/>
    <w:rsid w:val="00006E7C"/>
    <w:rsid w:val="00006ED6"/>
    <w:rsid w:val="0000706B"/>
    <w:rsid w:val="0000707E"/>
    <w:rsid w:val="0000724A"/>
    <w:rsid w:val="0000726E"/>
    <w:rsid w:val="00007499"/>
    <w:rsid w:val="000074C6"/>
    <w:rsid w:val="00007918"/>
    <w:rsid w:val="000079A2"/>
    <w:rsid w:val="00007A23"/>
    <w:rsid w:val="00007C2E"/>
    <w:rsid w:val="00007CB6"/>
    <w:rsid w:val="00007CF3"/>
    <w:rsid w:val="00007DFE"/>
    <w:rsid w:val="00007F95"/>
    <w:rsid w:val="00010009"/>
    <w:rsid w:val="00010015"/>
    <w:rsid w:val="000100EA"/>
    <w:rsid w:val="00010175"/>
    <w:rsid w:val="00010410"/>
    <w:rsid w:val="0001067C"/>
    <w:rsid w:val="000106FB"/>
    <w:rsid w:val="00010735"/>
    <w:rsid w:val="000107B1"/>
    <w:rsid w:val="00010809"/>
    <w:rsid w:val="0001099E"/>
    <w:rsid w:val="000109D4"/>
    <w:rsid w:val="00010BF1"/>
    <w:rsid w:val="00010C7C"/>
    <w:rsid w:val="00011000"/>
    <w:rsid w:val="00011021"/>
    <w:rsid w:val="00011196"/>
    <w:rsid w:val="000111BA"/>
    <w:rsid w:val="000111DE"/>
    <w:rsid w:val="00011241"/>
    <w:rsid w:val="00011263"/>
    <w:rsid w:val="000116FE"/>
    <w:rsid w:val="000118DF"/>
    <w:rsid w:val="00011903"/>
    <w:rsid w:val="000119A9"/>
    <w:rsid w:val="00011A00"/>
    <w:rsid w:val="00011B3C"/>
    <w:rsid w:val="00011C4F"/>
    <w:rsid w:val="00011C9C"/>
    <w:rsid w:val="00011CB0"/>
    <w:rsid w:val="00011CBE"/>
    <w:rsid w:val="00011D16"/>
    <w:rsid w:val="00011DA0"/>
    <w:rsid w:val="0001202F"/>
    <w:rsid w:val="0001207C"/>
    <w:rsid w:val="000120C2"/>
    <w:rsid w:val="000120CE"/>
    <w:rsid w:val="0001212A"/>
    <w:rsid w:val="000121E1"/>
    <w:rsid w:val="000122D7"/>
    <w:rsid w:val="000127B2"/>
    <w:rsid w:val="0001289A"/>
    <w:rsid w:val="00012915"/>
    <w:rsid w:val="000129D2"/>
    <w:rsid w:val="00012A80"/>
    <w:rsid w:val="00012A84"/>
    <w:rsid w:val="00012AB1"/>
    <w:rsid w:val="00012C4B"/>
    <w:rsid w:val="00012DAB"/>
    <w:rsid w:val="00012E1F"/>
    <w:rsid w:val="00012ED3"/>
    <w:rsid w:val="0001308E"/>
    <w:rsid w:val="0001309E"/>
    <w:rsid w:val="000132F7"/>
    <w:rsid w:val="000133D8"/>
    <w:rsid w:val="0001366A"/>
    <w:rsid w:val="000136DE"/>
    <w:rsid w:val="000137BF"/>
    <w:rsid w:val="00013840"/>
    <w:rsid w:val="00013907"/>
    <w:rsid w:val="00013963"/>
    <w:rsid w:val="00013985"/>
    <w:rsid w:val="00013A59"/>
    <w:rsid w:val="00013B21"/>
    <w:rsid w:val="00013B9F"/>
    <w:rsid w:val="00013BA9"/>
    <w:rsid w:val="00013C14"/>
    <w:rsid w:val="00013C1C"/>
    <w:rsid w:val="00013C67"/>
    <w:rsid w:val="00013E60"/>
    <w:rsid w:val="00013F66"/>
    <w:rsid w:val="0001439C"/>
    <w:rsid w:val="0001442B"/>
    <w:rsid w:val="00014507"/>
    <w:rsid w:val="0001452D"/>
    <w:rsid w:val="000145B4"/>
    <w:rsid w:val="00014606"/>
    <w:rsid w:val="00014919"/>
    <w:rsid w:val="000149FC"/>
    <w:rsid w:val="00014A3B"/>
    <w:rsid w:val="00014E1B"/>
    <w:rsid w:val="00015457"/>
    <w:rsid w:val="00015750"/>
    <w:rsid w:val="0001578C"/>
    <w:rsid w:val="0001592F"/>
    <w:rsid w:val="0001593D"/>
    <w:rsid w:val="00015A2E"/>
    <w:rsid w:val="00015BC1"/>
    <w:rsid w:val="00015C39"/>
    <w:rsid w:val="00015C6F"/>
    <w:rsid w:val="00015D79"/>
    <w:rsid w:val="00015F76"/>
    <w:rsid w:val="00016033"/>
    <w:rsid w:val="000162AA"/>
    <w:rsid w:val="0001638F"/>
    <w:rsid w:val="0001649D"/>
    <w:rsid w:val="00016625"/>
    <w:rsid w:val="000166A8"/>
    <w:rsid w:val="0001686A"/>
    <w:rsid w:val="000169CA"/>
    <w:rsid w:val="00016A82"/>
    <w:rsid w:val="00016BE7"/>
    <w:rsid w:val="00016CA6"/>
    <w:rsid w:val="00016D0D"/>
    <w:rsid w:val="00016E86"/>
    <w:rsid w:val="00016EE3"/>
    <w:rsid w:val="00016F38"/>
    <w:rsid w:val="00017000"/>
    <w:rsid w:val="00017028"/>
    <w:rsid w:val="0001711E"/>
    <w:rsid w:val="00017175"/>
    <w:rsid w:val="0001747C"/>
    <w:rsid w:val="0001748A"/>
    <w:rsid w:val="00017579"/>
    <w:rsid w:val="00017786"/>
    <w:rsid w:val="00017789"/>
    <w:rsid w:val="00017A03"/>
    <w:rsid w:val="00017A24"/>
    <w:rsid w:val="00017A85"/>
    <w:rsid w:val="00017B01"/>
    <w:rsid w:val="00017B02"/>
    <w:rsid w:val="00017B44"/>
    <w:rsid w:val="00017B46"/>
    <w:rsid w:val="00017C15"/>
    <w:rsid w:val="00017C48"/>
    <w:rsid w:val="00017C74"/>
    <w:rsid w:val="00017D89"/>
    <w:rsid w:val="00017DBE"/>
    <w:rsid w:val="00017E37"/>
    <w:rsid w:val="0002008D"/>
    <w:rsid w:val="000200B0"/>
    <w:rsid w:val="00020141"/>
    <w:rsid w:val="0002017F"/>
    <w:rsid w:val="000201CD"/>
    <w:rsid w:val="00020266"/>
    <w:rsid w:val="000202A7"/>
    <w:rsid w:val="000202F4"/>
    <w:rsid w:val="00020415"/>
    <w:rsid w:val="00020510"/>
    <w:rsid w:val="0002059B"/>
    <w:rsid w:val="00020627"/>
    <w:rsid w:val="0002071D"/>
    <w:rsid w:val="00020792"/>
    <w:rsid w:val="0002084E"/>
    <w:rsid w:val="00020874"/>
    <w:rsid w:val="00020A91"/>
    <w:rsid w:val="00020AAF"/>
    <w:rsid w:val="00020B3D"/>
    <w:rsid w:val="00020B72"/>
    <w:rsid w:val="00020C8F"/>
    <w:rsid w:val="00020E7D"/>
    <w:rsid w:val="00020E99"/>
    <w:rsid w:val="00020FBA"/>
    <w:rsid w:val="00021085"/>
    <w:rsid w:val="00021109"/>
    <w:rsid w:val="000212CE"/>
    <w:rsid w:val="00021547"/>
    <w:rsid w:val="00021659"/>
    <w:rsid w:val="000216C7"/>
    <w:rsid w:val="000216F0"/>
    <w:rsid w:val="00021753"/>
    <w:rsid w:val="000217F0"/>
    <w:rsid w:val="00021827"/>
    <w:rsid w:val="00021A5C"/>
    <w:rsid w:val="00021A6A"/>
    <w:rsid w:val="00021ABA"/>
    <w:rsid w:val="00021B5B"/>
    <w:rsid w:val="00021BDE"/>
    <w:rsid w:val="00021C07"/>
    <w:rsid w:val="00021CD1"/>
    <w:rsid w:val="00021D59"/>
    <w:rsid w:val="00021EF5"/>
    <w:rsid w:val="0002201B"/>
    <w:rsid w:val="00022392"/>
    <w:rsid w:val="0002239C"/>
    <w:rsid w:val="000226E5"/>
    <w:rsid w:val="0002274C"/>
    <w:rsid w:val="00022B49"/>
    <w:rsid w:val="00022BA7"/>
    <w:rsid w:val="00022C75"/>
    <w:rsid w:val="00022EA1"/>
    <w:rsid w:val="0002308E"/>
    <w:rsid w:val="00023384"/>
    <w:rsid w:val="000233AE"/>
    <w:rsid w:val="0002359A"/>
    <w:rsid w:val="000235CD"/>
    <w:rsid w:val="0002369A"/>
    <w:rsid w:val="000236E2"/>
    <w:rsid w:val="000236F9"/>
    <w:rsid w:val="0002374E"/>
    <w:rsid w:val="000237FE"/>
    <w:rsid w:val="00023C03"/>
    <w:rsid w:val="00023D83"/>
    <w:rsid w:val="00023DBC"/>
    <w:rsid w:val="0002407F"/>
    <w:rsid w:val="0002424C"/>
    <w:rsid w:val="000242BE"/>
    <w:rsid w:val="000243B7"/>
    <w:rsid w:val="00024622"/>
    <w:rsid w:val="00024817"/>
    <w:rsid w:val="0002499D"/>
    <w:rsid w:val="000249B4"/>
    <w:rsid w:val="000249ED"/>
    <w:rsid w:val="00024A79"/>
    <w:rsid w:val="00024A9E"/>
    <w:rsid w:val="00024CDC"/>
    <w:rsid w:val="00024DFA"/>
    <w:rsid w:val="00024E8C"/>
    <w:rsid w:val="00024F1E"/>
    <w:rsid w:val="00024F83"/>
    <w:rsid w:val="0002511B"/>
    <w:rsid w:val="0002517D"/>
    <w:rsid w:val="0002518B"/>
    <w:rsid w:val="0002548E"/>
    <w:rsid w:val="000255A7"/>
    <w:rsid w:val="0002585D"/>
    <w:rsid w:val="0002597B"/>
    <w:rsid w:val="000259CB"/>
    <w:rsid w:val="00025B3B"/>
    <w:rsid w:val="00025D79"/>
    <w:rsid w:val="00025E1C"/>
    <w:rsid w:val="00025ED4"/>
    <w:rsid w:val="00025F6D"/>
    <w:rsid w:val="000262ED"/>
    <w:rsid w:val="00026353"/>
    <w:rsid w:val="00026366"/>
    <w:rsid w:val="0002662E"/>
    <w:rsid w:val="00026692"/>
    <w:rsid w:val="00026886"/>
    <w:rsid w:val="00026BDF"/>
    <w:rsid w:val="00026D44"/>
    <w:rsid w:val="00026EB0"/>
    <w:rsid w:val="00026F28"/>
    <w:rsid w:val="00026F59"/>
    <w:rsid w:val="0002711F"/>
    <w:rsid w:val="00027273"/>
    <w:rsid w:val="000272A5"/>
    <w:rsid w:val="00027362"/>
    <w:rsid w:val="000273F0"/>
    <w:rsid w:val="0002740B"/>
    <w:rsid w:val="00027473"/>
    <w:rsid w:val="0002759A"/>
    <w:rsid w:val="0002759D"/>
    <w:rsid w:val="00027613"/>
    <w:rsid w:val="000276BA"/>
    <w:rsid w:val="000276C6"/>
    <w:rsid w:val="000277B7"/>
    <w:rsid w:val="00027CFA"/>
    <w:rsid w:val="00027D20"/>
    <w:rsid w:val="00027F0D"/>
    <w:rsid w:val="00027F37"/>
    <w:rsid w:val="00027F78"/>
    <w:rsid w:val="00027F93"/>
    <w:rsid w:val="00030009"/>
    <w:rsid w:val="00030244"/>
    <w:rsid w:val="000302E4"/>
    <w:rsid w:val="0003039F"/>
    <w:rsid w:val="000303C0"/>
    <w:rsid w:val="0003041F"/>
    <w:rsid w:val="00030574"/>
    <w:rsid w:val="00030633"/>
    <w:rsid w:val="000307A9"/>
    <w:rsid w:val="00030844"/>
    <w:rsid w:val="00030881"/>
    <w:rsid w:val="00030ABC"/>
    <w:rsid w:val="00030AFA"/>
    <w:rsid w:val="00030B5C"/>
    <w:rsid w:val="00030E1B"/>
    <w:rsid w:val="00030E3C"/>
    <w:rsid w:val="00030EA5"/>
    <w:rsid w:val="00030FDC"/>
    <w:rsid w:val="000310F6"/>
    <w:rsid w:val="00031114"/>
    <w:rsid w:val="000312CD"/>
    <w:rsid w:val="000312F3"/>
    <w:rsid w:val="00031332"/>
    <w:rsid w:val="0003136B"/>
    <w:rsid w:val="00031398"/>
    <w:rsid w:val="0003139F"/>
    <w:rsid w:val="000314E9"/>
    <w:rsid w:val="0003152E"/>
    <w:rsid w:val="00031572"/>
    <w:rsid w:val="000315EC"/>
    <w:rsid w:val="00031864"/>
    <w:rsid w:val="00031A17"/>
    <w:rsid w:val="00031B89"/>
    <w:rsid w:val="00031C15"/>
    <w:rsid w:val="00031C9A"/>
    <w:rsid w:val="00031DBB"/>
    <w:rsid w:val="00032183"/>
    <w:rsid w:val="0003219C"/>
    <w:rsid w:val="00032231"/>
    <w:rsid w:val="00032258"/>
    <w:rsid w:val="00032359"/>
    <w:rsid w:val="0003243E"/>
    <w:rsid w:val="000324B6"/>
    <w:rsid w:val="000325E3"/>
    <w:rsid w:val="00032687"/>
    <w:rsid w:val="00032821"/>
    <w:rsid w:val="00032839"/>
    <w:rsid w:val="000329EA"/>
    <w:rsid w:val="00032A51"/>
    <w:rsid w:val="00032B77"/>
    <w:rsid w:val="00032B88"/>
    <w:rsid w:val="00032B95"/>
    <w:rsid w:val="00032F5F"/>
    <w:rsid w:val="00033013"/>
    <w:rsid w:val="00033136"/>
    <w:rsid w:val="000331B7"/>
    <w:rsid w:val="000331E8"/>
    <w:rsid w:val="000331EC"/>
    <w:rsid w:val="00033381"/>
    <w:rsid w:val="00033405"/>
    <w:rsid w:val="00033495"/>
    <w:rsid w:val="00033661"/>
    <w:rsid w:val="000336F9"/>
    <w:rsid w:val="0003376B"/>
    <w:rsid w:val="00033774"/>
    <w:rsid w:val="00033794"/>
    <w:rsid w:val="000337D9"/>
    <w:rsid w:val="000338C2"/>
    <w:rsid w:val="00033921"/>
    <w:rsid w:val="000339A3"/>
    <w:rsid w:val="00033B12"/>
    <w:rsid w:val="00033B40"/>
    <w:rsid w:val="00033D3F"/>
    <w:rsid w:val="00033DB3"/>
    <w:rsid w:val="000340A9"/>
    <w:rsid w:val="00034174"/>
    <w:rsid w:val="000341D6"/>
    <w:rsid w:val="00034299"/>
    <w:rsid w:val="00034396"/>
    <w:rsid w:val="00034559"/>
    <w:rsid w:val="0003467E"/>
    <w:rsid w:val="00034757"/>
    <w:rsid w:val="000347AE"/>
    <w:rsid w:val="000348F5"/>
    <w:rsid w:val="00034904"/>
    <w:rsid w:val="00034910"/>
    <w:rsid w:val="00034940"/>
    <w:rsid w:val="0003498A"/>
    <w:rsid w:val="00034A1B"/>
    <w:rsid w:val="00034B40"/>
    <w:rsid w:val="00034BB4"/>
    <w:rsid w:val="00034E79"/>
    <w:rsid w:val="00035098"/>
    <w:rsid w:val="000353DE"/>
    <w:rsid w:val="000355BC"/>
    <w:rsid w:val="000355E7"/>
    <w:rsid w:val="000355EE"/>
    <w:rsid w:val="000357B8"/>
    <w:rsid w:val="00035A48"/>
    <w:rsid w:val="00035ED0"/>
    <w:rsid w:val="0003601E"/>
    <w:rsid w:val="00036037"/>
    <w:rsid w:val="0003603D"/>
    <w:rsid w:val="00036141"/>
    <w:rsid w:val="00036328"/>
    <w:rsid w:val="00036797"/>
    <w:rsid w:val="000368D9"/>
    <w:rsid w:val="000369CA"/>
    <w:rsid w:val="00036B0B"/>
    <w:rsid w:val="00036C68"/>
    <w:rsid w:val="00036EF8"/>
    <w:rsid w:val="00036F45"/>
    <w:rsid w:val="00036FBA"/>
    <w:rsid w:val="00037119"/>
    <w:rsid w:val="0003715F"/>
    <w:rsid w:val="00037200"/>
    <w:rsid w:val="000373FB"/>
    <w:rsid w:val="000374C9"/>
    <w:rsid w:val="00037571"/>
    <w:rsid w:val="00037833"/>
    <w:rsid w:val="000378DA"/>
    <w:rsid w:val="000379DA"/>
    <w:rsid w:val="00037B05"/>
    <w:rsid w:val="00037B1A"/>
    <w:rsid w:val="00037B30"/>
    <w:rsid w:val="00037B8B"/>
    <w:rsid w:val="00037C5F"/>
    <w:rsid w:val="00037E99"/>
    <w:rsid w:val="00037F70"/>
    <w:rsid w:val="00037FA4"/>
    <w:rsid w:val="00040153"/>
    <w:rsid w:val="000402FF"/>
    <w:rsid w:val="00040404"/>
    <w:rsid w:val="00040490"/>
    <w:rsid w:val="0004049D"/>
    <w:rsid w:val="000404EB"/>
    <w:rsid w:val="00040637"/>
    <w:rsid w:val="00040858"/>
    <w:rsid w:val="00040881"/>
    <w:rsid w:val="0004093E"/>
    <w:rsid w:val="00040B35"/>
    <w:rsid w:val="00040C27"/>
    <w:rsid w:val="00040C48"/>
    <w:rsid w:val="00040C6C"/>
    <w:rsid w:val="00040D4E"/>
    <w:rsid w:val="00040EBE"/>
    <w:rsid w:val="00040F25"/>
    <w:rsid w:val="00040FE6"/>
    <w:rsid w:val="000411CA"/>
    <w:rsid w:val="00041354"/>
    <w:rsid w:val="000413A0"/>
    <w:rsid w:val="0004183C"/>
    <w:rsid w:val="0004184D"/>
    <w:rsid w:val="000418BF"/>
    <w:rsid w:val="00041B00"/>
    <w:rsid w:val="00041C63"/>
    <w:rsid w:val="00041C99"/>
    <w:rsid w:val="00041E53"/>
    <w:rsid w:val="00041ECE"/>
    <w:rsid w:val="00041F50"/>
    <w:rsid w:val="00041FC0"/>
    <w:rsid w:val="00041FC7"/>
    <w:rsid w:val="0004200E"/>
    <w:rsid w:val="000420E6"/>
    <w:rsid w:val="00042117"/>
    <w:rsid w:val="0004214B"/>
    <w:rsid w:val="00042319"/>
    <w:rsid w:val="00042375"/>
    <w:rsid w:val="0004239A"/>
    <w:rsid w:val="00042469"/>
    <w:rsid w:val="0004259E"/>
    <w:rsid w:val="000425EE"/>
    <w:rsid w:val="00042640"/>
    <w:rsid w:val="0004269C"/>
    <w:rsid w:val="0004270B"/>
    <w:rsid w:val="000428CF"/>
    <w:rsid w:val="00042A26"/>
    <w:rsid w:val="00042A38"/>
    <w:rsid w:val="00042A5A"/>
    <w:rsid w:val="00042AD1"/>
    <w:rsid w:val="00042AE3"/>
    <w:rsid w:val="00042B52"/>
    <w:rsid w:val="00042CB3"/>
    <w:rsid w:val="00042E3A"/>
    <w:rsid w:val="00042E82"/>
    <w:rsid w:val="00042EAC"/>
    <w:rsid w:val="00042EDD"/>
    <w:rsid w:val="00042FB7"/>
    <w:rsid w:val="000430C7"/>
    <w:rsid w:val="00043173"/>
    <w:rsid w:val="00043201"/>
    <w:rsid w:val="00043261"/>
    <w:rsid w:val="00043350"/>
    <w:rsid w:val="000434A9"/>
    <w:rsid w:val="000434B5"/>
    <w:rsid w:val="00043560"/>
    <w:rsid w:val="0004356E"/>
    <w:rsid w:val="00043584"/>
    <w:rsid w:val="0004359D"/>
    <w:rsid w:val="000435E4"/>
    <w:rsid w:val="00043667"/>
    <w:rsid w:val="00043763"/>
    <w:rsid w:val="00043D25"/>
    <w:rsid w:val="00043F5C"/>
    <w:rsid w:val="000440AF"/>
    <w:rsid w:val="00044163"/>
    <w:rsid w:val="0004426B"/>
    <w:rsid w:val="000442A7"/>
    <w:rsid w:val="0004434A"/>
    <w:rsid w:val="000444AC"/>
    <w:rsid w:val="000445F4"/>
    <w:rsid w:val="0004464F"/>
    <w:rsid w:val="000446C9"/>
    <w:rsid w:val="000446F4"/>
    <w:rsid w:val="00044758"/>
    <w:rsid w:val="0004476A"/>
    <w:rsid w:val="0004476F"/>
    <w:rsid w:val="00044834"/>
    <w:rsid w:val="00044894"/>
    <w:rsid w:val="000449C8"/>
    <w:rsid w:val="00044A0E"/>
    <w:rsid w:val="00044A26"/>
    <w:rsid w:val="00044AD4"/>
    <w:rsid w:val="00044DC1"/>
    <w:rsid w:val="00044DF7"/>
    <w:rsid w:val="00044E63"/>
    <w:rsid w:val="00044F05"/>
    <w:rsid w:val="00044F11"/>
    <w:rsid w:val="00044F3E"/>
    <w:rsid w:val="00044FFF"/>
    <w:rsid w:val="00045044"/>
    <w:rsid w:val="0004518D"/>
    <w:rsid w:val="000452BE"/>
    <w:rsid w:val="000452FD"/>
    <w:rsid w:val="00045379"/>
    <w:rsid w:val="00045382"/>
    <w:rsid w:val="00045460"/>
    <w:rsid w:val="00045A6E"/>
    <w:rsid w:val="00045AA7"/>
    <w:rsid w:val="00045BFC"/>
    <w:rsid w:val="00045DAE"/>
    <w:rsid w:val="00045FCE"/>
    <w:rsid w:val="0004602D"/>
    <w:rsid w:val="0004620C"/>
    <w:rsid w:val="00046380"/>
    <w:rsid w:val="000463A1"/>
    <w:rsid w:val="00046403"/>
    <w:rsid w:val="00046406"/>
    <w:rsid w:val="000464CA"/>
    <w:rsid w:val="00046517"/>
    <w:rsid w:val="000465C0"/>
    <w:rsid w:val="000466EB"/>
    <w:rsid w:val="00046879"/>
    <w:rsid w:val="000468C8"/>
    <w:rsid w:val="00046956"/>
    <w:rsid w:val="00046A84"/>
    <w:rsid w:val="00046B86"/>
    <w:rsid w:val="00046BFF"/>
    <w:rsid w:val="00046CD6"/>
    <w:rsid w:val="00046E13"/>
    <w:rsid w:val="00046E1D"/>
    <w:rsid w:val="00046F70"/>
    <w:rsid w:val="00047010"/>
    <w:rsid w:val="000470E0"/>
    <w:rsid w:val="00047114"/>
    <w:rsid w:val="000471BA"/>
    <w:rsid w:val="000472E0"/>
    <w:rsid w:val="00047771"/>
    <w:rsid w:val="000477AA"/>
    <w:rsid w:val="000477D7"/>
    <w:rsid w:val="000477E3"/>
    <w:rsid w:val="0004780C"/>
    <w:rsid w:val="00047929"/>
    <w:rsid w:val="00047B7F"/>
    <w:rsid w:val="00047C94"/>
    <w:rsid w:val="00047DF2"/>
    <w:rsid w:val="00047EA4"/>
    <w:rsid w:val="00047F24"/>
    <w:rsid w:val="00047FED"/>
    <w:rsid w:val="000501A3"/>
    <w:rsid w:val="00050305"/>
    <w:rsid w:val="00050410"/>
    <w:rsid w:val="000504F4"/>
    <w:rsid w:val="000505CA"/>
    <w:rsid w:val="000505EA"/>
    <w:rsid w:val="000506F1"/>
    <w:rsid w:val="00050787"/>
    <w:rsid w:val="00050C18"/>
    <w:rsid w:val="00050C2F"/>
    <w:rsid w:val="00050D39"/>
    <w:rsid w:val="00050D72"/>
    <w:rsid w:val="00050EDA"/>
    <w:rsid w:val="00050EFB"/>
    <w:rsid w:val="00051036"/>
    <w:rsid w:val="0005110D"/>
    <w:rsid w:val="0005115C"/>
    <w:rsid w:val="00051257"/>
    <w:rsid w:val="000513AD"/>
    <w:rsid w:val="0005142A"/>
    <w:rsid w:val="000514E4"/>
    <w:rsid w:val="00051515"/>
    <w:rsid w:val="000515D4"/>
    <w:rsid w:val="00051782"/>
    <w:rsid w:val="00051792"/>
    <w:rsid w:val="00051952"/>
    <w:rsid w:val="000519B2"/>
    <w:rsid w:val="000519C6"/>
    <w:rsid w:val="00051A0B"/>
    <w:rsid w:val="00051AFC"/>
    <w:rsid w:val="00051DC1"/>
    <w:rsid w:val="00051E8B"/>
    <w:rsid w:val="00051F15"/>
    <w:rsid w:val="00051F2A"/>
    <w:rsid w:val="0005202D"/>
    <w:rsid w:val="00052236"/>
    <w:rsid w:val="00052299"/>
    <w:rsid w:val="00052533"/>
    <w:rsid w:val="000526DA"/>
    <w:rsid w:val="00052BB0"/>
    <w:rsid w:val="00052BB1"/>
    <w:rsid w:val="00052C0F"/>
    <w:rsid w:val="00052F3D"/>
    <w:rsid w:val="00052F68"/>
    <w:rsid w:val="00052FC3"/>
    <w:rsid w:val="000531CC"/>
    <w:rsid w:val="000531FF"/>
    <w:rsid w:val="00053222"/>
    <w:rsid w:val="000532C5"/>
    <w:rsid w:val="000532DA"/>
    <w:rsid w:val="000532ED"/>
    <w:rsid w:val="000533C4"/>
    <w:rsid w:val="0005343D"/>
    <w:rsid w:val="00053626"/>
    <w:rsid w:val="0005363F"/>
    <w:rsid w:val="000536A0"/>
    <w:rsid w:val="000536EF"/>
    <w:rsid w:val="00053708"/>
    <w:rsid w:val="000538A2"/>
    <w:rsid w:val="00053915"/>
    <w:rsid w:val="00053A1D"/>
    <w:rsid w:val="00053BAD"/>
    <w:rsid w:val="00053C17"/>
    <w:rsid w:val="00053C35"/>
    <w:rsid w:val="00053C3B"/>
    <w:rsid w:val="00053C53"/>
    <w:rsid w:val="00053E63"/>
    <w:rsid w:val="00053FA9"/>
    <w:rsid w:val="000540BC"/>
    <w:rsid w:val="0005413F"/>
    <w:rsid w:val="00054325"/>
    <w:rsid w:val="000543F0"/>
    <w:rsid w:val="000544D7"/>
    <w:rsid w:val="000544EF"/>
    <w:rsid w:val="00054615"/>
    <w:rsid w:val="00054671"/>
    <w:rsid w:val="0005477D"/>
    <w:rsid w:val="00054D4E"/>
    <w:rsid w:val="00054D71"/>
    <w:rsid w:val="00054E5C"/>
    <w:rsid w:val="00054F84"/>
    <w:rsid w:val="00055090"/>
    <w:rsid w:val="00055280"/>
    <w:rsid w:val="00055425"/>
    <w:rsid w:val="000554C3"/>
    <w:rsid w:val="00055883"/>
    <w:rsid w:val="000558FD"/>
    <w:rsid w:val="0005592C"/>
    <w:rsid w:val="00055A02"/>
    <w:rsid w:val="00055A39"/>
    <w:rsid w:val="00055A43"/>
    <w:rsid w:val="00055A5F"/>
    <w:rsid w:val="00055AA4"/>
    <w:rsid w:val="00055CDF"/>
    <w:rsid w:val="00055E25"/>
    <w:rsid w:val="00055E45"/>
    <w:rsid w:val="00055E6F"/>
    <w:rsid w:val="0005602C"/>
    <w:rsid w:val="0005607C"/>
    <w:rsid w:val="000560CD"/>
    <w:rsid w:val="0005621B"/>
    <w:rsid w:val="000562AA"/>
    <w:rsid w:val="0005636D"/>
    <w:rsid w:val="0005636E"/>
    <w:rsid w:val="00056394"/>
    <w:rsid w:val="00056439"/>
    <w:rsid w:val="0005669C"/>
    <w:rsid w:val="000566BB"/>
    <w:rsid w:val="000566F3"/>
    <w:rsid w:val="0005690E"/>
    <w:rsid w:val="0005691E"/>
    <w:rsid w:val="00056982"/>
    <w:rsid w:val="00056997"/>
    <w:rsid w:val="00056A25"/>
    <w:rsid w:val="00056A44"/>
    <w:rsid w:val="00056B7A"/>
    <w:rsid w:val="00056C50"/>
    <w:rsid w:val="00056D68"/>
    <w:rsid w:val="00056DB2"/>
    <w:rsid w:val="00056E99"/>
    <w:rsid w:val="00056FFD"/>
    <w:rsid w:val="0005704E"/>
    <w:rsid w:val="00057441"/>
    <w:rsid w:val="00057484"/>
    <w:rsid w:val="000574E3"/>
    <w:rsid w:val="000575CD"/>
    <w:rsid w:val="000575EA"/>
    <w:rsid w:val="00057767"/>
    <w:rsid w:val="0005784B"/>
    <w:rsid w:val="00057895"/>
    <w:rsid w:val="000578AA"/>
    <w:rsid w:val="00057AE1"/>
    <w:rsid w:val="00057C2B"/>
    <w:rsid w:val="00057C43"/>
    <w:rsid w:val="00057CF6"/>
    <w:rsid w:val="00057D31"/>
    <w:rsid w:val="00057E66"/>
    <w:rsid w:val="00057ECB"/>
    <w:rsid w:val="00057EE0"/>
    <w:rsid w:val="00057F70"/>
    <w:rsid w:val="00057FB6"/>
    <w:rsid w:val="000600DC"/>
    <w:rsid w:val="00060191"/>
    <w:rsid w:val="000601A7"/>
    <w:rsid w:val="000604BC"/>
    <w:rsid w:val="000605A8"/>
    <w:rsid w:val="00060634"/>
    <w:rsid w:val="0006096E"/>
    <w:rsid w:val="00060A06"/>
    <w:rsid w:val="00060A63"/>
    <w:rsid w:val="00060AA5"/>
    <w:rsid w:val="00060C1D"/>
    <w:rsid w:val="00060D34"/>
    <w:rsid w:val="00060DA5"/>
    <w:rsid w:val="00060E21"/>
    <w:rsid w:val="00060E97"/>
    <w:rsid w:val="00060EB3"/>
    <w:rsid w:val="00060F6D"/>
    <w:rsid w:val="00061210"/>
    <w:rsid w:val="000612E8"/>
    <w:rsid w:val="00061400"/>
    <w:rsid w:val="0006167C"/>
    <w:rsid w:val="000616C4"/>
    <w:rsid w:val="00061710"/>
    <w:rsid w:val="0006171F"/>
    <w:rsid w:val="000617A7"/>
    <w:rsid w:val="000618AF"/>
    <w:rsid w:val="00061927"/>
    <w:rsid w:val="00061A79"/>
    <w:rsid w:val="00061B23"/>
    <w:rsid w:val="00061BFA"/>
    <w:rsid w:val="00061C89"/>
    <w:rsid w:val="00061CD8"/>
    <w:rsid w:val="00061F69"/>
    <w:rsid w:val="00061FBB"/>
    <w:rsid w:val="00062024"/>
    <w:rsid w:val="0006223C"/>
    <w:rsid w:val="00062371"/>
    <w:rsid w:val="000624A9"/>
    <w:rsid w:val="000626BD"/>
    <w:rsid w:val="000626D7"/>
    <w:rsid w:val="00062C4B"/>
    <w:rsid w:val="00062D5F"/>
    <w:rsid w:val="00062D92"/>
    <w:rsid w:val="00062DDF"/>
    <w:rsid w:val="00062DFE"/>
    <w:rsid w:val="00062EE2"/>
    <w:rsid w:val="00062F08"/>
    <w:rsid w:val="0006308A"/>
    <w:rsid w:val="00063214"/>
    <w:rsid w:val="00063509"/>
    <w:rsid w:val="00063574"/>
    <w:rsid w:val="000635E5"/>
    <w:rsid w:val="00063605"/>
    <w:rsid w:val="000636A3"/>
    <w:rsid w:val="000636F7"/>
    <w:rsid w:val="000638CE"/>
    <w:rsid w:val="00063945"/>
    <w:rsid w:val="00063A92"/>
    <w:rsid w:val="00063B64"/>
    <w:rsid w:val="00063BBD"/>
    <w:rsid w:val="00063C06"/>
    <w:rsid w:val="00063DF6"/>
    <w:rsid w:val="00063F60"/>
    <w:rsid w:val="00063FF1"/>
    <w:rsid w:val="00064065"/>
    <w:rsid w:val="00064136"/>
    <w:rsid w:val="00064194"/>
    <w:rsid w:val="000641B2"/>
    <w:rsid w:val="000641EF"/>
    <w:rsid w:val="00064313"/>
    <w:rsid w:val="0006433D"/>
    <w:rsid w:val="00064351"/>
    <w:rsid w:val="00064492"/>
    <w:rsid w:val="0006451B"/>
    <w:rsid w:val="000645FE"/>
    <w:rsid w:val="0006482E"/>
    <w:rsid w:val="0006488D"/>
    <w:rsid w:val="0006497E"/>
    <w:rsid w:val="000649DF"/>
    <w:rsid w:val="000649F9"/>
    <w:rsid w:val="00064AB9"/>
    <w:rsid w:val="00064C00"/>
    <w:rsid w:val="00064C70"/>
    <w:rsid w:val="00064CE7"/>
    <w:rsid w:val="00064F02"/>
    <w:rsid w:val="00064FB1"/>
    <w:rsid w:val="0006509E"/>
    <w:rsid w:val="00065259"/>
    <w:rsid w:val="00065368"/>
    <w:rsid w:val="00065489"/>
    <w:rsid w:val="0006551C"/>
    <w:rsid w:val="0006563F"/>
    <w:rsid w:val="00065667"/>
    <w:rsid w:val="0006583B"/>
    <w:rsid w:val="000658B9"/>
    <w:rsid w:val="000659AE"/>
    <w:rsid w:val="00065A1F"/>
    <w:rsid w:val="00065B3C"/>
    <w:rsid w:val="00065C7D"/>
    <w:rsid w:val="00065EB5"/>
    <w:rsid w:val="00065FBE"/>
    <w:rsid w:val="000660E7"/>
    <w:rsid w:val="00066202"/>
    <w:rsid w:val="000663C4"/>
    <w:rsid w:val="00066548"/>
    <w:rsid w:val="0006659E"/>
    <w:rsid w:val="000666C3"/>
    <w:rsid w:val="000668E1"/>
    <w:rsid w:val="00066904"/>
    <w:rsid w:val="00066920"/>
    <w:rsid w:val="00066974"/>
    <w:rsid w:val="00066B38"/>
    <w:rsid w:val="00066ED6"/>
    <w:rsid w:val="00066F41"/>
    <w:rsid w:val="00066F43"/>
    <w:rsid w:val="00067202"/>
    <w:rsid w:val="00067421"/>
    <w:rsid w:val="00067433"/>
    <w:rsid w:val="00067639"/>
    <w:rsid w:val="00067959"/>
    <w:rsid w:val="00067A34"/>
    <w:rsid w:val="00067B12"/>
    <w:rsid w:val="00067BFA"/>
    <w:rsid w:val="00067D1B"/>
    <w:rsid w:val="00067D2B"/>
    <w:rsid w:val="00067D88"/>
    <w:rsid w:val="00067DD1"/>
    <w:rsid w:val="0007001A"/>
    <w:rsid w:val="00070069"/>
    <w:rsid w:val="0007017F"/>
    <w:rsid w:val="0007019C"/>
    <w:rsid w:val="0007041F"/>
    <w:rsid w:val="0007045E"/>
    <w:rsid w:val="0007058D"/>
    <w:rsid w:val="000706C8"/>
    <w:rsid w:val="00070708"/>
    <w:rsid w:val="0007080D"/>
    <w:rsid w:val="00070833"/>
    <w:rsid w:val="0007088D"/>
    <w:rsid w:val="00070906"/>
    <w:rsid w:val="00070A86"/>
    <w:rsid w:val="00070C25"/>
    <w:rsid w:val="00070D8A"/>
    <w:rsid w:val="00070ED7"/>
    <w:rsid w:val="00070F4C"/>
    <w:rsid w:val="000710E2"/>
    <w:rsid w:val="0007117D"/>
    <w:rsid w:val="000711CE"/>
    <w:rsid w:val="0007120C"/>
    <w:rsid w:val="000713BA"/>
    <w:rsid w:val="0007145B"/>
    <w:rsid w:val="000714CC"/>
    <w:rsid w:val="0007158B"/>
    <w:rsid w:val="00071677"/>
    <w:rsid w:val="000716B0"/>
    <w:rsid w:val="000716E9"/>
    <w:rsid w:val="000717EF"/>
    <w:rsid w:val="00071813"/>
    <w:rsid w:val="0007193F"/>
    <w:rsid w:val="00071991"/>
    <w:rsid w:val="000719F6"/>
    <w:rsid w:val="00071B80"/>
    <w:rsid w:val="00071BB5"/>
    <w:rsid w:val="00071C30"/>
    <w:rsid w:val="00071C72"/>
    <w:rsid w:val="00071C8A"/>
    <w:rsid w:val="00071C8B"/>
    <w:rsid w:val="00071F13"/>
    <w:rsid w:val="00071F57"/>
    <w:rsid w:val="000721B2"/>
    <w:rsid w:val="00072368"/>
    <w:rsid w:val="00072407"/>
    <w:rsid w:val="0007249D"/>
    <w:rsid w:val="00072593"/>
    <w:rsid w:val="000725F3"/>
    <w:rsid w:val="000727BF"/>
    <w:rsid w:val="00072B85"/>
    <w:rsid w:val="00072BF3"/>
    <w:rsid w:val="00072C4D"/>
    <w:rsid w:val="00072D61"/>
    <w:rsid w:val="00072E1B"/>
    <w:rsid w:val="00072EF0"/>
    <w:rsid w:val="00072F07"/>
    <w:rsid w:val="000730BC"/>
    <w:rsid w:val="000733B8"/>
    <w:rsid w:val="0007371B"/>
    <w:rsid w:val="00073783"/>
    <w:rsid w:val="00073829"/>
    <w:rsid w:val="0007399B"/>
    <w:rsid w:val="000739F5"/>
    <w:rsid w:val="00073B4D"/>
    <w:rsid w:val="00073B80"/>
    <w:rsid w:val="00073C68"/>
    <w:rsid w:val="00073DD9"/>
    <w:rsid w:val="00073EE8"/>
    <w:rsid w:val="00073F44"/>
    <w:rsid w:val="00073F85"/>
    <w:rsid w:val="00073FB5"/>
    <w:rsid w:val="00074021"/>
    <w:rsid w:val="000740E1"/>
    <w:rsid w:val="00074166"/>
    <w:rsid w:val="00074315"/>
    <w:rsid w:val="00074361"/>
    <w:rsid w:val="00074448"/>
    <w:rsid w:val="000744FA"/>
    <w:rsid w:val="00074696"/>
    <w:rsid w:val="000746A1"/>
    <w:rsid w:val="00074824"/>
    <w:rsid w:val="00074940"/>
    <w:rsid w:val="000749A7"/>
    <w:rsid w:val="00074A67"/>
    <w:rsid w:val="00074D0D"/>
    <w:rsid w:val="00074E18"/>
    <w:rsid w:val="00074ED5"/>
    <w:rsid w:val="00074EDC"/>
    <w:rsid w:val="00074EF5"/>
    <w:rsid w:val="00074FF3"/>
    <w:rsid w:val="0007509B"/>
    <w:rsid w:val="000752A8"/>
    <w:rsid w:val="00075388"/>
    <w:rsid w:val="000756A3"/>
    <w:rsid w:val="0007583D"/>
    <w:rsid w:val="0007585C"/>
    <w:rsid w:val="000758B3"/>
    <w:rsid w:val="00075A35"/>
    <w:rsid w:val="00075A88"/>
    <w:rsid w:val="00075C83"/>
    <w:rsid w:val="00075D7A"/>
    <w:rsid w:val="00075E14"/>
    <w:rsid w:val="00075FB4"/>
    <w:rsid w:val="00076032"/>
    <w:rsid w:val="000760BB"/>
    <w:rsid w:val="00076183"/>
    <w:rsid w:val="0007619A"/>
    <w:rsid w:val="000762B4"/>
    <w:rsid w:val="0007631A"/>
    <w:rsid w:val="000763BB"/>
    <w:rsid w:val="000766ED"/>
    <w:rsid w:val="00076769"/>
    <w:rsid w:val="00076828"/>
    <w:rsid w:val="000768FD"/>
    <w:rsid w:val="000769B5"/>
    <w:rsid w:val="00076FE5"/>
    <w:rsid w:val="0007702D"/>
    <w:rsid w:val="0007707C"/>
    <w:rsid w:val="00077088"/>
    <w:rsid w:val="000770A6"/>
    <w:rsid w:val="000770AF"/>
    <w:rsid w:val="00077171"/>
    <w:rsid w:val="000771AC"/>
    <w:rsid w:val="00077257"/>
    <w:rsid w:val="000772A6"/>
    <w:rsid w:val="00077371"/>
    <w:rsid w:val="0007737D"/>
    <w:rsid w:val="0007741C"/>
    <w:rsid w:val="0007745C"/>
    <w:rsid w:val="0007752D"/>
    <w:rsid w:val="000775E9"/>
    <w:rsid w:val="00077638"/>
    <w:rsid w:val="00077715"/>
    <w:rsid w:val="000777B9"/>
    <w:rsid w:val="000777E6"/>
    <w:rsid w:val="0007781E"/>
    <w:rsid w:val="0007784C"/>
    <w:rsid w:val="00077A5A"/>
    <w:rsid w:val="00077B16"/>
    <w:rsid w:val="00077BC9"/>
    <w:rsid w:val="00077C49"/>
    <w:rsid w:val="00077C68"/>
    <w:rsid w:val="00077CB6"/>
    <w:rsid w:val="00077D20"/>
    <w:rsid w:val="00077D6B"/>
    <w:rsid w:val="00077F60"/>
    <w:rsid w:val="00077F92"/>
    <w:rsid w:val="00077F9B"/>
    <w:rsid w:val="00077FC7"/>
    <w:rsid w:val="00077FF8"/>
    <w:rsid w:val="00080006"/>
    <w:rsid w:val="000800D5"/>
    <w:rsid w:val="0008013B"/>
    <w:rsid w:val="00080159"/>
    <w:rsid w:val="0008049E"/>
    <w:rsid w:val="000805A6"/>
    <w:rsid w:val="000808B3"/>
    <w:rsid w:val="00080903"/>
    <w:rsid w:val="00080A67"/>
    <w:rsid w:val="00080A73"/>
    <w:rsid w:val="00080AB1"/>
    <w:rsid w:val="00080BDA"/>
    <w:rsid w:val="00080C54"/>
    <w:rsid w:val="00080CAA"/>
    <w:rsid w:val="00080CE5"/>
    <w:rsid w:val="00080D58"/>
    <w:rsid w:val="00080DC9"/>
    <w:rsid w:val="00080E55"/>
    <w:rsid w:val="000810D3"/>
    <w:rsid w:val="000810E4"/>
    <w:rsid w:val="00081137"/>
    <w:rsid w:val="000812D2"/>
    <w:rsid w:val="0008138C"/>
    <w:rsid w:val="00081454"/>
    <w:rsid w:val="00081500"/>
    <w:rsid w:val="00081588"/>
    <w:rsid w:val="00081598"/>
    <w:rsid w:val="000815C8"/>
    <w:rsid w:val="000816B7"/>
    <w:rsid w:val="00081764"/>
    <w:rsid w:val="00081967"/>
    <w:rsid w:val="000819F3"/>
    <w:rsid w:val="00081A06"/>
    <w:rsid w:val="00081A0B"/>
    <w:rsid w:val="00081B06"/>
    <w:rsid w:val="00081B69"/>
    <w:rsid w:val="00081C3A"/>
    <w:rsid w:val="00081C5F"/>
    <w:rsid w:val="00081CA0"/>
    <w:rsid w:val="00081CF9"/>
    <w:rsid w:val="00081D59"/>
    <w:rsid w:val="00081E63"/>
    <w:rsid w:val="00081EA0"/>
    <w:rsid w:val="00081FF4"/>
    <w:rsid w:val="00082075"/>
    <w:rsid w:val="0008208F"/>
    <w:rsid w:val="00082390"/>
    <w:rsid w:val="000823F2"/>
    <w:rsid w:val="00082606"/>
    <w:rsid w:val="0008268A"/>
    <w:rsid w:val="000826B3"/>
    <w:rsid w:val="0008271E"/>
    <w:rsid w:val="0008274B"/>
    <w:rsid w:val="00082852"/>
    <w:rsid w:val="000829FF"/>
    <w:rsid w:val="00082B23"/>
    <w:rsid w:val="00082B54"/>
    <w:rsid w:val="00082CDB"/>
    <w:rsid w:val="00082D78"/>
    <w:rsid w:val="00082EDF"/>
    <w:rsid w:val="00082FE6"/>
    <w:rsid w:val="00083016"/>
    <w:rsid w:val="0008303F"/>
    <w:rsid w:val="000830F2"/>
    <w:rsid w:val="00083146"/>
    <w:rsid w:val="000831A2"/>
    <w:rsid w:val="000831A7"/>
    <w:rsid w:val="000832B4"/>
    <w:rsid w:val="000832E1"/>
    <w:rsid w:val="000833B1"/>
    <w:rsid w:val="000833E7"/>
    <w:rsid w:val="000833FB"/>
    <w:rsid w:val="000835CB"/>
    <w:rsid w:val="000835CF"/>
    <w:rsid w:val="000835DB"/>
    <w:rsid w:val="000837F3"/>
    <w:rsid w:val="0008386A"/>
    <w:rsid w:val="00083B1A"/>
    <w:rsid w:val="00083B1C"/>
    <w:rsid w:val="00083CD8"/>
    <w:rsid w:val="00083D46"/>
    <w:rsid w:val="00083DD2"/>
    <w:rsid w:val="00083EB6"/>
    <w:rsid w:val="00083EFA"/>
    <w:rsid w:val="0008402A"/>
    <w:rsid w:val="0008402D"/>
    <w:rsid w:val="00084065"/>
    <w:rsid w:val="00084187"/>
    <w:rsid w:val="0008420E"/>
    <w:rsid w:val="000844F4"/>
    <w:rsid w:val="0008456A"/>
    <w:rsid w:val="00084720"/>
    <w:rsid w:val="0008475E"/>
    <w:rsid w:val="0008489C"/>
    <w:rsid w:val="00084A09"/>
    <w:rsid w:val="00084A19"/>
    <w:rsid w:val="00084A7F"/>
    <w:rsid w:val="00084BC7"/>
    <w:rsid w:val="00084C1C"/>
    <w:rsid w:val="00084D51"/>
    <w:rsid w:val="00084E62"/>
    <w:rsid w:val="00084E6F"/>
    <w:rsid w:val="00084F81"/>
    <w:rsid w:val="0008500A"/>
    <w:rsid w:val="0008518C"/>
    <w:rsid w:val="000851DC"/>
    <w:rsid w:val="0008522E"/>
    <w:rsid w:val="000855D4"/>
    <w:rsid w:val="00085614"/>
    <w:rsid w:val="0008578B"/>
    <w:rsid w:val="000857B2"/>
    <w:rsid w:val="000857B7"/>
    <w:rsid w:val="00085889"/>
    <w:rsid w:val="0008589B"/>
    <w:rsid w:val="0008593F"/>
    <w:rsid w:val="00085A58"/>
    <w:rsid w:val="00085B3C"/>
    <w:rsid w:val="00085B64"/>
    <w:rsid w:val="00085BB2"/>
    <w:rsid w:val="00085CE1"/>
    <w:rsid w:val="00085D21"/>
    <w:rsid w:val="00085E73"/>
    <w:rsid w:val="00085EEB"/>
    <w:rsid w:val="00085FA1"/>
    <w:rsid w:val="000860D9"/>
    <w:rsid w:val="0008629F"/>
    <w:rsid w:val="000862FB"/>
    <w:rsid w:val="000863DB"/>
    <w:rsid w:val="0008651E"/>
    <w:rsid w:val="0008664E"/>
    <w:rsid w:val="0008669C"/>
    <w:rsid w:val="000867B3"/>
    <w:rsid w:val="000867C3"/>
    <w:rsid w:val="000867DC"/>
    <w:rsid w:val="00086930"/>
    <w:rsid w:val="00086966"/>
    <w:rsid w:val="0008696B"/>
    <w:rsid w:val="00086A4A"/>
    <w:rsid w:val="00086AE9"/>
    <w:rsid w:val="00086BD4"/>
    <w:rsid w:val="00086C36"/>
    <w:rsid w:val="00086CD1"/>
    <w:rsid w:val="00086D6B"/>
    <w:rsid w:val="00086E0A"/>
    <w:rsid w:val="00086F09"/>
    <w:rsid w:val="00086FEF"/>
    <w:rsid w:val="00087117"/>
    <w:rsid w:val="0008711C"/>
    <w:rsid w:val="00087149"/>
    <w:rsid w:val="000871E6"/>
    <w:rsid w:val="000874D3"/>
    <w:rsid w:val="000874F9"/>
    <w:rsid w:val="000875FD"/>
    <w:rsid w:val="00087651"/>
    <w:rsid w:val="0008794B"/>
    <w:rsid w:val="00087983"/>
    <w:rsid w:val="00087AAC"/>
    <w:rsid w:val="00087B11"/>
    <w:rsid w:val="00087B7D"/>
    <w:rsid w:val="00087BDA"/>
    <w:rsid w:val="00087C2B"/>
    <w:rsid w:val="00087D75"/>
    <w:rsid w:val="00087DD6"/>
    <w:rsid w:val="00087FD1"/>
    <w:rsid w:val="0009016D"/>
    <w:rsid w:val="000901EC"/>
    <w:rsid w:val="00090251"/>
    <w:rsid w:val="0009047D"/>
    <w:rsid w:val="0009064F"/>
    <w:rsid w:val="0009071C"/>
    <w:rsid w:val="000907FE"/>
    <w:rsid w:val="00090871"/>
    <w:rsid w:val="000908A5"/>
    <w:rsid w:val="00090C04"/>
    <w:rsid w:val="00090E06"/>
    <w:rsid w:val="00090FF7"/>
    <w:rsid w:val="000910E4"/>
    <w:rsid w:val="00091177"/>
    <w:rsid w:val="000911CC"/>
    <w:rsid w:val="0009140D"/>
    <w:rsid w:val="00091429"/>
    <w:rsid w:val="00091490"/>
    <w:rsid w:val="0009154F"/>
    <w:rsid w:val="000915CF"/>
    <w:rsid w:val="000916C1"/>
    <w:rsid w:val="000916D0"/>
    <w:rsid w:val="0009190B"/>
    <w:rsid w:val="00091B53"/>
    <w:rsid w:val="00091BAE"/>
    <w:rsid w:val="00091C2F"/>
    <w:rsid w:val="00091C97"/>
    <w:rsid w:val="00091D86"/>
    <w:rsid w:val="00091F2B"/>
    <w:rsid w:val="00091F2E"/>
    <w:rsid w:val="00091F90"/>
    <w:rsid w:val="00091FBB"/>
    <w:rsid w:val="00092225"/>
    <w:rsid w:val="00092314"/>
    <w:rsid w:val="000923F4"/>
    <w:rsid w:val="00092461"/>
    <w:rsid w:val="00092783"/>
    <w:rsid w:val="000928E8"/>
    <w:rsid w:val="0009298D"/>
    <w:rsid w:val="00092991"/>
    <w:rsid w:val="000929DB"/>
    <w:rsid w:val="000929E0"/>
    <w:rsid w:val="00092B35"/>
    <w:rsid w:val="00092C50"/>
    <w:rsid w:val="00092CB9"/>
    <w:rsid w:val="00092DAF"/>
    <w:rsid w:val="0009302B"/>
    <w:rsid w:val="0009322C"/>
    <w:rsid w:val="00093315"/>
    <w:rsid w:val="0009334C"/>
    <w:rsid w:val="000933B1"/>
    <w:rsid w:val="000933B3"/>
    <w:rsid w:val="00093467"/>
    <w:rsid w:val="000937E3"/>
    <w:rsid w:val="0009395F"/>
    <w:rsid w:val="00093A81"/>
    <w:rsid w:val="00093AAB"/>
    <w:rsid w:val="00093D88"/>
    <w:rsid w:val="00093E2C"/>
    <w:rsid w:val="0009406E"/>
    <w:rsid w:val="00094087"/>
    <w:rsid w:val="00094116"/>
    <w:rsid w:val="00094221"/>
    <w:rsid w:val="0009424A"/>
    <w:rsid w:val="000942A1"/>
    <w:rsid w:val="00094445"/>
    <w:rsid w:val="000944D0"/>
    <w:rsid w:val="000946BF"/>
    <w:rsid w:val="00094819"/>
    <w:rsid w:val="000948C5"/>
    <w:rsid w:val="00094980"/>
    <w:rsid w:val="000949CD"/>
    <w:rsid w:val="00094A48"/>
    <w:rsid w:val="00094A94"/>
    <w:rsid w:val="00094AE4"/>
    <w:rsid w:val="00094AFB"/>
    <w:rsid w:val="00094B4A"/>
    <w:rsid w:val="00094B8D"/>
    <w:rsid w:val="00094F6B"/>
    <w:rsid w:val="00094FA9"/>
    <w:rsid w:val="00095007"/>
    <w:rsid w:val="00095040"/>
    <w:rsid w:val="00095044"/>
    <w:rsid w:val="00095148"/>
    <w:rsid w:val="00095201"/>
    <w:rsid w:val="000952BF"/>
    <w:rsid w:val="000952D2"/>
    <w:rsid w:val="0009530D"/>
    <w:rsid w:val="00095424"/>
    <w:rsid w:val="000954F2"/>
    <w:rsid w:val="000954F8"/>
    <w:rsid w:val="00095738"/>
    <w:rsid w:val="000957C4"/>
    <w:rsid w:val="00095A78"/>
    <w:rsid w:val="00095C4E"/>
    <w:rsid w:val="00095CF2"/>
    <w:rsid w:val="00095E6F"/>
    <w:rsid w:val="00095E8D"/>
    <w:rsid w:val="00096029"/>
    <w:rsid w:val="0009608D"/>
    <w:rsid w:val="00096100"/>
    <w:rsid w:val="000961B4"/>
    <w:rsid w:val="0009626B"/>
    <w:rsid w:val="0009626C"/>
    <w:rsid w:val="000963A0"/>
    <w:rsid w:val="00096545"/>
    <w:rsid w:val="00096691"/>
    <w:rsid w:val="0009670E"/>
    <w:rsid w:val="00096796"/>
    <w:rsid w:val="000967E3"/>
    <w:rsid w:val="0009686F"/>
    <w:rsid w:val="00096875"/>
    <w:rsid w:val="00096B4F"/>
    <w:rsid w:val="00096E25"/>
    <w:rsid w:val="00096F0F"/>
    <w:rsid w:val="000970DC"/>
    <w:rsid w:val="0009736B"/>
    <w:rsid w:val="000973EA"/>
    <w:rsid w:val="0009741F"/>
    <w:rsid w:val="0009768A"/>
    <w:rsid w:val="000978D0"/>
    <w:rsid w:val="00097AED"/>
    <w:rsid w:val="00097B1E"/>
    <w:rsid w:val="00097B28"/>
    <w:rsid w:val="00097B49"/>
    <w:rsid w:val="000A0049"/>
    <w:rsid w:val="000A033D"/>
    <w:rsid w:val="000A04DA"/>
    <w:rsid w:val="000A055F"/>
    <w:rsid w:val="000A05CB"/>
    <w:rsid w:val="000A0683"/>
    <w:rsid w:val="000A06B8"/>
    <w:rsid w:val="000A07BA"/>
    <w:rsid w:val="000A07F6"/>
    <w:rsid w:val="000A08F4"/>
    <w:rsid w:val="000A08FF"/>
    <w:rsid w:val="000A09E3"/>
    <w:rsid w:val="000A0A25"/>
    <w:rsid w:val="000A0AF9"/>
    <w:rsid w:val="000A0C31"/>
    <w:rsid w:val="000A0C84"/>
    <w:rsid w:val="000A0DD9"/>
    <w:rsid w:val="000A0E36"/>
    <w:rsid w:val="000A0EFB"/>
    <w:rsid w:val="000A0F80"/>
    <w:rsid w:val="000A0F8C"/>
    <w:rsid w:val="000A102C"/>
    <w:rsid w:val="000A10BD"/>
    <w:rsid w:val="000A123D"/>
    <w:rsid w:val="000A1286"/>
    <w:rsid w:val="000A1406"/>
    <w:rsid w:val="000A1507"/>
    <w:rsid w:val="000A166C"/>
    <w:rsid w:val="000A195E"/>
    <w:rsid w:val="000A19A0"/>
    <w:rsid w:val="000A19D6"/>
    <w:rsid w:val="000A1A14"/>
    <w:rsid w:val="000A1A48"/>
    <w:rsid w:val="000A1A94"/>
    <w:rsid w:val="000A1A9C"/>
    <w:rsid w:val="000A1BAE"/>
    <w:rsid w:val="000A1C0C"/>
    <w:rsid w:val="000A1CC2"/>
    <w:rsid w:val="000A1D70"/>
    <w:rsid w:val="000A1DB8"/>
    <w:rsid w:val="000A1EBC"/>
    <w:rsid w:val="000A1FD8"/>
    <w:rsid w:val="000A2024"/>
    <w:rsid w:val="000A2362"/>
    <w:rsid w:val="000A23DA"/>
    <w:rsid w:val="000A2458"/>
    <w:rsid w:val="000A2540"/>
    <w:rsid w:val="000A26CB"/>
    <w:rsid w:val="000A2903"/>
    <w:rsid w:val="000A2A65"/>
    <w:rsid w:val="000A2AB2"/>
    <w:rsid w:val="000A2AB9"/>
    <w:rsid w:val="000A2BFC"/>
    <w:rsid w:val="000A2C54"/>
    <w:rsid w:val="000A2E09"/>
    <w:rsid w:val="000A2F7E"/>
    <w:rsid w:val="000A30E9"/>
    <w:rsid w:val="000A3123"/>
    <w:rsid w:val="000A338D"/>
    <w:rsid w:val="000A33D9"/>
    <w:rsid w:val="000A341F"/>
    <w:rsid w:val="000A344C"/>
    <w:rsid w:val="000A35D1"/>
    <w:rsid w:val="000A35DA"/>
    <w:rsid w:val="000A38D0"/>
    <w:rsid w:val="000A38F4"/>
    <w:rsid w:val="000A399A"/>
    <w:rsid w:val="000A3A1A"/>
    <w:rsid w:val="000A3A23"/>
    <w:rsid w:val="000A3A4E"/>
    <w:rsid w:val="000A3BDE"/>
    <w:rsid w:val="000A3DC6"/>
    <w:rsid w:val="000A3E4A"/>
    <w:rsid w:val="000A3E6E"/>
    <w:rsid w:val="000A3E92"/>
    <w:rsid w:val="000A3F4A"/>
    <w:rsid w:val="000A3F5E"/>
    <w:rsid w:val="000A3F89"/>
    <w:rsid w:val="000A3FE0"/>
    <w:rsid w:val="000A4085"/>
    <w:rsid w:val="000A41F3"/>
    <w:rsid w:val="000A42B4"/>
    <w:rsid w:val="000A4367"/>
    <w:rsid w:val="000A4443"/>
    <w:rsid w:val="000A4642"/>
    <w:rsid w:val="000A46CC"/>
    <w:rsid w:val="000A4825"/>
    <w:rsid w:val="000A4908"/>
    <w:rsid w:val="000A4937"/>
    <w:rsid w:val="000A4A67"/>
    <w:rsid w:val="000A4DB8"/>
    <w:rsid w:val="000A4F73"/>
    <w:rsid w:val="000A50E3"/>
    <w:rsid w:val="000A51E6"/>
    <w:rsid w:val="000A54F8"/>
    <w:rsid w:val="000A55A5"/>
    <w:rsid w:val="000A57D7"/>
    <w:rsid w:val="000A57F4"/>
    <w:rsid w:val="000A58A7"/>
    <w:rsid w:val="000A5972"/>
    <w:rsid w:val="000A5B1F"/>
    <w:rsid w:val="000A5B3C"/>
    <w:rsid w:val="000A5CC5"/>
    <w:rsid w:val="000A5D63"/>
    <w:rsid w:val="000A5DF8"/>
    <w:rsid w:val="000A5E4E"/>
    <w:rsid w:val="000A5ED0"/>
    <w:rsid w:val="000A5FA1"/>
    <w:rsid w:val="000A5FF7"/>
    <w:rsid w:val="000A60C0"/>
    <w:rsid w:val="000A6274"/>
    <w:rsid w:val="000A62E9"/>
    <w:rsid w:val="000A63F4"/>
    <w:rsid w:val="000A64DD"/>
    <w:rsid w:val="000A64ED"/>
    <w:rsid w:val="000A6566"/>
    <w:rsid w:val="000A65EF"/>
    <w:rsid w:val="000A673B"/>
    <w:rsid w:val="000A6B84"/>
    <w:rsid w:val="000A6BC9"/>
    <w:rsid w:val="000A6CB9"/>
    <w:rsid w:val="000A6ECA"/>
    <w:rsid w:val="000A6F8B"/>
    <w:rsid w:val="000A722F"/>
    <w:rsid w:val="000A7545"/>
    <w:rsid w:val="000A759C"/>
    <w:rsid w:val="000A770E"/>
    <w:rsid w:val="000A774A"/>
    <w:rsid w:val="000A7815"/>
    <w:rsid w:val="000A794F"/>
    <w:rsid w:val="000A7BC9"/>
    <w:rsid w:val="000A7C05"/>
    <w:rsid w:val="000A7C78"/>
    <w:rsid w:val="000A7CB2"/>
    <w:rsid w:val="000A7ED6"/>
    <w:rsid w:val="000B003D"/>
    <w:rsid w:val="000B0121"/>
    <w:rsid w:val="000B0177"/>
    <w:rsid w:val="000B026F"/>
    <w:rsid w:val="000B0379"/>
    <w:rsid w:val="000B0519"/>
    <w:rsid w:val="000B0579"/>
    <w:rsid w:val="000B0609"/>
    <w:rsid w:val="000B0787"/>
    <w:rsid w:val="000B0792"/>
    <w:rsid w:val="000B09E4"/>
    <w:rsid w:val="000B09F9"/>
    <w:rsid w:val="000B0A0B"/>
    <w:rsid w:val="000B0A3D"/>
    <w:rsid w:val="000B0BC6"/>
    <w:rsid w:val="000B0C0F"/>
    <w:rsid w:val="000B0EBC"/>
    <w:rsid w:val="000B11DC"/>
    <w:rsid w:val="000B1220"/>
    <w:rsid w:val="000B1262"/>
    <w:rsid w:val="000B14E2"/>
    <w:rsid w:val="000B1657"/>
    <w:rsid w:val="000B17D9"/>
    <w:rsid w:val="000B17DA"/>
    <w:rsid w:val="000B1859"/>
    <w:rsid w:val="000B19E0"/>
    <w:rsid w:val="000B1AB1"/>
    <w:rsid w:val="000B1ACF"/>
    <w:rsid w:val="000B1BA9"/>
    <w:rsid w:val="000B1C28"/>
    <w:rsid w:val="000B1E8A"/>
    <w:rsid w:val="000B1EDF"/>
    <w:rsid w:val="000B1F06"/>
    <w:rsid w:val="000B20B3"/>
    <w:rsid w:val="000B20B8"/>
    <w:rsid w:val="000B20C8"/>
    <w:rsid w:val="000B21F6"/>
    <w:rsid w:val="000B2341"/>
    <w:rsid w:val="000B24C5"/>
    <w:rsid w:val="000B25CE"/>
    <w:rsid w:val="000B2615"/>
    <w:rsid w:val="000B2618"/>
    <w:rsid w:val="000B27C8"/>
    <w:rsid w:val="000B2854"/>
    <w:rsid w:val="000B2863"/>
    <w:rsid w:val="000B287E"/>
    <w:rsid w:val="000B2A10"/>
    <w:rsid w:val="000B2B52"/>
    <w:rsid w:val="000B2CE3"/>
    <w:rsid w:val="000B2D5A"/>
    <w:rsid w:val="000B2D9D"/>
    <w:rsid w:val="000B2E8B"/>
    <w:rsid w:val="000B2EB4"/>
    <w:rsid w:val="000B2F13"/>
    <w:rsid w:val="000B3016"/>
    <w:rsid w:val="000B3096"/>
    <w:rsid w:val="000B325E"/>
    <w:rsid w:val="000B35B2"/>
    <w:rsid w:val="000B3648"/>
    <w:rsid w:val="000B3757"/>
    <w:rsid w:val="000B37C5"/>
    <w:rsid w:val="000B3864"/>
    <w:rsid w:val="000B39B9"/>
    <w:rsid w:val="000B39E6"/>
    <w:rsid w:val="000B3A20"/>
    <w:rsid w:val="000B3B56"/>
    <w:rsid w:val="000B3BCB"/>
    <w:rsid w:val="000B3C08"/>
    <w:rsid w:val="000B3C38"/>
    <w:rsid w:val="000B3C46"/>
    <w:rsid w:val="000B3C7A"/>
    <w:rsid w:val="000B3C8A"/>
    <w:rsid w:val="000B3D0C"/>
    <w:rsid w:val="000B40C8"/>
    <w:rsid w:val="000B41B4"/>
    <w:rsid w:val="000B4540"/>
    <w:rsid w:val="000B45E9"/>
    <w:rsid w:val="000B4611"/>
    <w:rsid w:val="000B469D"/>
    <w:rsid w:val="000B46F0"/>
    <w:rsid w:val="000B4710"/>
    <w:rsid w:val="000B495D"/>
    <w:rsid w:val="000B4A1C"/>
    <w:rsid w:val="000B4A7D"/>
    <w:rsid w:val="000B4ACF"/>
    <w:rsid w:val="000B4B10"/>
    <w:rsid w:val="000B4BA2"/>
    <w:rsid w:val="000B4DA5"/>
    <w:rsid w:val="000B507D"/>
    <w:rsid w:val="000B51D8"/>
    <w:rsid w:val="000B56A2"/>
    <w:rsid w:val="000B5704"/>
    <w:rsid w:val="000B575D"/>
    <w:rsid w:val="000B587B"/>
    <w:rsid w:val="000B59B7"/>
    <w:rsid w:val="000B5A1F"/>
    <w:rsid w:val="000B5A41"/>
    <w:rsid w:val="000B5B0E"/>
    <w:rsid w:val="000B5C6A"/>
    <w:rsid w:val="000B5D1E"/>
    <w:rsid w:val="000B5D46"/>
    <w:rsid w:val="000B5DF8"/>
    <w:rsid w:val="000B5E89"/>
    <w:rsid w:val="000B5FDF"/>
    <w:rsid w:val="000B60DB"/>
    <w:rsid w:val="000B6129"/>
    <w:rsid w:val="000B6141"/>
    <w:rsid w:val="000B626C"/>
    <w:rsid w:val="000B63A1"/>
    <w:rsid w:val="000B6441"/>
    <w:rsid w:val="000B663E"/>
    <w:rsid w:val="000B666C"/>
    <w:rsid w:val="000B6926"/>
    <w:rsid w:val="000B6969"/>
    <w:rsid w:val="000B69A8"/>
    <w:rsid w:val="000B6A6F"/>
    <w:rsid w:val="000B6C14"/>
    <w:rsid w:val="000B6DB8"/>
    <w:rsid w:val="000B6E4C"/>
    <w:rsid w:val="000B6E68"/>
    <w:rsid w:val="000B6F0B"/>
    <w:rsid w:val="000B6F53"/>
    <w:rsid w:val="000B6FB4"/>
    <w:rsid w:val="000B7013"/>
    <w:rsid w:val="000B70A9"/>
    <w:rsid w:val="000B70B2"/>
    <w:rsid w:val="000B711B"/>
    <w:rsid w:val="000B71B0"/>
    <w:rsid w:val="000B7210"/>
    <w:rsid w:val="000B7280"/>
    <w:rsid w:val="000B7526"/>
    <w:rsid w:val="000B75E3"/>
    <w:rsid w:val="000B769E"/>
    <w:rsid w:val="000B77B5"/>
    <w:rsid w:val="000B780B"/>
    <w:rsid w:val="000B78C7"/>
    <w:rsid w:val="000B7950"/>
    <w:rsid w:val="000B79AD"/>
    <w:rsid w:val="000B7B09"/>
    <w:rsid w:val="000B7C4F"/>
    <w:rsid w:val="000B7EE9"/>
    <w:rsid w:val="000C009D"/>
    <w:rsid w:val="000C00FD"/>
    <w:rsid w:val="000C0103"/>
    <w:rsid w:val="000C0110"/>
    <w:rsid w:val="000C01FD"/>
    <w:rsid w:val="000C021B"/>
    <w:rsid w:val="000C035B"/>
    <w:rsid w:val="000C0392"/>
    <w:rsid w:val="000C049C"/>
    <w:rsid w:val="000C0537"/>
    <w:rsid w:val="000C06A0"/>
    <w:rsid w:val="000C0890"/>
    <w:rsid w:val="000C08A2"/>
    <w:rsid w:val="000C08D0"/>
    <w:rsid w:val="000C0A15"/>
    <w:rsid w:val="000C0B27"/>
    <w:rsid w:val="000C0B49"/>
    <w:rsid w:val="000C0D53"/>
    <w:rsid w:val="000C10A0"/>
    <w:rsid w:val="000C1146"/>
    <w:rsid w:val="000C11DD"/>
    <w:rsid w:val="000C138A"/>
    <w:rsid w:val="000C14A2"/>
    <w:rsid w:val="000C1675"/>
    <w:rsid w:val="000C172F"/>
    <w:rsid w:val="000C1776"/>
    <w:rsid w:val="000C1937"/>
    <w:rsid w:val="000C19F9"/>
    <w:rsid w:val="000C1A0A"/>
    <w:rsid w:val="000C1A32"/>
    <w:rsid w:val="000C1A87"/>
    <w:rsid w:val="000C1B08"/>
    <w:rsid w:val="000C1B29"/>
    <w:rsid w:val="000C1D39"/>
    <w:rsid w:val="000C1E23"/>
    <w:rsid w:val="000C1E80"/>
    <w:rsid w:val="000C1E89"/>
    <w:rsid w:val="000C1F04"/>
    <w:rsid w:val="000C2054"/>
    <w:rsid w:val="000C208F"/>
    <w:rsid w:val="000C2293"/>
    <w:rsid w:val="000C2364"/>
    <w:rsid w:val="000C242D"/>
    <w:rsid w:val="000C24AC"/>
    <w:rsid w:val="000C24D5"/>
    <w:rsid w:val="000C2582"/>
    <w:rsid w:val="000C259C"/>
    <w:rsid w:val="000C2638"/>
    <w:rsid w:val="000C27B5"/>
    <w:rsid w:val="000C28B4"/>
    <w:rsid w:val="000C28B8"/>
    <w:rsid w:val="000C291F"/>
    <w:rsid w:val="000C29CA"/>
    <w:rsid w:val="000C2C2E"/>
    <w:rsid w:val="000C2D16"/>
    <w:rsid w:val="000C2E3F"/>
    <w:rsid w:val="000C2E9B"/>
    <w:rsid w:val="000C2F2B"/>
    <w:rsid w:val="000C2FF5"/>
    <w:rsid w:val="000C30F5"/>
    <w:rsid w:val="000C319D"/>
    <w:rsid w:val="000C3238"/>
    <w:rsid w:val="000C34F8"/>
    <w:rsid w:val="000C3767"/>
    <w:rsid w:val="000C3779"/>
    <w:rsid w:val="000C3826"/>
    <w:rsid w:val="000C3841"/>
    <w:rsid w:val="000C38C2"/>
    <w:rsid w:val="000C3910"/>
    <w:rsid w:val="000C3921"/>
    <w:rsid w:val="000C39C4"/>
    <w:rsid w:val="000C3B18"/>
    <w:rsid w:val="000C3B2B"/>
    <w:rsid w:val="000C3B3D"/>
    <w:rsid w:val="000C3BA3"/>
    <w:rsid w:val="000C3D4D"/>
    <w:rsid w:val="000C40AA"/>
    <w:rsid w:val="000C4136"/>
    <w:rsid w:val="000C419E"/>
    <w:rsid w:val="000C41E4"/>
    <w:rsid w:val="000C4209"/>
    <w:rsid w:val="000C42C9"/>
    <w:rsid w:val="000C4443"/>
    <w:rsid w:val="000C44EA"/>
    <w:rsid w:val="000C4764"/>
    <w:rsid w:val="000C47C3"/>
    <w:rsid w:val="000C47EF"/>
    <w:rsid w:val="000C4893"/>
    <w:rsid w:val="000C48F1"/>
    <w:rsid w:val="000C493B"/>
    <w:rsid w:val="000C4A7F"/>
    <w:rsid w:val="000C4ABE"/>
    <w:rsid w:val="000C4B81"/>
    <w:rsid w:val="000C4BF5"/>
    <w:rsid w:val="000C4C06"/>
    <w:rsid w:val="000C4C66"/>
    <w:rsid w:val="000C4DF1"/>
    <w:rsid w:val="000C4E99"/>
    <w:rsid w:val="000C4E9C"/>
    <w:rsid w:val="000C4ED2"/>
    <w:rsid w:val="000C4F9E"/>
    <w:rsid w:val="000C4FEC"/>
    <w:rsid w:val="000C505A"/>
    <w:rsid w:val="000C50B1"/>
    <w:rsid w:val="000C5391"/>
    <w:rsid w:val="000C54C3"/>
    <w:rsid w:val="000C572C"/>
    <w:rsid w:val="000C5847"/>
    <w:rsid w:val="000C58D0"/>
    <w:rsid w:val="000C590E"/>
    <w:rsid w:val="000C59D7"/>
    <w:rsid w:val="000C5A69"/>
    <w:rsid w:val="000C5D2C"/>
    <w:rsid w:val="000C5DB6"/>
    <w:rsid w:val="000C5EBA"/>
    <w:rsid w:val="000C5F62"/>
    <w:rsid w:val="000C60DD"/>
    <w:rsid w:val="000C6460"/>
    <w:rsid w:val="000C6568"/>
    <w:rsid w:val="000C6574"/>
    <w:rsid w:val="000C6583"/>
    <w:rsid w:val="000C6774"/>
    <w:rsid w:val="000C67C4"/>
    <w:rsid w:val="000C6BC4"/>
    <w:rsid w:val="000C6FA9"/>
    <w:rsid w:val="000C7088"/>
    <w:rsid w:val="000C71C9"/>
    <w:rsid w:val="000C7289"/>
    <w:rsid w:val="000C751A"/>
    <w:rsid w:val="000C7533"/>
    <w:rsid w:val="000C765A"/>
    <w:rsid w:val="000C7661"/>
    <w:rsid w:val="000C76D7"/>
    <w:rsid w:val="000C7A23"/>
    <w:rsid w:val="000C7B2F"/>
    <w:rsid w:val="000C7B3D"/>
    <w:rsid w:val="000C7B98"/>
    <w:rsid w:val="000C7BA6"/>
    <w:rsid w:val="000C7DA0"/>
    <w:rsid w:val="000C7DB5"/>
    <w:rsid w:val="000C7E04"/>
    <w:rsid w:val="000C7EFE"/>
    <w:rsid w:val="000D0001"/>
    <w:rsid w:val="000D0111"/>
    <w:rsid w:val="000D0137"/>
    <w:rsid w:val="000D0179"/>
    <w:rsid w:val="000D0230"/>
    <w:rsid w:val="000D0282"/>
    <w:rsid w:val="000D0288"/>
    <w:rsid w:val="000D03A1"/>
    <w:rsid w:val="000D04E7"/>
    <w:rsid w:val="000D05C2"/>
    <w:rsid w:val="000D0601"/>
    <w:rsid w:val="000D0609"/>
    <w:rsid w:val="000D0745"/>
    <w:rsid w:val="000D08A9"/>
    <w:rsid w:val="000D08E7"/>
    <w:rsid w:val="000D0989"/>
    <w:rsid w:val="000D098C"/>
    <w:rsid w:val="000D0AAB"/>
    <w:rsid w:val="000D0D66"/>
    <w:rsid w:val="000D0E64"/>
    <w:rsid w:val="000D11C8"/>
    <w:rsid w:val="000D11F6"/>
    <w:rsid w:val="000D1272"/>
    <w:rsid w:val="000D12ED"/>
    <w:rsid w:val="000D14B5"/>
    <w:rsid w:val="000D14C3"/>
    <w:rsid w:val="000D14C7"/>
    <w:rsid w:val="000D152E"/>
    <w:rsid w:val="000D176F"/>
    <w:rsid w:val="000D186A"/>
    <w:rsid w:val="000D19B2"/>
    <w:rsid w:val="000D1AB5"/>
    <w:rsid w:val="000D1C11"/>
    <w:rsid w:val="000D1E11"/>
    <w:rsid w:val="000D2050"/>
    <w:rsid w:val="000D20DD"/>
    <w:rsid w:val="000D2207"/>
    <w:rsid w:val="000D2242"/>
    <w:rsid w:val="000D23C7"/>
    <w:rsid w:val="000D24C6"/>
    <w:rsid w:val="000D2521"/>
    <w:rsid w:val="000D253F"/>
    <w:rsid w:val="000D2627"/>
    <w:rsid w:val="000D266F"/>
    <w:rsid w:val="000D2801"/>
    <w:rsid w:val="000D2820"/>
    <w:rsid w:val="000D28B0"/>
    <w:rsid w:val="000D2A17"/>
    <w:rsid w:val="000D2B92"/>
    <w:rsid w:val="000D2E1A"/>
    <w:rsid w:val="000D2E38"/>
    <w:rsid w:val="000D2F62"/>
    <w:rsid w:val="000D302A"/>
    <w:rsid w:val="000D3155"/>
    <w:rsid w:val="000D3243"/>
    <w:rsid w:val="000D32D3"/>
    <w:rsid w:val="000D348A"/>
    <w:rsid w:val="000D34C1"/>
    <w:rsid w:val="000D3532"/>
    <w:rsid w:val="000D35B5"/>
    <w:rsid w:val="000D35D5"/>
    <w:rsid w:val="000D3676"/>
    <w:rsid w:val="000D374A"/>
    <w:rsid w:val="000D3854"/>
    <w:rsid w:val="000D3858"/>
    <w:rsid w:val="000D3A1C"/>
    <w:rsid w:val="000D3ADD"/>
    <w:rsid w:val="000D3B18"/>
    <w:rsid w:val="000D3BC5"/>
    <w:rsid w:val="000D3BCD"/>
    <w:rsid w:val="000D3C0D"/>
    <w:rsid w:val="000D3C24"/>
    <w:rsid w:val="000D3C50"/>
    <w:rsid w:val="000D3DD3"/>
    <w:rsid w:val="000D3EC3"/>
    <w:rsid w:val="000D4072"/>
    <w:rsid w:val="000D4087"/>
    <w:rsid w:val="000D4105"/>
    <w:rsid w:val="000D41D4"/>
    <w:rsid w:val="000D423F"/>
    <w:rsid w:val="000D4346"/>
    <w:rsid w:val="000D4440"/>
    <w:rsid w:val="000D462B"/>
    <w:rsid w:val="000D4702"/>
    <w:rsid w:val="000D4753"/>
    <w:rsid w:val="000D4837"/>
    <w:rsid w:val="000D48C2"/>
    <w:rsid w:val="000D4915"/>
    <w:rsid w:val="000D498F"/>
    <w:rsid w:val="000D4C2A"/>
    <w:rsid w:val="000D4D6F"/>
    <w:rsid w:val="000D4D70"/>
    <w:rsid w:val="000D4DB2"/>
    <w:rsid w:val="000D4FFF"/>
    <w:rsid w:val="000D5056"/>
    <w:rsid w:val="000D508E"/>
    <w:rsid w:val="000D50BA"/>
    <w:rsid w:val="000D511B"/>
    <w:rsid w:val="000D51FB"/>
    <w:rsid w:val="000D5262"/>
    <w:rsid w:val="000D52BA"/>
    <w:rsid w:val="000D5321"/>
    <w:rsid w:val="000D534A"/>
    <w:rsid w:val="000D53A3"/>
    <w:rsid w:val="000D53BF"/>
    <w:rsid w:val="000D5624"/>
    <w:rsid w:val="000D5770"/>
    <w:rsid w:val="000D5981"/>
    <w:rsid w:val="000D5999"/>
    <w:rsid w:val="000D5ACF"/>
    <w:rsid w:val="000D5D17"/>
    <w:rsid w:val="000D5DCE"/>
    <w:rsid w:val="000D614B"/>
    <w:rsid w:val="000D61AA"/>
    <w:rsid w:val="000D627A"/>
    <w:rsid w:val="000D62BB"/>
    <w:rsid w:val="000D6385"/>
    <w:rsid w:val="000D63DF"/>
    <w:rsid w:val="000D652F"/>
    <w:rsid w:val="000D653A"/>
    <w:rsid w:val="000D6774"/>
    <w:rsid w:val="000D67EA"/>
    <w:rsid w:val="000D6AB4"/>
    <w:rsid w:val="000D6BA3"/>
    <w:rsid w:val="000D6BF4"/>
    <w:rsid w:val="000D6C52"/>
    <w:rsid w:val="000D6C8E"/>
    <w:rsid w:val="000D6CA0"/>
    <w:rsid w:val="000D6F38"/>
    <w:rsid w:val="000D7178"/>
    <w:rsid w:val="000D7233"/>
    <w:rsid w:val="000D725B"/>
    <w:rsid w:val="000D73C7"/>
    <w:rsid w:val="000D7412"/>
    <w:rsid w:val="000D75B4"/>
    <w:rsid w:val="000D792F"/>
    <w:rsid w:val="000D7B10"/>
    <w:rsid w:val="000D7D34"/>
    <w:rsid w:val="000D7D89"/>
    <w:rsid w:val="000D7DD9"/>
    <w:rsid w:val="000D7EA1"/>
    <w:rsid w:val="000D7F79"/>
    <w:rsid w:val="000D7FAB"/>
    <w:rsid w:val="000D7FC0"/>
    <w:rsid w:val="000E00E7"/>
    <w:rsid w:val="000E016F"/>
    <w:rsid w:val="000E03BA"/>
    <w:rsid w:val="000E0436"/>
    <w:rsid w:val="000E045D"/>
    <w:rsid w:val="000E055F"/>
    <w:rsid w:val="000E0850"/>
    <w:rsid w:val="000E08E1"/>
    <w:rsid w:val="000E08EF"/>
    <w:rsid w:val="000E0A0D"/>
    <w:rsid w:val="000E0A58"/>
    <w:rsid w:val="000E0ABC"/>
    <w:rsid w:val="000E0AC0"/>
    <w:rsid w:val="000E0B6A"/>
    <w:rsid w:val="000E0D34"/>
    <w:rsid w:val="000E0DE2"/>
    <w:rsid w:val="000E0F08"/>
    <w:rsid w:val="000E1060"/>
    <w:rsid w:val="000E112D"/>
    <w:rsid w:val="000E1169"/>
    <w:rsid w:val="000E12D8"/>
    <w:rsid w:val="000E136F"/>
    <w:rsid w:val="000E15A0"/>
    <w:rsid w:val="000E168D"/>
    <w:rsid w:val="000E1786"/>
    <w:rsid w:val="000E17E3"/>
    <w:rsid w:val="000E1871"/>
    <w:rsid w:val="000E18F3"/>
    <w:rsid w:val="000E1924"/>
    <w:rsid w:val="000E1A37"/>
    <w:rsid w:val="000E1BF0"/>
    <w:rsid w:val="000E1C14"/>
    <w:rsid w:val="000E1D60"/>
    <w:rsid w:val="000E1E88"/>
    <w:rsid w:val="000E1FCA"/>
    <w:rsid w:val="000E2009"/>
    <w:rsid w:val="000E2040"/>
    <w:rsid w:val="000E20BB"/>
    <w:rsid w:val="000E220B"/>
    <w:rsid w:val="000E2416"/>
    <w:rsid w:val="000E2478"/>
    <w:rsid w:val="000E24A4"/>
    <w:rsid w:val="000E291B"/>
    <w:rsid w:val="000E29C3"/>
    <w:rsid w:val="000E2AA7"/>
    <w:rsid w:val="000E2AA9"/>
    <w:rsid w:val="000E2AAD"/>
    <w:rsid w:val="000E2D77"/>
    <w:rsid w:val="000E2EF3"/>
    <w:rsid w:val="000E2FF3"/>
    <w:rsid w:val="000E302D"/>
    <w:rsid w:val="000E31C2"/>
    <w:rsid w:val="000E31E7"/>
    <w:rsid w:val="000E31EE"/>
    <w:rsid w:val="000E3289"/>
    <w:rsid w:val="000E33F6"/>
    <w:rsid w:val="000E340B"/>
    <w:rsid w:val="000E340C"/>
    <w:rsid w:val="000E3768"/>
    <w:rsid w:val="000E37D7"/>
    <w:rsid w:val="000E380B"/>
    <w:rsid w:val="000E38F9"/>
    <w:rsid w:val="000E390A"/>
    <w:rsid w:val="000E3A89"/>
    <w:rsid w:val="000E3DCA"/>
    <w:rsid w:val="000E3DDF"/>
    <w:rsid w:val="000E3FA1"/>
    <w:rsid w:val="000E3FBD"/>
    <w:rsid w:val="000E409E"/>
    <w:rsid w:val="000E40C2"/>
    <w:rsid w:val="000E410E"/>
    <w:rsid w:val="000E414A"/>
    <w:rsid w:val="000E4329"/>
    <w:rsid w:val="000E43C2"/>
    <w:rsid w:val="000E457F"/>
    <w:rsid w:val="000E46A1"/>
    <w:rsid w:val="000E4737"/>
    <w:rsid w:val="000E4787"/>
    <w:rsid w:val="000E4858"/>
    <w:rsid w:val="000E48FF"/>
    <w:rsid w:val="000E4954"/>
    <w:rsid w:val="000E4A38"/>
    <w:rsid w:val="000E4B6D"/>
    <w:rsid w:val="000E4C2B"/>
    <w:rsid w:val="000E4C71"/>
    <w:rsid w:val="000E4D81"/>
    <w:rsid w:val="000E4DB9"/>
    <w:rsid w:val="000E5080"/>
    <w:rsid w:val="000E5092"/>
    <w:rsid w:val="000E50D2"/>
    <w:rsid w:val="000E51C4"/>
    <w:rsid w:val="000E5240"/>
    <w:rsid w:val="000E5426"/>
    <w:rsid w:val="000E55BD"/>
    <w:rsid w:val="000E5602"/>
    <w:rsid w:val="000E5661"/>
    <w:rsid w:val="000E573A"/>
    <w:rsid w:val="000E579D"/>
    <w:rsid w:val="000E5808"/>
    <w:rsid w:val="000E5864"/>
    <w:rsid w:val="000E5935"/>
    <w:rsid w:val="000E59F6"/>
    <w:rsid w:val="000E5A35"/>
    <w:rsid w:val="000E5A5D"/>
    <w:rsid w:val="000E5CD8"/>
    <w:rsid w:val="000E5E3F"/>
    <w:rsid w:val="000E5EB7"/>
    <w:rsid w:val="000E5F91"/>
    <w:rsid w:val="000E5F95"/>
    <w:rsid w:val="000E606F"/>
    <w:rsid w:val="000E6218"/>
    <w:rsid w:val="000E62AF"/>
    <w:rsid w:val="000E6456"/>
    <w:rsid w:val="000E645F"/>
    <w:rsid w:val="000E65FA"/>
    <w:rsid w:val="000E6686"/>
    <w:rsid w:val="000E6687"/>
    <w:rsid w:val="000E673C"/>
    <w:rsid w:val="000E6860"/>
    <w:rsid w:val="000E69C5"/>
    <w:rsid w:val="000E6A00"/>
    <w:rsid w:val="000E6D2F"/>
    <w:rsid w:val="000E6EF3"/>
    <w:rsid w:val="000E6F93"/>
    <w:rsid w:val="000E6FB9"/>
    <w:rsid w:val="000E709E"/>
    <w:rsid w:val="000E726C"/>
    <w:rsid w:val="000E72BC"/>
    <w:rsid w:val="000E72DC"/>
    <w:rsid w:val="000E745F"/>
    <w:rsid w:val="000E7516"/>
    <w:rsid w:val="000E75F0"/>
    <w:rsid w:val="000E76B1"/>
    <w:rsid w:val="000E785C"/>
    <w:rsid w:val="000E7B97"/>
    <w:rsid w:val="000E7CDD"/>
    <w:rsid w:val="000E7CF9"/>
    <w:rsid w:val="000E7D8F"/>
    <w:rsid w:val="000E7DCE"/>
    <w:rsid w:val="000E7DE6"/>
    <w:rsid w:val="000F01FA"/>
    <w:rsid w:val="000F0269"/>
    <w:rsid w:val="000F0337"/>
    <w:rsid w:val="000F048D"/>
    <w:rsid w:val="000F088F"/>
    <w:rsid w:val="000F08D0"/>
    <w:rsid w:val="000F0930"/>
    <w:rsid w:val="000F0C83"/>
    <w:rsid w:val="000F0C8D"/>
    <w:rsid w:val="000F0E9E"/>
    <w:rsid w:val="000F0FF3"/>
    <w:rsid w:val="000F1049"/>
    <w:rsid w:val="000F1248"/>
    <w:rsid w:val="000F14FD"/>
    <w:rsid w:val="000F15AB"/>
    <w:rsid w:val="000F1704"/>
    <w:rsid w:val="000F1753"/>
    <w:rsid w:val="000F179E"/>
    <w:rsid w:val="000F17A8"/>
    <w:rsid w:val="000F1C24"/>
    <w:rsid w:val="000F1CD0"/>
    <w:rsid w:val="000F1D28"/>
    <w:rsid w:val="000F2188"/>
    <w:rsid w:val="000F233C"/>
    <w:rsid w:val="000F2366"/>
    <w:rsid w:val="000F2416"/>
    <w:rsid w:val="000F2513"/>
    <w:rsid w:val="000F2595"/>
    <w:rsid w:val="000F25E4"/>
    <w:rsid w:val="000F262C"/>
    <w:rsid w:val="000F26CF"/>
    <w:rsid w:val="000F26FA"/>
    <w:rsid w:val="000F26FF"/>
    <w:rsid w:val="000F2882"/>
    <w:rsid w:val="000F28B5"/>
    <w:rsid w:val="000F290D"/>
    <w:rsid w:val="000F2C47"/>
    <w:rsid w:val="000F2F3C"/>
    <w:rsid w:val="000F2F46"/>
    <w:rsid w:val="000F3123"/>
    <w:rsid w:val="000F317B"/>
    <w:rsid w:val="000F32D0"/>
    <w:rsid w:val="000F349C"/>
    <w:rsid w:val="000F3759"/>
    <w:rsid w:val="000F397E"/>
    <w:rsid w:val="000F3987"/>
    <w:rsid w:val="000F3A60"/>
    <w:rsid w:val="000F3A77"/>
    <w:rsid w:val="000F3B1D"/>
    <w:rsid w:val="000F3BEF"/>
    <w:rsid w:val="000F3D26"/>
    <w:rsid w:val="000F3D7A"/>
    <w:rsid w:val="000F3D80"/>
    <w:rsid w:val="000F3DD4"/>
    <w:rsid w:val="000F3DF2"/>
    <w:rsid w:val="000F3ED6"/>
    <w:rsid w:val="000F3F16"/>
    <w:rsid w:val="000F3F8E"/>
    <w:rsid w:val="000F3FC3"/>
    <w:rsid w:val="000F3FD0"/>
    <w:rsid w:val="000F4024"/>
    <w:rsid w:val="000F4070"/>
    <w:rsid w:val="000F4098"/>
    <w:rsid w:val="000F411B"/>
    <w:rsid w:val="000F4135"/>
    <w:rsid w:val="000F446A"/>
    <w:rsid w:val="000F446D"/>
    <w:rsid w:val="000F44BE"/>
    <w:rsid w:val="000F44D7"/>
    <w:rsid w:val="000F4563"/>
    <w:rsid w:val="000F4608"/>
    <w:rsid w:val="000F463A"/>
    <w:rsid w:val="000F468E"/>
    <w:rsid w:val="000F47DB"/>
    <w:rsid w:val="000F486C"/>
    <w:rsid w:val="000F4943"/>
    <w:rsid w:val="000F49CC"/>
    <w:rsid w:val="000F4A58"/>
    <w:rsid w:val="000F4C53"/>
    <w:rsid w:val="000F4DC5"/>
    <w:rsid w:val="000F4E8E"/>
    <w:rsid w:val="000F4EAC"/>
    <w:rsid w:val="000F5076"/>
    <w:rsid w:val="000F50DC"/>
    <w:rsid w:val="000F522D"/>
    <w:rsid w:val="000F5357"/>
    <w:rsid w:val="000F53B8"/>
    <w:rsid w:val="000F540E"/>
    <w:rsid w:val="000F5528"/>
    <w:rsid w:val="000F57FE"/>
    <w:rsid w:val="000F586C"/>
    <w:rsid w:val="000F5936"/>
    <w:rsid w:val="000F5A76"/>
    <w:rsid w:val="000F5B5E"/>
    <w:rsid w:val="000F5B79"/>
    <w:rsid w:val="000F5D4C"/>
    <w:rsid w:val="000F5FC6"/>
    <w:rsid w:val="000F5FC7"/>
    <w:rsid w:val="000F6071"/>
    <w:rsid w:val="000F60DB"/>
    <w:rsid w:val="000F60F0"/>
    <w:rsid w:val="000F623D"/>
    <w:rsid w:val="000F6312"/>
    <w:rsid w:val="000F6339"/>
    <w:rsid w:val="000F645E"/>
    <w:rsid w:val="000F6522"/>
    <w:rsid w:val="000F66E8"/>
    <w:rsid w:val="000F671C"/>
    <w:rsid w:val="000F6890"/>
    <w:rsid w:val="000F68AE"/>
    <w:rsid w:val="000F68E6"/>
    <w:rsid w:val="000F6A63"/>
    <w:rsid w:val="000F6A9B"/>
    <w:rsid w:val="000F6AD1"/>
    <w:rsid w:val="000F6AED"/>
    <w:rsid w:val="000F6AF4"/>
    <w:rsid w:val="000F6AFA"/>
    <w:rsid w:val="000F6B1D"/>
    <w:rsid w:val="000F6BFA"/>
    <w:rsid w:val="000F6DB9"/>
    <w:rsid w:val="000F6F2C"/>
    <w:rsid w:val="000F6F2F"/>
    <w:rsid w:val="000F6F4F"/>
    <w:rsid w:val="000F6F72"/>
    <w:rsid w:val="000F6F90"/>
    <w:rsid w:val="000F7019"/>
    <w:rsid w:val="000F7033"/>
    <w:rsid w:val="000F70E9"/>
    <w:rsid w:val="000F71E2"/>
    <w:rsid w:val="000F72BB"/>
    <w:rsid w:val="000F739E"/>
    <w:rsid w:val="000F756B"/>
    <w:rsid w:val="000F75F0"/>
    <w:rsid w:val="000F762D"/>
    <w:rsid w:val="000F7686"/>
    <w:rsid w:val="000F774D"/>
    <w:rsid w:val="000F7778"/>
    <w:rsid w:val="000F7832"/>
    <w:rsid w:val="000F78BE"/>
    <w:rsid w:val="000F78DB"/>
    <w:rsid w:val="000F7907"/>
    <w:rsid w:val="000F7947"/>
    <w:rsid w:val="000F7AB5"/>
    <w:rsid w:val="000F7ABC"/>
    <w:rsid w:val="000F7BB3"/>
    <w:rsid w:val="000F7D05"/>
    <w:rsid w:val="000F7D2C"/>
    <w:rsid w:val="000F7D52"/>
    <w:rsid w:val="000F7DCF"/>
    <w:rsid w:val="000F7E9C"/>
    <w:rsid w:val="000F7EAB"/>
    <w:rsid w:val="000F7F2C"/>
    <w:rsid w:val="000F7F46"/>
    <w:rsid w:val="000F7F92"/>
    <w:rsid w:val="00100124"/>
    <w:rsid w:val="001001A7"/>
    <w:rsid w:val="001001F4"/>
    <w:rsid w:val="00100451"/>
    <w:rsid w:val="00100494"/>
    <w:rsid w:val="001004A3"/>
    <w:rsid w:val="001004B8"/>
    <w:rsid w:val="0010077E"/>
    <w:rsid w:val="0010079D"/>
    <w:rsid w:val="001007A8"/>
    <w:rsid w:val="0010083E"/>
    <w:rsid w:val="00100869"/>
    <w:rsid w:val="00100888"/>
    <w:rsid w:val="001008FE"/>
    <w:rsid w:val="00100A45"/>
    <w:rsid w:val="00100ABF"/>
    <w:rsid w:val="00100AF7"/>
    <w:rsid w:val="00100BB1"/>
    <w:rsid w:val="00100CFD"/>
    <w:rsid w:val="00100D33"/>
    <w:rsid w:val="001010CD"/>
    <w:rsid w:val="00101183"/>
    <w:rsid w:val="001011A4"/>
    <w:rsid w:val="00101351"/>
    <w:rsid w:val="00101393"/>
    <w:rsid w:val="001014AB"/>
    <w:rsid w:val="00101689"/>
    <w:rsid w:val="001017D4"/>
    <w:rsid w:val="00101834"/>
    <w:rsid w:val="00101A24"/>
    <w:rsid w:val="00101AA1"/>
    <w:rsid w:val="00101B98"/>
    <w:rsid w:val="00101CB4"/>
    <w:rsid w:val="00101EDC"/>
    <w:rsid w:val="00101F9C"/>
    <w:rsid w:val="001020D8"/>
    <w:rsid w:val="001020FE"/>
    <w:rsid w:val="00102212"/>
    <w:rsid w:val="00102251"/>
    <w:rsid w:val="00102360"/>
    <w:rsid w:val="001023A9"/>
    <w:rsid w:val="001026A4"/>
    <w:rsid w:val="001026F5"/>
    <w:rsid w:val="0010295C"/>
    <w:rsid w:val="00102B38"/>
    <w:rsid w:val="00102B90"/>
    <w:rsid w:val="00102E63"/>
    <w:rsid w:val="00102EB1"/>
    <w:rsid w:val="00102EED"/>
    <w:rsid w:val="00102F17"/>
    <w:rsid w:val="00102FEC"/>
    <w:rsid w:val="00102FFB"/>
    <w:rsid w:val="00103007"/>
    <w:rsid w:val="001030FB"/>
    <w:rsid w:val="001031E8"/>
    <w:rsid w:val="00103205"/>
    <w:rsid w:val="001032B9"/>
    <w:rsid w:val="00103503"/>
    <w:rsid w:val="00103586"/>
    <w:rsid w:val="001035DA"/>
    <w:rsid w:val="00103622"/>
    <w:rsid w:val="001036EC"/>
    <w:rsid w:val="001038B5"/>
    <w:rsid w:val="001038F7"/>
    <w:rsid w:val="00103B07"/>
    <w:rsid w:val="00103C2C"/>
    <w:rsid w:val="00103C5A"/>
    <w:rsid w:val="00103D27"/>
    <w:rsid w:val="00103DBD"/>
    <w:rsid w:val="00103DDF"/>
    <w:rsid w:val="00103EC0"/>
    <w:rsid w:val="0010409A"/>
    <w:rsid w:val="001040AE"/>
    <w:rsid w:val="001041A9"/>
    <w:rsid w:val="001041C2"/>
    <w:rsid w:val="001042C3"/>
    <w:rsid w:val="0010436B"/>
    <w:rsid w:val="00104377"/>
    <w:rsid w:val="001044E2"/>
    <w:rsid w:val="0010459A"/>
    <w:rsid w:val="001046D5"/>
    <w:rsid w:val="00104743"/>
    <w:rsid w:val="00104748"/>
    <w:rsid w:val="001047D0"/>
    <w:rsid w:val="001047DE"/>
    <w:rsid w:val="00104B0E"/>
    <w:rsid w:val="00104DF4"/>
    <w:rsid w:val="00104E87"/>
    <w:rsid w:val="00104F20"/>
    <w:rsid w:val="00104FFD"/>
    <w:rsid w:val="00105036"/>
    <w:rsid w:val="00105039"/>
    <w:rsid w:val="0010503D"/>
    <w:rsid w:val="001051C4"/>
    <w:rsid w:val="001051D7"/>
    <w:rsid w:val="00105260"/>
    <w:rsid w:val="001054F2"/>
    <w:rsid w:val="001055AF"/>
    <w:rsid w:val="00105A2A"/>
    <w:rsid w:val="00105D0A"/>
    <w:rsid w:val="00105D49"/>
    <w:rsid w:val="00105DA8"/>
    <w:rsid w:val="00105DCD"/>
    <w:rsid w:val="00105EE7"/>
    <w:rsid w:val="00106045"/>
    <w:rsid w:val="001062D6"/>
    <w:rsid w:val="0010638B"/>
    <w:rsid w:val="001063B4"/>
    <w:rsid w:val="00106403"/>
    <w:rsid w:val="001064F7"/>
    <w:rsid w:val="0010673E"/>
    <w:rsid w:val="00106862"/>
    <w:rsid w:val="00106863"/>
    <w:rsid w:val="0010692B"/>
    <w:rsid w:val="0010699A"/>
    <w:rsid w:val="00106A48"/>
    <w:rsid w:val="00106A76"/>
    <w:rsid w:val="00106B3B"/>
    <w:rsid w:val="00106BCB"/>
    <w:rsid w:val="00106D0B"/>
    <w:rsid w:val="00106D13"/>
    <w:rsid w:val="001070D4"/>
    <w:rsid w:val="001070EA"/>
    <w:rsid w:val="00107318"/>
    <w:rsid w:val="00107379"/>
    <w:rsid w:val="00107384"/>
    <w:rsid w:val="001073B6"/>
    <w:rsid w:val="001074A0"/>
    <w:rsid w:val="001074BF"/>
    <w:rsid w:val="001076FD"/>
    <w:rsid w:val="00107798"/>
    <w:rsid w:val="00107862"/>
    <w:rsid w:val="00107A11"/>
    <w:rsid w:val="00107DE1"/>
    <w:rsid w:val="00107E68"/>
    <w:rsid w:val="0011000F"/>
    <w:rsid w:val="001101E2"/>
    <w:rsid w:val="0011022D"/>
    <w:rsid w:val="0011043D"/>
    <w:rsid w:val="00110509"/>
    <w:rsid w:val="00110581"/>
    <w:rsid w:val="001106CD"/>
    <w:rsid w:val="00110897"/>
    <w:rsid w:val="00110A6D"/>
    <w:rsid w:val="00110AC0"/>
    <w:rsid w:val="00110AC8"/>
    <w:rsid w:val="00110AFD"/>
    <w:rsid w:val="00110B79"/>
    <w:rsid w:val="00110CAE"/>
    <w:rsid w:val="00110D1C"/>
    <w:rsid w:val="00110DE8"/>
    <w:rsid w:val="00110E40"/>
    <w:rsid w:val="00110E4B"/>
    <w:rsid w:val="00110E78"/>
    <w:rsid w:val="00110EA3"/>
    <w:rsid w:val="00110F25"/>
    <w:rsid w:val="00110F2F"/>
    <w:rsid w:val="001110DE"/>
    <w:rsid w:val="00111435"/>
    <w:rsid w:val="0011150E"/>
    <w:rsid w:val="001115BD"/>
    <w:rsid w:val="0011168B"/>
    <w:rsid w:val="00111705"/>
    <w:rsid w:val="001117F7"/>
    <w:rsid w:val="00111895"/>
    <w:rsid w:val="00111C4F"/>
    <w:rsid w:val="00111CC4"/>
    <w:rsid w:val="00111CEB"/>
    <w:rsid w:val="00111D4B"/>
    <w:rsid w:val="00111E13"/>
    <w:rsid w:val="00111E1A"/>
    <w:rsid w:val="00112230"/>
    <w:rsid w:val="00112233"/>
    <w:rsid w:val="00112492"/>
    <w:rsid w:val="00112560"/>
    <w:rsid w:val="0011257D"/>
    <w:rsid w:val="00112600"/>
    <w:rsid w:val="00112672"/>
    <w:rsid w:val="001126A1"/>
    <w:rsid w:val="001126F3"/>
    <w:rsid w:val="00112711"/>
    <w:rsid w:val="001129F2"/>
    <w:rsid w:val="00112B7E"/>
    <w:rsid w:val="00112BCB"/>
    <w:rsid w:val="0011305B"/>
    <w:rsid w:val="001130E2"/>
    <w:rsid w:val="001134BB"/>
    <w:rsid w:val="001134F9"/>
    <w:rsid w:val="001136CA"/>
    <w:rsid w:val="00113853"/>
    <w:rsid w:val="00113954"/>
    <w:rsid w:val="00113956"/>
    <w:rsid w:val="00113CD9"/>
    <w:rsid w:val="00113CE0"/>
    <w:rsid w:val="00113E74"/>
    <w:rsid w:val="00113EF1"/>
    <w:rsid w:val="00113F39"/>
    <w:rsid w:val="00114004"/>
    <w:rsid w:val="00114038"/>
    <w:rsid w:val="001140FD"/>
    <w:rsid w:val="001141AF"/>
    <w:rsid w:val="00114299"/>
    <w:rsid w:val="001142B9"/>
    <w:rsid w:val="00114352"/>
    <w:rsid w:val="00114498"/>
    <w:rsid w:val="001145BD"/>
    <w:rsid w:val="001145D8"/>
    <w:rsid w:val="00114666"/>
    <w:rsid w:val="001146B3"/>
    <w:rsid w:val="001147C8"/>
    <w:rsid w:val="0011490E"/>
    <w:rsid w:val="0011491B"/>
    <w:rsid w:val="00114B22"/>
    <w:rsid w:val="00115120"/>
    <w:rsid w:val="00115228"/>
    <w:rsid w:val="00115455"/>
    <w:rsid w:val="00115465"/>
    <w:rsid w:val="001154A4"/>
    <w:rsid w:val="00115865"/>
    <w:rsid w:val="0011588C"/>
    <w:rsid w:val="001158E0"/>
    <w:rsid w:val="00115962"/>
    <w:rsid w:val="001159C7"/>
    <w:rsid w:val="00115BFC"/>
    <w:rsid w:val="00115BFD"/>
    <w:rsid w:val="00115D93"/>
    <w:rsid w:val="00115E0A"/>
    <w:rsid w:val="00115E46"/>
    <w:rsid w:val="00115F6B"/>
    <w:rsid w:val="00115FA3"/>
    <w:rsid w:val="0011635B"/>
    <w:rsid w:val="001163D1"/>
    <w:rsid w:val="0011646D"/>
    <w:rsid w:val="001165CA"/>
    <w:rsid w:val="0011660C"/>
    <w:rsid w:val="001166BE"/>
    <w:rsid w:val="001166FB"/>
    <w:rsid w:val="0011685D"/>
    <w:rsid w:val="0011685E"/>
    <w:rsid w:val="0011692B"/>
    <w:rsid w:val="00116935"/>
    <w:rsid w:val="001169E0"/>
    <w:rsid w:val="00116A88"/>
    <w:rsid w:val="00116C15"/>
    <w:rsid w:val="00116E65"/>
    <w:rsid w:val="00116FD2"/>
    <w:rsid w:val="0011709A"/>
    <w:rsid w:val="0011709F"/>
    <w:rsid w:val="001170D0"/>
    <w:rsid w:val="00117125"/>
    <w:rsid w:val="001171FE"/>
    <w:rsid w:val="001172D7"/>
    <w:rsid w:val="00117328"/>
    <w:rsid w:val="00117357"/>
    <w:rsid w:val="00117473"/>
    <w:rsid w:val="001175B5"/>
    <w:rsid w:val="0011780A"/>
    <w:rsid w:val="0011781C"/>
    <w:rsid w:val="0011792A"/>
    <w:rsid w:val="00117955"/>
    <w:rsid w:val="001179F8"/>
    <w:rsid w:val="00117A67"/>
    <w:rsid w:val="00117A90"/>
    <w:rsid w:val="00117B56"/>
    <w:rsid w:val="00117BBC"/>
    <w:rsid w:val="00117CD8"/>
    <w:rsid w:val="00117D66"/>
    <w:rsid w:val="00117FFB"/>
    <w:rsid w:val="00120216"/>
    <w:rsid w:val="0012044B"/>
    <w:rsid w:val="001204BE"/>
    <w:rsid w:val="001204C6"/>
    <w:rsid w:val="00120591"/>
    <w:rsid w:val="00120732"/>
    <w:rsid w:val="0012083D"/>
    <w:rsid w:val="00120964"/>
    <w:rsid w:val="001209BD"/>
    <w:rsid w:val="00120A9C"/>
    <w:rsid w:val="00120AC3"/>
    <w:rsid w:val="00120B71"/>
    <w:rsid w:val="00120C14"/>
    <w:rsid w:val="00120D0C"/>
    <w:rsid w:val="00120F18"/>
    <w:rsid w:val="00121239"/>
    <w:rsid w:val="00121247"/>
    <w:rsid w:val="00121256"/>
    <w:rsid w:val="0012128F"/>
    <w:rsid w:val="001212C3"/>
    <w:rsid w:val="00121489"/>
    <w:rsid w:val="00121545"/>
    <w:rsid w:val="00121605"/>
    <w:rsid w:val="0012161B"/>
    <w:rsid w:val="00121752"/>
    <w:rsid w:val="00121770"/>
    <w:rsid w:val="00121895"/>
    <w:rsid w:val="001219A0"/>
    <w:rsid w:val="00121C8C"/>
    <w:rsid w:val="00121D8A"/>
    <w:rsid w:val="00121E69"/>
    <w:rsid w:val="00121F91"/>
    <w:rsid w:val="00121FFD"/>
    <w:rsid w:val="00122016"/>
    <w:rsid w:val="00122390"/>
    <w:rsid w:val="001223A1"/>
    <w:rsid w:val="001224A8"/>
    <w:rsid w:val="00122650"/>
    <w:rsid w:val="00122832"/>
    <w:rsid w:val="0012296A"/>
    <w:rsid w:val="0012298E"/>
    <w:rsid w:val="00122A40"/>
    <w:rsid w:val="00122AA0"/>
    <w:rsid w:val="00122B18"/>
    <w:rsid w:val="00122B83"/>
    <w:rsid w:val="00122BA6"/>
    <w:rsid w:val="00122BFE"/>
    <w:rsid w:val="00122D57"/>
    <w:rsid w:val="00122DCC"/>
    <w:rsid w:val="00122DCD"/>
    <w:rsid w:val="00122E43"/>
    <w:rsid w:val="00123016"/>
    <w:rsid w:val="001230C4"/>
    <w:rsid w:val="00123115"/>
    <w:rsid w:val="001234C8"/>
    <w:rsid w:val="001235C6"/>
    <w:rsid w:val="001236B3"/>
    <w:rsid w:val="00123703"/>
    <w:rsid w:val="00123815"/>
    <w:rsid w:val="0012381D"/>
    <w:rsid w:val="0012389C"/>
    <w:rsid w:val="00123916"/>
    <w:rsid w:val="00123A06"/>
    <w:rsid w:val="00123A28"/>
    <w:rsid w:val="00123AAC"/>
    <w:rsid w:val="00123B01"/>
    <w:rsid w:val="00123B27"/>
    <w:rsid w:val="00123CE7"/>
    <w:rsid w:val="00124150"/>
    <w:rsid w:val="00124193"/>
    <w:rsid w:val="001241AE"/>
    <w:rsid w:val="001241CA"/>
    <w:rsid w:val="001241FB"/>
    <w:rsid w:val="0012436F"/>
    <w:rsid w:val="001244C1"/>
    <w:rsid w:val="00124601"/>
    <w:rsid w:val="001247E1"/>
    <w:rsid w:val="0012495D"/>
    <w:rsid w:val="00124A23"/>
    <w:rsid w:val="00124AD4"/>
    <w:rsid w:val="00124C30"/>
    <w:rsid w:val="00124C70"/>
    <w:rsid w:val="00124D05"/>
    <w:rsid w:val="00124D44"/>
    <w:rsid w:val="00124E69"/>
    <w:rsid w:val="001251A7"/>
    <w:rsid w:val="0012537C"/>
    <w:rsid w:val="00125431"/>
    <w:rsid w:val="001254B5"/>
    <w:rsid w:val="001255B6"/>
    <w:rsid w:val="001255E9"/>
    <w:rsid w:val="0012564A"/>
    <w:rsid w:val="001256C3"/>
    <w:rsid w:val="0012596D"/>
    <w:rsid w:val="00125A0D"/>
    <w:rsid w:val="00125A9E"/>
    <w:rsid w:val="00125B87"/>
    <w:rsid w:val="00125C06"/>
    <w:rsid w:val="00125D03"/>
    <w:rsid w:val="00125D31"/>
    <w:rsid w:val="00125E4D"/>
    <w:rsid w:val="00125ED8"/>
    <w:rsid w:val="00126011"/>
    <w:rsid w:val="001261E3"/>
    <w:rsid w:val="00126368"/>
    <w:rsid w:val="00126415"/>
    <w:rsid w:val="001264D5"/>
    <w:rsid w:val="0012666C"/>
    <w:rsid w:val="001266A3"/>
    <w:rsid w:val="0012670B"/>
    <w:rsid w:val="00126827"/>
    <w:rsid w:val="0012682A"/>
    <w:rsid w:val="00126834"/>
    <w:rsid w:val="00126C23"/>
    <w:rsid w:val="00126CDD"/>
    <w:rsid w:val="00126E09"/>
    <w:rsid w:val="00126E5E"/>
    <w:rsid w:val="001270A3"/>
    <w:rsid w:val="001271EB"/>
    <w:rsid w:val="001272B2"/>
    <w:rsid w:val="00127455"/>
    <w:rsid w:val="001274EB"/>
    <w:rsid w:val="00127574"/>
    <w:rsid w:val="00127631"/>
    <w:rsid w:val="00127835"/>
    <w:rsid w:val="001278B8"/>
    <w:rsid w:val="001278D4"/>
    <w:rsid w:val="001278DF"/>
    <w:rsid w:val="00127951"/>
    <w:rsid w:val="001279B8"/>
    <w:rsid w:val="00127A17"/>
    <w:rsid w:val="00127D27"/>
    <w:rsid w:val="00127D71"/>
    <w:rsid w:val="00127D90"/>
    <w:rsid w:val="00127DE7"/>
    <w:rsid w:val="00127E5A"/>
    <w:rsid w:val="00127E7E"/>
    <w:rsid w:val="00127F6C"/>
    <w:rsid w:val="00127FAA"/>
    <w:rsid w:val="00130144"/>
    <w:rsid w:val="00130148"/>
    <w:rsid w:val="00130159"/>
    <w:rsid w:val="001301F4"/>
    <w:rsid w:val="00130228"/>
    <w:rsid w:val="0013023F"/>
    <w:rsid w:val="001303B7"/>
    <w:rsid w:val="001303F1"/>
    <w:rsid w:val="00130445"/>
    <w:rsid w:val="00130521"/>
    <w:rsid w:val="001306C9"/>
    <w:rsid w:val="001306DA"/>
    <w:rsid w:val="001307CD"/>
    <w:rsid w:val="001308D9"/>
    <w:rsid w:val="001308F0"/>
    <w:rsid w:val="00130ABB"/>
    <w:rsid w:val="00130B51"/>
    <w:rsid w:val="00130BEB"/>
    <w:rsid w:val="00130E40"/>
    <w:rsid w:val="00130E76"/>
    <w:rsid w:val="00130E8B"/>
    <w:rsid w:val="001310DD"/>
    <w:rsid w:val="00131145"/>
    <w:rsid w:val="00131150"/>
    <w:rsid w:val="001311A1"/>
    <w:rsid w:val="0013146D"/>
    <w:rsid w:val="001315AF"/>
    <w:rsid w:val="00131655"/>
    <w:rsid w:val="00131659"/>
    <w:rsid w:val="0013166C"/>
    <w:rsid w:val="00131820"/>
    <w:rsid w:val="001318A8"/>
    <w:rsid w:val="0013193C"/>
    <w:rsid w:val="00131957"/>
    <w:rsid w:val="00131958"/>
    <w:rsid w:val="001319A4"/>
    <w:rsid w:val="00131A71"/>
    <w:rsid w:val="00131C11"/>
    <w:rsid w:val="00131C9E"/>
    <w:rsid w:val="00131CBC"/>
    <w:rsid w:val="00131DF2"/>
    <w:rsid w:val="00132034"/>
    <w:rsid w:val="0013206F"/>
    <w:rsid w:val="001320AB"/>
    <w:rsid w:val="001320EA"/>
    <w:rsid w:val="001321A2"/>
    <w:rsid w:val="001322B9"/>
    <w:rsid w:val="00132609"/>
    <w:rsid w:val="0013268C"/>
    <w:rsid w:val="001326AA"/>
    <w:rsid w:val="001326B1"/>
    <w:rsid w:val="001327A0"/>
    <w:rsid w:val="00132811"/>
    <w:rsid w:val="001328B8"/>
    <w:rsid w:val="001328F2"/>
    <w:rsid w:val="00132AE9"/>
    <w:rsid w:val="00132B01"/>
    <w:rsid w:val="00132C5B"/>
    <w:rsid w:val="00132ED3"/>
    <w:rsid w:val="00132F12"/>
    <w:rsid w:val="00132F6F"/>
    <w:rsid w:val="0013304A"/>
    <w:rsid w:val="00133056"/>
    <w:rsid w:val="0013309F"/>
    <w:rsid w:val="001332A2"/>
    <w:rsid w:val="001332B9"/>
    <w:rsid w:val="00133315"/>
    <w:rsid w:val="0013357F"/>
    <w:rsid w:val="00133AEE"/>
    <w:rsid w:val="00133B8A"/>
    <w:rsid w:val="00133C1C"/>
    <w:rsid w:val="00133C69"/>
    <w:rsid w:val="00133DC6"/>
    <w:rsid w:val="00133EAC"/>
    <w:rsid w:val="00133ED7"/>
    <w:rsid w:val="00133FF8"/>
    <w:rsid w:val="00134108"/>
    <w:rsid w:val="00134160"/>
    <w:rsid w:val="001341B1"/>
    <w:rsid w:val="00134322"/>
    <w:rsid w:val="00134372"/>
    <w:rsid w:val="00134517"/>
    <w:rsid w:val="0013452F"/>
    <w:rsid w:val="001345F6"/>
    <w:rsid w:val="001346F2"/>
    <w:rsid w:val="0013479E"/>
    <w:rsid w:val="00134947"/>
    <w:rsid w:val="00134BB5"/>
    <w:rsid w:val="00134D66"/>
    <w:rsid w:val="00134E5C"/>
    <w:rsid w:val="00134E73"/>
    <w:rsid w:val="0013511F"/>
    <w:rsid w:val="001351CE"/>
    <w:rsid w:val="00135325"/>
    <w:rsid w:val="00135372"/>
    <w:rsid w:val="00135396"/>
    <w:rsid w:val="001353A5"/>
    <w:rsid w:val="001353FC"/>
    <w:rsid w:val="0013540E"/>
    <w:rsid w:val="0013546F"/>
    <w:rsid w:val="00135497"/>
    <w:rsid w:val="001354CE"/>
    <w:rsid w:val="001354FE"/>
    <w:rsid w:val="001355FA"/>
    <w:rsid w:val="001358E5"/>
    <w:rsid w:val="00135BB7"/>
    <w:rsid w:val="00135E59"/>
    <w:rsid w:val="00135F1C"/>
    <w:rsid w:val="00136028"/>
    <w:rsid w:val="00136069"/>
    <w:rsid w:val="001360FE"/>
    <w:rsid w:val="001361DF"/>
    <w:rsid w:val="00136233"/>
    <w:rsid w:val="00136530"/>
    <w:rsid w:val="001365AD"/>
    <w:rsid w:val="001366AB"/>
    <w:rsid w:val="0013670A"/>
    <w:rsid w:val="00136777"/>
    <w:rsid w:val="0013690E"/>
    <w:rsid w:val="00136B9B"/>
    <w:rsid w:val="00136D63"/>
    <w:rsid w:val="00136D8B"/>
    <w:rsid w:val="00136F05"/>
    <w:rsid w:val="00136F71"/>
    <w:rsid w:val="00136F94"/>
    <w:rsid w:val="00136FF3"/>
    <w:rsid w:val="0013702D"/>
    <w:rsid w:val="0013706F"/>
    <w:rsid w:val="00137084"/>
    <w:rsid w:val="001370E2"/>
    <w:rsid w:val="00137156"/>
    <w:rsid w:val="001371F3"/>
    <w:rsid w:val="0013739E"/>
    <w:rsid w:val="00137558"/>
    <w:rsid w:val="00137653"/>
    <w:rsid w:val="00137680"/>
    <w:rsid w:val="00137897"/>
    <w:rsid w:val="001378E0"/>
    <w:rsid w:val="0013790F"/>
    <w:rsid w:val="001379A5"/>
    <w:rsid w:val="00137A90"/>
    <w:rsid w:val="00137C0B"/>
    <w:rsid w:val="00137C44"/>
    <w:rsid w:val="00137CAA"/>
    <w:rsid w:val="00137FDB"/>
    <w:rsid w:val="00137FE8"/>
    <w:rsid w:val="00140279"/>
    <w:rsid w:val="00140450"/>
    <w:rsid w:val="0014046D"/>
    <w:rsid w:val="001404F7"/>
    <w:rsid w:val="00140568"/>
    <w:rsid w:val="0014057D"/>
    <w:rsid w:val="00140615"/>
    <w:rsid w:val="0014081A"/>
    <w:rsid w:val="0014087C"/>
    <w:rsid w:val="0014091A"/>
    <w:rsid w:val="00140941"/>
    <w:rsid w:val="00140958"/>
    <w:rsid w:val="00140D7B"/>
    <w:rsid w:val="00140DC5"/>
    <w:rsid w:val="00140E6B"/>
    <w:rsid w:val="00141077"/>
    <w:rsid w:val="0014115A"/>
    <w:rsid w:val="00141248"/>
    <w:rsid w:val="0014124A"/>
    <w:rsid w:val="0014129E"/>
    <w:rsid w:val="0014139A"/>
    <w:rsid w:val="001413A4"/>
    <w:rsid w:val="001413BB"/>
    <w:rsid w:val="001413C8"/>
    <w:rsid w:val="001415FE"/>
    <w:rsid w:val="0014183E"/>
    <w:rsid w:val="001419A1"/>
    <w:rsid w:val="00141B1F"/>
    <w:rsid w:val="00141B3F"/>
    <w:rsid w:val="00141BDA"/>
    <w:rsid w:val="00141C3B"/>
    <w:rsid w:val="00141C9B"/>
    <w:rsid w:val="00141D9D"/>
    <w:rsid w:val="00141E78"/>
    <w:rsid w:val="0014208F"/>
    <w:rsid w:val="0014212F"/>
    <w:rsid w:val="001423D1"/>
    <w:rsid w:val="001423F8"/>
    <w:rsid w:val="00142422"/>
    <w:rsid w:val="001424C8"/>
    <w:rsid w:val="001425A5"/>
    <w:rsid w:val="00142646"/>
    <w:rsid w:val="001426A2"/>
    <w:rsid w:val="00142874"/>
    <w:rsid w:val="00142876"/>
    <w:rsid w:val="00142A09"/>
    <w:rsid w:val="00142ADE"/>
    <w:rsid w:val="00142B5E"/>
    <w:rsid w:val="00142B60"/>
    <w:rsid w:val="00142CCE"/>
    <w:rsid w:val="00142CD2"/>
    <w:rsid w:val="00142E48"/>
    <w:rsid w:val="00142EFB"/>
    <w:rsid w:val="00143467"/>
    <w:rsid w:val="00143478"/>
    <w:rsid w:val="001435AA"/>
    <w:rsid w:val="001437BA"/>
    <w:rsid w:val="0014381A"/>
    <w:rsid w:val="001439AB"/>
    <w:rsid w:val="00143A96"/>
    <w:rsid w:val="00143B13"/>
    <w:rsid w:val="00143B17"/>
    <w:rsid w:val="00143B72"/>
    <w:rsid w:val="00143DA7"/>
    <w:rsid w:val="00143E24"/>
    <w:rsid w:val="00144162"/>
    <w:rsid w:val="0014422D"/>
    <w:rsid w:val="00144315"/>
    <w:rsid w:val="0014431D"/>
    <w:rsid w:val="001443B4"/>
    <w:rsid w:val="001443C5"/>
    <w:rsid w:val="001443CC"/>
    <w:rsid w:val="00144623"/>
    <w:rsid w:val="0014468E"/>
    <w:rsid w:val="001446AF"/>
    <w:rsid w:val="001446F4"/>
    <w:rsid w:val="001449EF"/>
    <w:rsid w:val="00144B32"/>
    <w:rsid w:val="00144BD4"/>
    <w:rsid w:val="00144C7A"/>
    <w:rsid w:val="00144C87"/>
    <w:rsid w:val="00144CE0"/>
    <w:rsid w:val="00144DA5"/>
    <w:rsid w:val="00144DC8"/>
    <w:rsid w:val="00144E81"/>
    <w:rsid w:val="00144F16"/>
    <w:rsid w:val="00144F96"/>
    <w:rsid w:val="00144FBB"/>
    <w:rsid w:val="0014507B"/>
    <w:rsid w:val="001451EB"/>
    <w:rsid w:val="001451FB"/>
    <w:rsid w:val="00145277"/>
    <w:rsid w:val="001452C1"/>
    <w:rsid w:val="00145488"/>
    <w:rsid w:val="001454A6"/>
    <w:rsid w:val="001455AF"/>
    <w:rsid w:val="00145637"/>
    <w:rsid w:val="0014566C"/>
    <w:rsid w:val="001456E9"/>
    <w:rsid w:val="001457FE"/>
    <w:rsid w:val="00145811"/>
    <w:rsid w:val="001459F0"/>
    <w:rsid w:val="00145A58"/>
    <w:rsid w:val="00145C1E"/>
    <w:rsid w:val="00145DA6"/>
    <w:rsid w:val="00145EB8"/>
    <w:rsid w:val="00145F24"/>
    <w:rsid w:val="00145F3B"/>
    <w:rsid w:val="00145F9F"/>
    <w:rsid w:val="00146025"/>
    <w:rsid w:val="0014608C"/>
    <w:rsid w:val="001460E6"/>
    <w:rsid w:val="00146181"/>
    <w:rsid w:val="00146277"/>
    <w:rsid w:val="00146435"/>
    <w:rsid w:val="0014645D"/>
    <w:rsid w:val="0014655E"/>
    <w:rsid w:val="0014659B"/>
    <w:rsid w:val="00146622"/>
    <w:rsid w:val="001466C3"/>
    <w:rsid w:val="00146805"/>
    <w:rsid w:val="00146880"/>
    <w:rsid w:val="0014692D"/>
    <w:rsid w:val="00146AB9"/>
    <w:rsid w:val="00146C29"/>
    <w:rsid w:val="00146D52"/>
    <w:rsid w:val="00146E02"/>
    <w:rsid w:val="00146E08"/>
    <w:rsid w:val="00146EC1"/>
    <w:rsid w:val="00146F83"/>
    <w:rsid w:val="0014704F"/>
    <w:rsid w:val="0014707D"/>
    <w:rsid w:val="00147085"/>
    <w:rsid w:val="001470CF"/>
    <w:rsid w:val="001472E8"/>
    <w:rsid w:val="00147328"/>
    <w:rsid w:val="0014741F"/>
    <w:rsid w:val="001475AD"/>
    <w:rsid w:val="001475D5"/>
    <w:rsid w:val="00147607"/>
    <w:rsid w:val="001477C3"/>
    <w:rsid w:val="00147956"/>
    <w:rsid w:val="00147965"/>
    <w:rsid w:val="00147B87"/>
    <w:rsid w:val="00147CC8"/>
    <w:rsid w:val="00147E74"/>
    <w:rsid w:val="00147E88"/>
    <w:rsid w:val="00147F62"/>
    <w:rsid w:val="00150270"/>
    <w:rsid w:val="00150275"/>
    <w:rsid w:val="001505A8"/>
    <w:rsid w:val="00150852"/>
    <w:rsid w:val="001508E7"/>
    <w:rsid w:val="00150976"/>
    <w:rsid w:val="00150A0F"/>
    <w:rsid w:val="00150BB7"/>
    <w:rsid w:val="00150BDA"/>
    <w:rsid w:val="00150BDB"/>
    <w:rsid w:val="00150C54"/>
    <w:rsid w:val="00150D3D"/>
    <w:rsid w:val="00150D51"/>
    <w:rsid w:val="00150E64"/>
    <w:rsid w:val="00150EB1"/>
    <w:rsid w:val="00150F1C"/>
    <w:rsid w:val="00150F49"/>
    <w:rsid w:val="00150F53"/>
    <w:rsid w:val="00150FD4"/>
    <w:rsid w:val="0015110B"/>
    <w:rsid w:val="00151155"/>
    <w:rsid w:val="00151169"/>
    <w:rsid w:val="00151237"/>
    <w:rsid w:val="0015125E"/>
    <w:rsid w:val="001513CB"/>
    <w:rsid w:val="001516F9"/>
    <w:rsid w:val="0015176C"/>
    <w:rsid w:val="00151776"/>
    <w:rsid w:val="001518D3"/>
    <w:rsid w:val="001519A8"/>
    <w:rsid w:val="00151CDB"/>
    <w:rsid w:val="00151D35"/>
    <w:rsid w:val="00151D92"/>
    <w:rsid w:val="00151DAC"/>
    <w:rsid w:val="00151E36"/>
    <w:rsid w:val="00151F04"/>
    <w:rsid w:val="00151F97"/>
    <w:rsid w:val="00152134"/>
    <w:rsid w:val="0015234D"/>
    <w:rsid w:val="00152362"/>
    <w:rsid w:val="00152423"/>
    <w:rsid w:val="0015243B"/>
    <w:rsid w:val="00152456"/>
    <w:rsid w:val="0015247D"/>
    <w:rsid w:val="001524E0"/>
    <w:rsid w:val="00152541"/>
    <w:rsid w:val="00152686"/>
    <w:rsid w:val="00152B35"/>
    <w:rsid w:val="00152D41"/>
    <w:rsid w:val="00152D48"/>
    <w:rsid w:val="00152DD4"/>
    <w:rsid w:val="00152E7E"/>
    <w:rsid w:val="00153257"/>
    <w:rsid w:val="0015326E"/>
    <w:rsid w:val="0015331A"/>
    <w:rsid w:val="001533AB"/>
    <w:rsid w:val="00153424"/>
    <w:rsid w:val="001535CE"/>
    <w:rsid w:val="001535CF"/>
    <w:rsid w:val="0015366E"/>
    <w:rsid w:val="00153CAD"/>
    <w:rsid w:val="00153CB6"/>
    <w:rsid w:val="00153DDC"/>
    <w:rsid w:val="00153FF8"/>
    <w:rsid w:val="00154004"/>
    <w:rsid w:val="0015421E"/>
    <w:rsid w:val="00154287"/>
    <w:rsid w:val="001544D5"/>
    <w:rsid w:val="00154582"/>
    <w:rsid w:val="001545FE"/>
    <w:rsid w:val="0015474C"/>
    <w:rsid w:val="00154967"/>
    <w:rsid w:val="001549C8"/>
    <w:rsid w:val="00154AC6"/>
    <w:rsid w:val="00154ACB"/>
    <w:rsid w:val="00154B26"/>
    <w:rsid w:val="00154B3C"/>
    <w:rsid w:val="00154C22"/>
    <w:rsid w:val="00154C3D"/>
    <w:rsid w:val="00154CF5"/>
    <w:rsid w:val="00154F37"/>
    <w:rsid w:val="00155029"/>
    <w:rsid w:val="0015502C"/>
    <w:rsid w:val="001550A9"/>
    <w:rsid w:val="00155226"/>
    <w:rsid w:val="0015524B"/>
    <w:rsid w:val="001553AA"/>
    <w:rsid w:val="001554D9"/>
    <w:rsid w:val="0015554B"/>
    <w:rsid w:val="001555B1"/>
    <w:rsid w:val="001556D8"/>
    <w:rsid w:val="0015573D"/>
    <w:rsid w:val="00155741"/>
    <w:rsid w:val="00155763"/>
    <w:rsid w:val="001557D7"/>
    <w:rsid w:val="00155897"/>
    <w:rsid w:val="0015589A"/>
    <w:rsid w:val="001558CE"/>
    <w:rsid w:val="00155AD1"/>
    <w:rsid w:val="00155AD7"/>
    <w:rsid w:val="0015608B"/>
    <w:rsid w:val="00156110"/>
    <w:rsid w:val="001561E9"/>
    <w:rsid w:val="001562C4"/>
    <w:rsid w:val="0015635C"/>
    <w:rsid w:val="001563E1"/>
    <w:rsid w:val="001564BC"/>
    <w:rsid w:val="0015655F"/>
    <w:rsid w:val="001566C5"/>
    <w:rsid w:val="00156883"/>
    <w:rsid w:val="001568B1"/>
    <w:rsid w:val="001568C3"/>
    <w:rsid w:val="001569C0"/>
    <w:rsid w:val="00156B09"/>
    <w:rsid w:val="00156D3B"/>
    <w:rsid w:val="00156F1E"/>
    <w:rsid w:val="001570C9"/>
    <w:rsid w:val="001571F2"/>
    <w:rsid w:val="001572A0"/>
    <w:rsid w:val="00157537"/>
    <w:rsid w:val="00157680"/>
    <w:rsid w:val="0015771B"/>
    <w:rsid w:val="0015780F"/>
    <w:rsid w:val="00157855"/>
    <w:rsid w:val="001578DA"/>
    <w:rsid w:val="001578F5"/>
    <w:rsid w:val="00157B6F"/>
    <w:rsid w:val="00157C2E"/>
    <w:rsid w:val="00157D30"/>
    <w:rsid w:val="00157D80"/>
    <w:rsid w:val="00157DDB"/>
    <w:rsid w:val="00157E23"/>
    <w:rsid w:val="00157E3C"/>
    <w:rsid w:val="00157F1F"/>
    <w:rsid w:val="00157F81"/>
    <w:rsid w:val="00160141"/>
    <w:rsid w:val="001601C4"/>
    <w:rsid w:val="0016022D"/>
    <w:rsid w:val="001602BD"/>
    <w:rsid w:val="00160319"/>
    <w:rsid w:val="00160639"/>
    <w:rsid w:val="001607E7"/>
    <w:rsid w:val="00160808"/>
    <w:rsid w:val="001609E1"/>
    <w:rsid w:val="00160A2F"/>
    <w:rsid w:val="00160B7D"/>
    <w:rsid w:val="00160C7F"/>
    <w:rsid w:val="00160DFB"/>
    <w:rsid w:val="00160E6C"/>
    <w:rsid w:val="00160F84"/>
    <w:rsid w:val="00160FE4"/>
    <w:rsid w:val="00161187"/>
    <w:rsid w:val="001611C9"/>
    <w:rsid w:val="00161476"/>
    <w:rsid w:val="001616C3"/>
    <w:rsid w:val="001618A3"/>
    <w:rsid w:val="0016196A"/>
    <w:rsid w:val="00161987"/>
    <w:rsid w:val="00161998"/>
    <w:rsid w:val="00161CB1"/>
    <w:rsid w:val="00161DA4"/>
    <w:rsid w:val="00161E65"/>
    <w:rsid w:val="00161F2E"/>
    <w:rsid w:val="00162007"/>
    <w:rsid w:val="001620B8"/>
    <w:rsid w:val="00162140"/>
    <w:rsid w:val="0016243E"/>
    <w:rsid w:val="00162462"/>
    <w:rsid w:val="00162644"/>
    <w:rsid w:val="00162757"/>
    <w:rsid w:val="001629C7"/>
    <w:rsid w:val="00162A28"/>
    <w:rsid w:val="00162A48"/>
    <w:rsid w:val="00162C90"/>
    <w:rsid w:val="00162CFE"/>
    <w:rsid w:val="001630F1"/>
    <w:rsid w:val="00163124"/>
    <w:rsid w:val="0016340E"/>
    <w:rsid w:val="0016347C"/>
    <w:rsid w:val="00163580"/>
    <w:rsid w:val="0016364F"/>
    <w:rsid w:val="00163684"/>
    <w:rsid w:val="00163779"/>
    <w:rsid w:val="001637C3"/>
    <w:rsid w:val="00163A45"/>
    <w:rsid w:val="00163B03"/>
    <w:rsid w:val="00163B32"/>
    <w:rsid w:val="00163B79"/>
    <w:rsid w:val="00163C18"/>
    <w:rsid w:val="00163C56"/>
    <w:rsid w:val="00163DE1"/>
    <w:rsid w:val="00163EB8"/>
    <w:rsid w:val="00163F0E"/>
    <w:rsid w:val="00163FBA"/>
    <w:rsid w:val="00164016"/>
    <w:rsid w:val="0016403C"/>
    <w:rsid w:val="00164052"/>
    <w:rsid w:val="0016426B"/>
    <w:rsid w:val="001642E5"/>
    <w:rsid w:val="0016457F"/>
    <w:rsid w:val="0016465C"/>
    <w:rsid w:val="001647F2"/>
    <w:rsid w:val="00164883"/>
    <w:rsid w:val="00164893"/>
    <w:rsid w:val="00164AF0"/>
    <w:rsid w:val="00164B61"/>
    <w:rsid w:val="00164BA2"/>
    <w:rsid w:val="00164C3F"/>
    <w:rsid w:val="00164C95"/>
    <w:rsid w:val="00164CD2"/>
    <w:rsid w:val="00164FEF"/>
    <w:rsid w:val="00165044"/>
    <w:rsid w:val="001652F5"/>
    <w:rsid w:val="00165385"/>
    <w:rsid w:val="001653F3"/>
    <w:rsid w:val="00165424"/>
    <w:rsid w:val="0016552F"/>
    <w:rsid w:val="001655DF"/>
    <w:rsid w:val="0016564F"/>
    <w:rsid w:val="001656BE"/>
    <w:rsid w:val="001657BA"/>
    <w:rsid w:val="001657D6"/>
    <w:rsid w:val="001658A5"/>
    <w:rsid w:val="001658AA"/>
    <w:rsid w:val="001658E6"/>
    <w:rsid w:val="00165923"/>
    <w:rsid w:val="00165AC4"/>
    <w:rsid w:val="00165B90"/>
    <w:rsid w:val="00165BD3"/>
    <w:rsid w:val="00165C09"/>
    <w:rsid w:val="00165C0D"/>
    <w:rsid w:val="00165C7D"/>
    <w:rsid w:val="00165C88"/>
    <w:rsid w:val="00165DDD"/>
    <w:rsid w:val="00166026"/>
    <w:rsid w:val="00166109"/>
    <w:rsid w:val="00166265"/>
    <w:rsid w:val="001662D2"/>
    <w:rsid w:val="00166330"/>
    <w:rsid w:val="0016638B"/>
    <w:rsid w:val="0016652D"/>
    <w:rsid w:val="001665B2"/>
    <w:rsid w:val="001665D3"/>
    <w:rsid w:val="001666B8"/>
    <w:rsid w:val="00166881"/>
    <w:rsid w:val="00166AFE"/>
    <w:rsid w:val="00166C13"/>
    <w:rsid w:val="00166D76"/>
    <w:rsid w:val="00166DA3"/>
    <w:rsid w:val="00166E10"/>
    <w:rsid w:val="00166E98"/>
    <w:rsid w:val="00166FE3"/>
    <w:rsid w:val="00166FF1"/>
    <w:rsid w:val="0016708A"/>
    <w:rsid w:val="001670D3"/>
    <w:rsid w:val="00167245"/>
    <w:rsid w:val="00167343"/>
    <w:rsid w:val="00167348"/>
    <w:rsid w:val="001674B3"/>
    <w:rsid w:val="00167818"/>
    <w:rsid w:val="0016784D"/>
    <w:rsid w:val="00167AEC"/>
    <w:rsid w:val="00167AEE"/>
    <w:rsid w:val="00167B8A"/>
    <w:rsid w:val="00167F15"/>
    <w:rsid w:val="00167FFD"/>
    <w:rsid w:val="00170036"/>
    <w:rsid w:val="001700BF"/>
    <w:rsid w:val="001701A1"/>
    <w:rsid w:val="001701CD"/>
    <w:rsid w:val="00170334"/>
    <w:rsid w:val="0017035B"/>
    <w:rsid w:val="00170590"/>
    <w:rsid w:val="001705BD"/>
    <w:rsid w:val="00170641"/>
    <w:rsid w:val="001706CB"/>
    <w:rsid w:val="001707ED"/>
    <w:rsid w:val="001709DD"/>
    <w:rsid w:val="00170B22"/>
    <w:rsid w:val="00170B8B"/>
    <w:rsid w:val="00170C1F"/>
    <w:rsid w:val="00170DEA"/>
    <w:rsid w:val="00171154"/>
    <w:rsid w:val="001711A8"/>
    <w:rsid w:val="001712F2"/>
    <w:rsid w:val="00171344"/>
    <w:rsid w:val="00171545"/>
    <w:rsid w:val="00171556"/>
    <w:rsid w:val="0017158B"/>
    <w:rsid w:val="001715C2"/>
    <w:rsid w:val="00171984"/>
    <w:rsid w:val="001719CF"/>
    <w:rsid w:val="001719DF"/>
    <w:rsid w:val="00171B34"/>
    <w:rsid w:val="00171CF5"/>
    <w:rsid w:val="001720C2"/>
    <w:rsid w:val="00172141"/>
    <w:rsid w:val="001723A4"/>
    <w:rsid w:val="001724EE"/>
    <w:rsid w:val="00172526"/>
    <w:rsid w:val="00172561"/>
    <w:rsid w:val="001726EF"/>
    <w:rsid w:val="001726F2"/>
    <w:rsid w:val="00172739"/>
    <w:rsid w:val="00172740"/>
    <w:rsid w:val="0017287A"/>
    <w:rsid w:val="0017294B"/>
    <w:rsid w:val="00172994"/>
    <w:rsid w:val="00172995"/>
    <w:rsid w:val="00172CB5"/>
    <w:rsid w:val="00172CC0"/>
    <w:rsid w:val="00172E7C"/>
    <w:rsid w:val="00172E8D"/>
    <w:rsid w:val="00172EC3"/>
    <w:rsid w:val="001730B3"/>
    <w:rsid w:val="001730E3"/>
    <w:rsid w:val="00173134"/>
    <w:rsid w:val="0017315B"/>
    <w:rsid w:val="001731EF"/>
    <w:rsid w:val="001732D7"/>
    <w:rsid w:val="00173448"/>
    <w:rsid w:val="001735FD"/>
    <w:rsid w:val="0017361D"/>
    <w:rsid w:val="00173690"/>
    <w:rsid w:val="001736C3"/>
    <w:rsid w:val="00173762"/>
    <w:rsid w:val="00173843"/>
    <w:rsid w:val="00173895"/>
    <w:rsid w:val="001738FD"/>
    <w:rsid w:val="00173947"/>
    <w:rsid w:val="001739C5"/>
    <w:rsid w:val="00173B03"/>
    <w:rsid w:val="00173C9D"/>
    <w:rsid w:val="00173E90"/>
    <w:rsid w:val="00173EE5"/>
    <w:rsid w:val="001742EC"/>
    <w:rsid w:val="0017441D"/>
    <w:rsid w:val="001744D4"/>
    <w:rsid w:val="00174844"/>
    <w:rsid w:val="00174984"/>
    <w:rsid w:val="00174B04"/>
    <w:rsid w:val="00174B91"/>
    <w:rsid w:val="00174BB9"/>
    <w:rsid w:val="00174BF5"/>
    <w:rsid w:val="00174DFF"/>
    <w:rsid w:val="00174F19"/>
    <w:rsid w:val="00174F5E"/>
    <w:rsid w:val="00174F75"/>
    <w:rsid w:val="0017506C"/>
    <w:rsid w:val="0017512B"/>
    <w:rsid w:val="00175230"/>
    <w:rsid w:val="001752AC"/>
    <w:rsid w:val="0017544F"/>
    <w:rsid w:val="00175615"/>
    <w:rsid w:val="001756FC"/>
    <w:rsid w:val="00175711"/>
    <w:rsid w:val="0017589B"/>
    <w:rsid w:val="00175AC1"/>
    <w:rsid w:val="00175B3A"/>
    <w:rsid w:val="00175EDE"/>
    <w:rsid w:val="0017603F"/>
    <w:rsid w:val="001760B4"/>
    <w:rsid w:val="001760D7"/>
    <w:rsid w:val="0017622A"/>
    <w:rsid w:val="001763F3"/>
    <w:rsid w:val="001765B7"/>
    <w:rsid w:val="001766B3"/>
    <w:rsid w:val="001767C3"/>
    <w:rsid w:val="001767E9"/>
    <w:rsid w:val="001768A6"/>
    <w:rsid w:val="0017698A"/>
    <w:rsid w:val="00176C49"/>
    <w:rsid w:val="00176F5D"/>
    <w:rsid w:val="00177088"/>
    <w:rsid w:val="001770B5"/>
    <w:rsid w:val="001771F0"/>
    <w:rsid w:val="001772EF"/>
    <w:rsid w:val="00177372"/>
    <w:rsid w:val="00177473"/>
    <w:rsid w:val="00177563"/>
    <w:rsid w:val="001776CE"/>
    <w:rsid w:val="0017772F"/>
    <w:rsid w:val="0017777C"/>
    <w:rsid w:val="00177807"/>
    <w:rsid w:val="001779F2"/>
    <w:rsid w:val="00177AB5"/>
    <w:rsid w:val="00177B8B"/>
    <w:rsid w:val="00177C75"/>
    <w:rsid w:val="00177CFE"/>
    <w:rsid w:val="00177E4F"/>
    <w:rsid w:val="00177E54"/>
    <w:rsid w:val="00177E73"/>
    <w:rsid w:val="00177EC0"/>
    <w:rsid w:val="00177EC8"/>
    <w:rsid w:val="00177EE1"/>
    <w:rsid w:val="00177F30"/>
    <w:rsid w:val="00177F9B"/>
    <w:rsid w:val="00180030"/>
    <w:rsid w:val="0018056B"/>
    <w:rsid w:val="001805B6"/>
    <w:rsid w:val="00180602"/>
    <w:rsid w:val="00180657"/>
    <w:rsid w:val="00180699"/>
    <w:rsid w:val="001807A2"/>
    <w:rsid w:val="001807B3"/>
    <w:rsid w:val="001807ED"/>
    <w:rsid w:val="00180857"/>
    <w:rsid w:val="001808D4"/>
    <w:rsid w:val="0018093F"/>
    <w:rsid w:val="0018097B"/>
    <w:rsid w:val="00180B6D"/>
    <w:rsid w:val="00180C63"/>
    <w:rsid w:val="00180E22"/>
    <w:rsid w:val="00180EC0"/>
    <w:rsid w:val="00180EFA"/>
    <w:rsid w:val="0018103F"/>
    <w:rsid w:val="00181091"/>
    <w:rsid w:val="00181130"/>
    <w:rsid w:val="00181158"/>
    <w:rsid w:val="00181173"/>
    <w:rsid w:val="00181437"/>
    <w:rsid w:val="0018146F"/>
    <w:rsid w:val="0018152B"/>
    <w:rsid w:val="00181552"/>
    <w:rsid w:val="0018176D"/>
    <w:rsid w:val="0018183B"/>
    <w:rsid w:val="001818AC"/>
    <w:rsid w:val="0018190A"/>
    <w:rsid w:val="001819C6"/>
    <w:rsid w:val="00181B11"/>
    <w:rsid w:val="00181B5E"/>
    <w:rsid w:val="00181D92"/>
    <w:rsid w:val="00181DD2"/>
    <w:rsid w:val="00181E8B"/>
    <w:rsid w:val="00181F48"/>
    <w:rsid w:val="00181F5C"/>
    <w:rsid w:val="00182125"/>
    <w:rsid w:val="0018228B"/>
    <w:rsid w:val="001825A4"/>
    <w:rsid w:val="0018261C"/>
    <w:rsid w:val="001826DB"/>
    <w:rsid w:val="001827A2"/>
    <w:rsid w:val="001828D3"/>
    <w:rsid w:val="0018297E"/>
    <w:rsid w:val="0018299C"/>
    <w:rsid w:val="001829BA"/>
    <w:rsid w:val="00182AF6"/>
    <w:rsid w:val="00182B09"/>
    <w:rsid w:val="00182B0D"/>
    <w:rsid w:val="00182BA6"/>
    <w:rsid w:val="00182C69"/>
    <w:rsid w:val="00182D72"/>
    <w:rsid w:val="00182ED8"/>
    <w:rsid w:val="00182FA5"/>
    <w:rsid w:val="00182FD9"/>
    <w:rsid w:val="00182FF5"/>
    <w:rsid w:val="00183124"/>
    <w:rsid w:val="0018315F"/>
    <w:rsid w:val="0018317A"/>
    <w:rsid w:val="0018320B"/>
    <w:rsid w:val="00183391"/>
    <w:rsid w:val="00183536"/>
    <w:rsid w:val="00183622"/>
    <w:rsid w:val="001837C0"/>
    <w:rsid w:val="001837FD"/>
    <w:rsid w:val="001838C4"/>
    <w:rsid w:val="001839F4"/>
    <w:rsid w:val="00183A08"/>
    <w:rsid w:val="00183A83"/>
    <w:rsid w:val="00183BB9"/>
    <w:rsid w:val="001840A7"/>
    <w:rsid w:val="00184202"/>
    <w:rsid w:val="001842BE"/>
    <w:rsid w:val="00184570"/>
    <w:rsid w:val="00184582"/>
    <w:rsid w:val="00184684"/>
    <w:rsid w:val="001847BA"/>
    <w:rsid w:val="0018497D"/>
    <w:rsid w:val="00184B2A"/>
    <w:rsid w:val="00184B49"/>
    <w:rsid w:val="00184BB6"/>
    <w:rsid w:val="00184D3C"/>
    <w:rsid w:val="00184D63"/>
    <w:rsid w:val="00184E6C"/>
    <w:rsid w:val="00184E73"/>
    <w:rsid w:val="00184F21"/>
    <w:rsid w:val="00184F64"/>
    <w:rsid w:val="00185077"/>
    <w:rsid w:val="0018521E"/>
    <w:rsid w:val="0018526E"/>
    <w:rsid w:val="001852AA"/>
    <w:rsid w:val="0018568B"/>
    <w:rsid w:val="001856BA"/>
    <w:rsid w:val="001856D5"/>
    <w:rsid w:val="0018573F"/>
    <w:rsid w:val="001857EF"/>
    <w:rsid w:val="0018580D"/>
    <w:rsid w:val="001858CF"/>
    <w:rsid w:val="00185968"/>
    <w:rsid w:val="00185994"/>
    <w:rsid w:val="00185B65"/>
    <w:rsid w:val="00185B6D"/>
    <w:rsid w:val="00185B83"/>
    <w:rsid w:val="00185C8F"/>
    <w:rsid w:val="00185CF3"/>
    <w:rsid w:val="001860D9"/>
    <w:rsid w:val="001860DE"/>
    <w:rsid w:val="00186213"/>
    <w:rsid w:val="00186215"/>
    <w:rsid w:val="0018622D"/>
    <w:rsid w:val="0018626F"/>
    <w:rsid w:val="00186338"/>
    <w:rsid w:val="001863B1"/>
    <w:rsid w:val="00186449"/>
    <w:rsid w:val="001864AA"/>
    <w:rsid w:val="001864AC"/>
    <w:rsid w:val="001866CD"/>
    <w:rsid w:val="001867E2"/>
    <w:rsid w:val="00186B2B"/>
    <w:rsid w:val="00186B9E"/>
    <w:rsid w:val="00186D49"/>
    <w:rsid w:val="00186D79"/>
    <w:rsid w:val="00186E2A"/>
    <w:rsid w:val="00186F99"/>
    <w:rsid w:val="00187025"/>
    <w:rsid w:val="0018718E"/>
    <w:rsid w:val="001873E4"/>
    <w:rsid w:val="00187470"/>
    <w:rsid w:val="001875EB"/>
    <w:rsid w:val="0018765D"/>
    <w:rsid w:val="00187682"/>
    <w:rsid w:val="001877FB"/>
    <w:rsid w:val="001878BC"/>
    <w:rsid w:val="001879C5"/>
    <w:rsid w:val="00187B30"/>
    <w:rsid w:val="00187B6F"/>
    <w:rsid w:val="00187BD4"/>
    <w:rsid w:val="00187C01"/>
    <w:rsid w:val="00187C07"/>
    <w:rsid w:val="00187C3A"/>
    <w:rsid w:val="00187C60"/>
    <w:rsid w:val="00187C71"/>
    <w:rsid w:val="00187D47"/>
    <w:rsid w:val="00187E0C"/>
    <w:rsid w:val="00187EFD"/>
    <w:rsid w:val="00187F35"/>
    <w:rsid w:val="00187FEB"/>
    <w:rsid w:val="00190071"/>
    <w:rsid w:val="00190137"/>
    <w:rsid w:val="001903A5"/>
    <w:rsid w:val="0019042F"/>
    <w:rsid w:val="001904B7"/>
    <w:rsid w:val="00190562"/>
    <w:rsid w:val="00190737"/>
    <w:rsid w:val="00190782"/>
    <w:rsid w:val="00190B8A"/>
    <w:rsid w:val="00190F8C"/>
    <w:rsid w:val="00191130"/>
    <w:rsid w:val="00191429"/>
    <w:rsid w:val="00191446"/>
    <w:rsid w:val="0019151D"/>
    <w:rsid w:val="00191947"/>
    <w:rsid w:val="00191987"/>
    <w:rsid w:val="00191B85"/>
    <w:rsid w:val="00191C99"/>
    <w:rsid w:val="00191E07"/>
    <w:rsid w:val="00191E3F"/>
    <w:rsid w:val="00191E7E"/>
    <w:rsid w:val="00191EEF"/>
    <w:rsid w:val="00191F76"/>
    <w:rsid w:val="00191F80"/>
    <w:rsid w:val="00191F98"/>
    <w:rsid w:val="00192029"/>
    <w:rsid w:val="00192162"/>
    <w:rsid w:val="0019241C"/>
    <w:rsid w:val="00192461"/>
    <w:rsid w:val="001924C2"/>
    <w:rsid w:val="00192525"/>
    <w:rsid w:val="001925C6"/>
    <w:rsid w:val="001925FD"/>
    <w:rsid w:val="0019260C"/>
    <w:rsid w:val="00192698"/>
    <w:rsid w:val="00192964"/>
    <w:rsid w:val="0019297E"/>
    <w:rsid w:val="00192A92"/>
    <w:rsid w:val="00192ACB"/>
    <w:rsid w:val="00192C5F"/>
    <w:rsid w:val="00192C9E"/>
    <w:rsid w:val="00192D0A"/>
    <w:rsid w:val="001931A1"/>
    <w:rsid w:val="001932FE"/>
    <w:rsid w:val="0019333B"/>
    <w:rsid w:val="00193513"/>
    <w:rsid w:val="0019362E"/>
    <w:rsid w:val="001936A9"/>
    <w:rsid w:val="0019370F"/>
    <w:rsid w:val="00193719"/>
    <w:rsid w:val="0019373D"/>
    <w:rsid w:val="001937AF"/>
    <w:rsid w:val="001937CF"/>
    <w:rsid w:val="00193899"/>
    <w:rsid w:val="001938DC"/>
    <w:rsid w:val="0019395F"/>
    <w:rsid w:val="00193A43"/>
    <w:rsid w:val="00193A5C"/>
    <w:rsid w:val="00193BBB"/>
    <w:rsid w:val="00193D38"/>
    <w:rsid w:val="00193E5C"/>
    <w:rsid w:val="00193E68"/>
    <w:rsid w:val="00193F2D"/>
    <w:rsid w:val="00193F73"/>
    <w:rsid w:val="0019414B"/>
    <w:rsid w:val="00194221"/>
    <w:rsid w:val="00194546"/>
    <w:rsid w:val="00194586"/>
    <w:rsid w:val="0019469F"/>
    <w:rsid w:val="001946CF"/>
    <w:rsid w:val="00194A32"/>
    <w:rsid w:val="00194AAB"/>
    <w:rsid w:val="00194B5E"/>
    <w:rsid w:val="00194C01"/>
    <w:rsid w:val="00194EEB"/>
    <w:rsid w:val="00194FAF"/>
    <w:rsid w:val="001950BF"/>
    <w:rsid w:val="001950DD"/>
    <w:rsid w:val="001950FF"/>
    <w:rsid w:val="0019516E"/>
    <w:rsid w:val="001952D2"/>
    <w:rsid w:val="001953B0"/>
    <w:rsid w:val="001953FA"/>
    <w:rsid w:val="00195465"/>
    <w:rsid w:val="001955CD"/>
    <w:rsid w:val="001955F5"/>
    <w:rsid w:val="001956BF"/>
    <w:rsid w:val="00195766"/>
    <w:rsid w:val="001958A5"/>
    <w:rsid w:val="001959C3"/>
    <w:rsid w:val="00195AFF"/>
    <w:rsid w:val="00195B28"/>
    <w:rsid w:val="00195C1B"/>
    <w:rsid w:val="00195E99"/>
    <w:rsid w:val="00195F9C"/>
    <w:rsid w:val="0019606D"/>
    <w:rsid w:val="00196103"/>
    <w:rsid w:val="00196266"/>
    <w:rsid w:val="0019648F"/>
    <w:rsid w:val="00196509"/>
    <w:rsid w:val="0019659A"/>
    <w:rsid w:val="001968EE"/>
    <w:rsid w:val="00196BEB"/>
    <w:rsid w:val="00196D20"/>
    <w:rsid w:val="00196DF0"/>
    <w:rsid w:val="00196E64"/>
    <w:rsid w:val="00196E70"/>
    <w:rsid w:val="00196EE6"/>
    <w:rsid w:val="0019706F"/>
    <w:rsid w:val="00197165"/>
    <w:rsid w:val="0019720F"/>
    <w:rsid w:val="00197233"/>
    <w:rsid w:val="0019736F"/>
    <w:rsid w:val="00197436"/>
    <w:rsid w:val="0019748A"/>
    <w:rsid w:val="00197509"/>
    <w:rsid w:val="0019753C"/>
    <w:rsid w:val="00197587"/>
    <w:rsid w:val="001977E0"/>
    <w:rsid w:val="001979AF"/>
    <w:rsid w:val="00197A6E"/>
    <w:rsid w:val="00197BE2"/>
    <w:rsid w:val="00197C0C"/>
    <w:rsid w:val="00197E13"/>
    <w:rsid w:val="00197E31"/>
    <w:rsid w:val="00197E49"/>
    <w:rsid w:val="00197F96"/>
    <w:rsid w:val="00197F9C"/>
    <w:rsid w:val="001A0004"/>
    <w:rsid w:val="001A00BB"/>
    <w:rsid w:val="001A00ED"/>
    <w:rsid w:val="001A0187"/>
    <w:rsid w:val="001A021E"/>
    <w:rsid w:val="001A0287"/>
    <w:rsid w:val="001A04F2"/>
    <w:rsid w:val="001A0507"/>
    <w:rsid w:val="001A051B"/>
    <w:rsid w:val="001A074A"/>
    <w:rsid w:val="001A07A4"/>
    <w:rsid w:val="001A080E"/>
    <w:rsid w:val="001A09A7"/>
    <w:rsid w:val="001A0ABB"/>
    <w:rsid w:val="001A0ACE"/>
    <w:rsid w:val="001A0F2C"/>
    <w:rsid w:val="001A0F66"/>
    <w:rsid w:val="001A107A"/>
    <w:rsid w:val="001A10B4"/>
    <w:rsid w:val="001A10E4"/>
    <w:rsid w:val="001A110D"/>
    <w:rsid w:val="001A1177"/>
    <w:rsid w:val="001A12D0"/>
    <w:rsid w:val="001A136F"/>
    <w:rsid w:val="001A13C0"/>
    <w:rsid w:val="001A143E"/>
    <w:rsid w:val="001A1442"/>
    <w:rsid w:val="001A1581"/>
    <w:rsid w:val="001A177B"/>
    <w:rsid w:val="001A1B38"/>
    <w:rsid w:val="001A1C16"/>
    <w:rsid w:val="001A1C68"/>
    <w:rsid w:val="001A1CC2"/>
    <w:rsid w:val="001A1DCF"/>
    <w:rsid w:val="001A1E71"/>
    <w:rsid w:val="001A1EB7"/>
    <w:rsid w:val="001A1F31"/>
    <w:rsid w:val="001A1F82"/>
    <w:rsid w:val="001A2099"/>
    <w:rsid w:val="001A209A"/>
    <w:rsid w:val="001A23B5"/>
    <w:rsid w:val="001A23BF"/>
    <w:rsid w:val="001A26D7"/>
    <w:rsid w:val="001A2870"/>
    <w:rsid w:val="001A28A5"/>
    <w:rsid w:val="001A2B64"/>
    <w:rsid w:val="001A2B97"/>
    <w:rsid w:val="001A2C2A"/>
    <w:rsid w:val="001A2C9B"/>
    <w:rsid w:val="001A2D17"/>
    <w:rsid w:val="001A2D8F"/>
    <w:rsid w:val="001A2E26"/>
    <w:rsid w:val="001A2E2A"/>
    <w:rsid w:val="001A2E64"/>
    <w:rsid w:val="001A2F2C"/>
    <w:rsid w:val="001A2FAF"/>
    <w:rsid w:val="001A3027"/>
    <w:rsid w:val="001A308B"/>
    <w:rsid w:val="001A30BA"/>
    <w:rsid w:val="001A31AD"/>
    <w:rsid w:val="001A3354"/>
    <w:rsid w:val="001A336C"/>
    <w:rsid w:val="001A3643"/>
    <w:rsid w:val="001A3657"/>
    <w:rsid w:val="001A36DA"/>
    <w:rsid w:val="001A3710"/>
    <w:rsid w:val="001A378C"/>
    <w:rsid w:val="001A389D"/>
    <w:rsid w:val="001A38BD"/>
    <w:rsid w:val="001A38FA"/>
    <w:rsid w:val="001A397D"/>
    <w:rsid w:val="001A39B0"/>
    <w:rsid w:val="001A3A32"/>
    <w:rsid w:val="001A3AF7"/>
    <w:rsid w:val="001A3CDF"/>
    <w:rsid w:val="001A3DCA"/>
    <w:rsid w:val="001A3EE1"/>
    <w:rsid w:val="001A3F11"/>
    <w:rsid w:val="001A4084"/>
    <w:rsid w:val="001A40D9"/>
    <w:rsid w:val="001A4137"/>
    <w:rsid w:val="001A42B2"/>
    <w:rsid w:val="001A4430"/>
    <w:rsid w:val="001A4440"/>
    <w:rsid w:val="001A461D"/>
    <w:rsid w:val="001A47EB"/>
    <w:rsid w:val="001A484A"/>
    <w:rsid w:val="001A48B0"/>
    <w:rsid w:val="001A493C"/>
    <w:rsid w:val="001A4A8E"/>
    <w:rsid w:val="001A4A97"/>
    <w:rsid w:val="001A4BC7"/>
    <w:rsid w:val="001A4E8E"/>
    <w:rsid w:val="001A4EEA"/>
    <w:rsid w:val="001A4F95"/>
    <w:rsid w:val="001A4FA8"/>
    <w:rsid w:val="001A500B"/>
    <w:rsid w:val="001A50CE"/>
    <w:rsid w:val="001A50FF"/>
    <w:rsid w:val="001A5146"/>
    <w:rsid w:val="001A51A1"/>
    <w:rsid w:val="001A51B6"/>
    <w:rsid w:val="001A557D"/>
    <w:rsid w:val="001A560A"/>
    <w:rsid w:val="001A5645"/>
    <w:rsid w:val="001A5778"/>
    <w:rsid w:val="001A5937"/>
    <w:rsid w:val="001A59F6"/>
    <w:rsid w:val="001A5A23"/>
    <w:rsid w:val="001A5D43"/>
    <w:rsid w:val="001A5F50"/>
    <w:rsid w:val="001A6058"/>
    <w:rsid w:val="001A60CB"/>
    <w:rsid w:val="001A617A"/>
    <w:rsid w:val="001A6238"/>
    <w:rsid w:val="001A62C3"/>
    <w:rsid w:val="001A67D4"/>
    <w:rsid w:val="001A6863"/>
    <w:rsid w:val="001A6B2E"/>
    <w:rsid w:val="001A6BC9"/>
    <w:rsid w:val="001A6BE5"/>
    <w:rsid w:val="001A6E10"/>
    <w:rsid w:val="001A6EDC"/>
    <w:rsid w:val="001A6F25"/>
    <w:rsid w:val="001A704E"/>
    <w:rsid w:val="001A7066"/>
    <w:rsid w:val="001A70CA"/>
    <w:rsid w:val="001A7226"/>
    <w:rsid w:val="001A7271"/>
    <w:rsid w:val="001A7319"/>
    <w:rsid w:val="001A7367"/>
    <w:rsid w:val="001A7450"/>
    <w:rsid w:val="001A74EE"/>
    <w:rsid w:val="001A74F1"/>
    <w:rsid w:val="001A7549"/>
    <w:rsid w:val="001A7565"/>
    <w:rsid w:val="001A757E"/>
    <w:rsid w:val="001A75FD"/>
    <w:rsid w:val="001A7609"/>
    <w:rsid w:val="001A7627"/>
    <w:rsid w:val="001A764C"/>
    <w:rsid w:val="001A77CB"/>
    <w:rsid w:val="001A77EB"/>
    <w:rsid w:val="001A782F"/>
    <w:rsid w:val="001A7830"/>
    <w:rsid w:val="001A7A14"/>
    <w:rsid w:val="001A7A2F"/>
    <w:rsid w:val="001A7B8A"/>
    <w:rsid w:val="001A7BE2"/>
    <w:rsid w:val="001A7D45"/>
    <w:rsid w:val="001B0013"/>
    <w:rsid w:val="001B0042"/>
    <w:rsid w:val="001B015B"/>
    <w:rsid w:val="001B03FE"/>
    <w:rsid w:val="001B04C3"/>
    <w:rsid w:val="001B04CA"/>
    <w:rsid w:val="001B053E"/>
    <w:rsid w:val="001B05A2"/>
    <w:rsid w:val="001B06D9"/>
    <w:rsid w:val="001B0741"/>
    <w:rsid w:val="001B0799"/>
    <w:rsid w:val="001B07D5"/>
    <w:rsid w:val="001B08DA"/>
    <w:rsid w:val="001B08ED"/>
    <w:rsid w:val="001B0AC2"/>
    <w:rsid w:val="001B0B28"/>
    <w:rsid w:val="001B0C9F"/>
    <w:rsid w:val="001B0D3C"/>
    <w:rsid w:val="001B0D54"/>
    <w:rsid w:val="001B0D83"/>
    <w:rsid w:val="001B0DCD"/>
    <w:rsid w:val="001B0E89"/>
    <w:rsid w:val="001B106E"/>
    <w:rsid w:val="001B10AB"/>
    <w:rsid w:val="001B11B1"/>
    <w:rsid w:val="001B12BA"/>
    <w:rsid w:val="001B12F1"/>
    <w:rsid w:val="001B12F6"/>
    <w:rsid w:val="001B13F5"/>
    <w:rsid w:val="001B1522"/>
    <w:rsid w:val="001B161E"/>
    <w:rsid w:val="001B16C7"/>
    <w:rsid w:val="001B16CB"/>
    <w:rsid w:val="001B16D0"/>
    <w:rsid w:val="001B175B"/>
    <w:rsid w:val="001B17EE"/>
    <w:rsid w:val="001B18B0"/>
    <w:rsid w:val="001B1ABF"/>
    <w:rsid w:val="001B1CA7"/>
    <w:rsid w:val="001B1E85"/>
    <w:rsid w:val="001B1F04"/>
    <w:rsid w:val="001B1F07"/>
    <w:rsid w:val="001B1FDE"/>
    <w:rsid w:val="001B21C2"/>
    <w:rsid w:val="001B21C9"/>
    <w:rsid w:val="001B21ED"/>
    <w:rsid w:val="001B221E"/>
    <w:rsid w:val="001B228A"/>
    <w:rsid w:val="001B22BA"/>
    <w:rsid w:val="001B24BA"/>
    <w:rsid w:val="001B2654"/>
    <w:rsid w:val="001B26F2"/>
    <w:rsid w:val="001B270A"/>
    <w:rsid w:val="001B286E"/>
    <w:rsid w:val="001B28D5"/>
    <w:rsid w:val="001B2991"/>
    <w:rsid w:val="001B2A0C"/>
    <w:rsid w:val="001B2DCB"/>
    <w:rsid w:val="001B2E97"/>
    <w:rsid w:val="001B2F5B"/>
    <w:rsid w:val="001B2FDC"/>
    <w:rsid w:val="001B3201"/>
    <w:rsid w:val="001B3286"/>
    <w:rsid w:val="001B330F"/>
    <w:rsid w:val="001B339D"/>
    <w:rsid w:val="001B33A2"/>
    <w:rsid w:val="001B33AB"/>
    <w:rsid w:val="001B33F0"/>
    <w:rsid w:val="001B33FF"/>
    <w:rsid w:val="001B3490"/>
    <w:rsid w:val="001B359C"/>
    <w:rsid w:val="001B3607"/>
    <w:rsid w:val="001B3745"/>
    <w:rsid w:val="001B37B9"/>
    <w:rsid w:val="001B38A6"/>
    <w:rsid w:val="001B3A90"/>
    <w:rsid w:val="001B3CB9"/>
    <w:rsid w:val="001B3CEF"/>
    <w:rsid w:val="001B3D2A"/>
    <w:rsid w:val="001B3ED0"/>
    <w:rsid w:val="001B3FAD"/>
    <w:rsid w:val="001B4000"/>
    <w:rsid w:val="001B4239"/>
    <w:rsid w:val="001B42E4"/>
    <w:rsid w:val="001B435C"/>
    <w:rsid w:val="001B43B7"/>
    <w:rsid w:val="001B46A1"/>
    <w:rsid w:val="001B46D7"/>
    <w:rsid w:val="001B48A8"/>
    <w:rsid w:val="001B4B87"/>
    <w:rsid w:val="001B4C5C"/>
    <w:rsid w:val="001B4DDE"/>
    <w:rsid w:val="001B4E54"/>
    <w:rsid w:val="001B506D"/>
    <w:rsid w:val="001B50B8"/>
    <w:rsid w:val="001B51AC"/>
    <w:rsid w:val="001B51D9"/>
    <w:rsid w:val="001B51E9"/>
    <w:rsid w:val="001B5240"/>
    <w:rsid w:val="001B52E3"/>
    <w:rsid w:val="001B5489"/>
    <w:rsid w:val="001B55BD"/>
    <w:rsid w:val="001B55D0"/>
    <w:rsid w:val="001B5616"/>
    <w:rsid w:val="001B5619"/>
    <w:rsid w:val="001B5708"/>
    <w:rsid w:val="001B5723"/>
    <w:rsid w:val="001B57C6"/>
    <w:rsid w:val="001B5853"/>
    <w:rsid w:val="001B58EF"/>
    <w:rsid w:val="001B595D"/>
    <w:rsid w:val="001B5972"/>
    <w:rsid w:val="001B5C6B"/>
    <w:rsid w:val="001B5CB7"/>
    <w:rsid w:val="001B5D34"/>
    <w:rsid w:val="001B5EBF"/>
    <w:rsid w:val="001B6231"/>
    <w:rsid w:val="001B624E"/>
    <w:rsid w:val="001B647D"/>
    <w:rsid w:val="001B64EF"/>
    <w:rsid w:val="001B6700"/>
    <w:rsid w:val="001B67CC"/>
    <w:rsid w:val="001B68D7"/>
    <w:rsid w:val="001B6952"/>
    <w:rsid w:val="001B6C7B"/>
    <w:rsid w:val="001B6C86"/>
    <w:rsid w:val="001B6E1F"/>
    <w:rsid w:val="001B6E4F"/>
    <w:rsid w:val="001B7019"/>
    <w:rsid w:val="001B7076"/>
    <w:rsid w:val="001B709D"/>
    <w:rsid w:val="001B70C9"/>
    <w:rsid w:val="001B72D8"/>
    <w:rsid w:val="001B7360"/>
    <w:rsid w:val="001B7405"/>
    <w:rsid w:val="001B757D"/>
    <w:rsid w:val="001B7601"/>
    <w:rsid w:val="001B7704"/>
    <w:rsid w:val="001B7794"/>
    <w:rsid w:val="001B77E8"/>
    <w:rsid w:val="001B78BA"/>
    <w:rsid w:val="001B7961"/>
    <w:rsid w:val="001B7A37"/>
    <w:rsid w:val="001B7A91"/>
    <w:rsid w:val="001B7AAB"/>
    <w:rsid w:val="001B7DAD"/>
    <w:rsid w:val="001B7DFB"/>
    <w:rsid w:val="001B7E10"/>
    <w:rsid w:val="001B7E63"/>
    <w:rsid w:val="001B7EA4"/>
    <w:rsid w:val="001B7F71"/>
    <w:rsid w:val="001C0063"/>
    <w:rsid w:val="001C0086"/>
    <w:rsid w:val="001C00E8"/>
    <w:rsid w:val="001C0243"/>
    <w:rsid w:val="001C0351"/>
    <w:rsid w:val="001C0414"/>
    <w:rsid w:val="001C07B9"/>
    <w:rsid w:val="001C07EA"/>
    <w:rsid w:val="001C08B8"/>
    <w:rsid w:val="001C09CF"/>
    <w:rsid w:val="001C0A8A"/>
    <w:rsid w:val="001C0AF3"/>
    <w:rsid w:val="001C0B03"/>
    <w:rsid w:val="001C0C02"/>
    <w:rsid w:val="001C1015"/>
    <w:rsid w:val="001C102D"/>
    <w:rsid w:val="001C10C7"/>
    <w:rsid w:val="001C10F4"/>
    <w:rsid w:val="001C120C"/>
    <w:rsid w:val="001C12CC"/>
    <w:rsid w:val="001C13C2"/>
    <w:rsid w:val="001C13D1"/>
    <w:rsid w:val="001C145F"/>
    <w:rsid w:val="001C1566"/>
    <w:rsid w:val="001C15CC"/>
    <w:rsid w:val="001C15D3"/>
    <w:rsid w:val="001C16C3"/>
    <w:rsid w:val="001C172C"/>
    <w:rsid w:val="001C1884"/>
    <w:rsid w:val="001C19CB"/>
    <w:rsid w:val="001C1A3E"/>
    <w:rsid w:val="001C1AFA"/>
    <w:rsid w:val="001C1B59"/>
    <w:rsid w:val="001C1B74"/>
    <w:rsid w:val="001C1B81"/>
    <w:rsid w:val="001C1C95"/>
    <w:rsid w:val="001C1C97"/>
    <w:rsid w:val="001C2123"/>
    <w:rsid w:val="001C2158"/>
    <w:rsid w:val="001C231A"/>
    <w:rsid w:val="001C241F"/>
    <w:rsid w:val="001C26A4"/>
    <w:rsid w:val="001C2705"/>
    <w:rsid w:val="001C27DD"/>
    <w:rsid w:val="001C28D2"/>
    <w:rsid w:val="001C2ABA"/>
    <w:rsid w:val="001C2AD7"/>
    <w:rsid w:val="001C2AF6"/>
    <w:rsid w:val="001C2D42"/>
    <w:rsid w:val="001C2F88"/>
    <w:rsid w:val="001C2F8A"/>
    <w:rsid w:val="001C3165"/>
    <w:rsid w:val="001C3228"/>
    <w:rsid w:val="001C33ED"/>
    <w:rsid w:val="001C33F0"/>
    <w:rsid w:val="001C3470"/>
    <w:rsid w:val="001C36F1"/>
    <w:rsid w:val="001C37C7"/>
    <w:rsid w:val="001C3803"/>
    <w:rsid w:val="001C38C5"/>
    <w:rsid w:val="001C3A1A"/>
    <w:rsid w:val="001C3A44"/>
    <w:rsid w:val="001C3A76"/>
    <w:rsid w:val="001C3D0A"/>
    <w:rsid w:val="001C3D61"/>
    <w:rsid w:val="001C3DED"/>
    <w:rsid w:val="001C3E03"/>
    <w:rsid w:val="001C3E04"/>
    <w:rsid w:val="001C3E4E"/>
    <w:rsid w:val="001C3EF6"/>
    <w:rsid w:val="001C3FC6"/>
    <w:rsid w:val="001C3FE6"/>
    <w:rsid w:val="001C4038"/>
    <w:rsid w:val="001C40C3"/>
    <w:rsid w:val="001C411E"/>
    <w:rsid w:val="001C41AE"/>
    <w:rsid w:val="001C43DA"/>
    <w:rsid w:val="001C4402"/>
    <w:rsid w:val="001C4481"/>
    <w:rsid w:val="001C44D9"/>
    <w:rsid w:val="001C44E3"/>
    <w:rsid w:val="001C4507"/>
    <w:rsid w:val="001C4702"/>
    <w:rsid w:val="001C4802"/>
    <w:rsid w:val="001C48B4"/>
    <w:rsid w:val="001C49D3"/>
    <w:rsid w:val="001C4AC5"/>
    <w:rsid w:val="001C4C77"/>
    <w:rsid w:val="001C4C94"/>
    <w:rsid w:val="001C4C9E"/>
    <w:rsid w:val="001C4D71"/>
    <w:rsid w:val="001C4E43"/>
    <w:rsid w:val="001C4F98"/>
    <w:rsid w:val="001C4FFF"/>
    <w:rsid w:val="001C50A2"/>
    <w:rsid w:val="001C5166"/>
    <w:rsid w:val="001C52E3"/>
    <w:rsid w:val="001C5323"/>
    <w:rsid w:val="001C5326"/>
    <w:rsid w:val="001C57DD"/>
    <w:rsid w:val="001C588C"/>
    <w:rsid w:val="001C58E4"/>
    <w:rsid w:val="001C58FA"/>
    <w:rsid w:val="001C58FF"/>
    <w:rsid w:val="001C59A9"/>
    <w:rsid w:val="001C5DD8"/>
    <w:rsid w:val="001C5DFB"/>
    <w:rsid w:val="001C5F4E"/>
    <w:rsid w:val="001C5FC7"/>
    <w:rsid w:val="001C6085"/>
    <w:rsid w:val="001C6099"/>
    <w:rsid w:val="001C60C9"/>
    <w:rsid w:val="001C6211"/>
    <w:rsid w:val="001C6256"/>
    <w:rsid w:val="001C62F9"/>
    <w:rsid w:val="001C642E"/>
    <w:rsid w:val="001C67F2"/>
    <w:rsid w:val="001C6841"/>
    <w:rsid w:val="001C6877"/>
    <w:rsid w:val="001C6AED"/>
    <w:rsid w:val="001C6C7E"/>
    <w:rsid w:val="001C6C93"/>
    <w:rsid w:val="001C6CD5"/>
    <w:rsid w:val="001C6D9C"/>
    <w:rsid w:val="001C6F53"/>
    <w:rsid w:val="001C7019"/>
    <w:rsid w:val="001C701A"/>
    <w:rsid w:val="001C709D"/>
    <w:rsid w:val="001C7108"/>
    <w:rsid w:val="001C7294"/>
    <w:rsid w:val="001C739A"/>
    <w:rsid w:val="001C7450"/>
    <w:rsid w:val="001C7595"/>
    <w:rsid w:val="001C75FA"/>
    <w:rsid w:val="001C77AF"/>
    <w:rsid w:val="001C79BC"/>
    <w:rsid w:val="001C79F7"/>
    <w:rsid w:val="001C7A4E"/>
    <w:rsid w:val="001C7BD9"/>
    <w:rsid w:val="001C7D2C"/>
    <w:rsid w:val="001C7D46"/>
    <w:rsid w:val="001C7D9A"/>
    <w:rsid w:val="001C7DE2"/>
    <w:rsid w:val="001C7DF7"/>
    <w:rsid w:val="001C7F79"/>
    <w:rsid w:val="001C7FBF"/>
    <w:rsid w:val="001C7FDA"/>
    <w:rsid w:val="001D0000"/>
    <w:rsid w:val="001D0140"/>
    <w:rsid w:val="001D02BB"/>
    <w:rsid w:val="001D0382"/>
    <w:rsid w:val="001D0465"/>
    <w:rsid w:val="001D054F"/>
    <w:rsid w:val="001D069A"/>
    <w:rsid w:val="001D0754"/>
    <w:rsid w:val="001D0935"/>
    <w:rsid w:val="001D0971"/>
    <w:rsid w:val="001D098C"/>
    <w:rsid w:val="001D0A61"/>
    <w:rsid w:val="001D0D16"/>
    <w:rsid w:val="001D0DF9"/>
    <w:rsid w:val="001D0E03"/>
    <w:rsid w:val="001D0F44"/>
    <w:rsid w:val="001D124A"/>
    <w:rsid w:val="001D147F"/>
    <w:rsid w:val="001D154F"/>
    <w:rsid w:val="001D15A0"/>
    <w:rsid w:val="001D15CB"/>
    <w:rsid w:val="001D16E7"/>
    <w:rsid w:val="001D18E8"/>
    <w:rsid w:val="001D1949"/>
    <w:rsid w:val="001D1965"/>
    <w:rsid w:val="001D19BC"/>
    <w:rsid w:val="001D1A30"/>
    <w:rsid w:val="001D1A98"/>
    <w:rsid w:val="001D1B9F"/>
    <w:rsid w:val="001D1C01"/>
    <w:rsid w:val="001D1C6F"/>
    <w:rsid w:val="001D1D18"/>
    <w:rsid w:val="001D1E2D"/>
    <w:rsid w:val="001D1E94"/>
    <w:rsid w:val="001D1EB6"/>
    <w:rsid w:val="001D2013"/>
    <w:rsid w:val="001D2213"/>
    <w:rsid w:val="001D22B5"/>
    <w:rsid w:val="001D245C"/>
    <w:rsid w:val="001D24A3"/>
    <w:rsid w:val="001D24BB"/>
    <w:rsid w:val="001D251F"/>
    <w:rsid w:val="001D258B"/>
    <w:rsid w:val="001D2684"/>
    <w:rsid w:val="001D2685"/>
    <w:rsid w:val="001D26ED"/>
    <w:rsid w:val="001D2769"/>
    <w:rsid w:val="001D27CC"/>
    <w:rsid w:val="001D27E3"/>
    <w:rsid w:val="001D2991"/>
    <w:rsid w:val="001D2998"/>
    <w:rsid w:val="001D2B5F"/>
    <w:rsid w:val="001D2B89"/>
    <w:rsid w:val="001D2DBC"/>
    <w:rsid w:val="001D2DF6"/>
    <w:rsid w:val="001D2F91"/>
    <w:rsid w:val="001D31EF"/>
    <w:rsid w:val="001D3273"/>
    <w:rsid w:val="001D3367"/>
    <w:rsid w:val="001D3391"/>
    <w:rsid w:val="001D33AD"/>
    <w:rsid w:val="001D33D4"/>
    <w:rsid w:val="001D3458"/>
    <w:rsid w:val="001D3493"/>
    <w:rsid w:val="001D34E5"/>
    <w:rsid w:val="001D3551"/>
    <w:rsid w:val="001D3585"/>
    <w:rsid w:val="001D35B6"/>
    <w:rsid w:val="001D3C17"/>
    <w:rsid w:val="001D3C8C"/>
    <w:rsid w:val="001D3E12"/>
    <w:rsid w:val="001D3F75"/>
    <w:rsid w:val="001D411A"/>
    <w:rsid w:val="001D4551"/>
    <w:rsid w:val="001D4562"/>
    <w:rsid w:val="001D4758"/>
    <w:rsid w:val="001D47F7"/>
    <w:rsid w:val="001D4834"/>
    <w:rsid w:val="001D4963"/>
    <w:rsid w:val="001D499A"/>
    <w:rsid w:val="001D49A8"/>
    <w:rsid w:val="001D49B6"/>
    <w:rsid w:val="001D4B28"/>
    <w:rsid w:val="001D4B9E"/>
    <w:rsid w:val="001D4BB2"/>
    <w:rsid w:val="001D4BFB"/>
    <w:rsid w:val="001D4CBC"/>
    <w:rsid w:val="001D4D21"/>
    <w:rsid w:val="001D4D29"/>
    <w:rsid w:val="001D4EE7"/>
    <w:rsid w:val="001D4F19"/>
    <w:rsid w:val="001D4F1E"/>
    <w:rsid w:val="001D5064"/>
    <w:rsid w:val="001D5252"/>
    <w:rsid w:val="001D5272"/>
    <w:rsid w:val="001D551B"/>
    <w:rsid w:val="001D5706"/>
    <w:rsid w:val="001D574B"/>
    <w:rsid w:val="001D57DB"/>
    <w:rsid w:val="001D5956"/>
    <w:rsid w:val="001D5994"/>
    <w:rsid w:val="001D5A37"/>
    <w:rsid w:val="001D5B2F"/>
    <w:rsid w:val="001D5C34"/>
    <w:rsid w:val="001D5C89"/>
    <w:rsid w:val="001D5C93"/>
    <w:rsid w:val="001D5CAA"/>
    <w:rsid w:val="001D5D12"/>
    <w:rsid w:val="001D5D59"/>
    <w:rsid w:val="001D5DA8"/>
    <w:rsid w:val="001D5E5B"/>
    <w:rsid w:val="001D5F25"/>
    <w:rsid w:val="001D5F51"/>
    <w:rsid w:val="001D60B5"/>
    <w:rsid w:val="001D6255"/>
    <w:rsid w:val="001D6334"/>
    <w:rsid w:val="001D6409"/>
    <w:rsid w:val="001D655A"/>
    <w:rsid w:val="001D667F"/>
    <w:rsid w:val="001D668E"/>
    <w:rsid w:val="001D66CD"/>
    <w:rsid w:val="001D6732"/>
    <w:rsid w:val="001D679B"/>
    <w:rsid w:val="001D68FF"/>
    <w:rsid w:val="001D698E"/>
    <w:rsid w:val="001D6D8B"/>
    <w:rsid w:val="001D6D8E"/>
    <w:rsid w:val="001D6E48"/>
    <w:rsid w:val="001D6F44"/>
    <w:rsid w:val="001D7090"/>
    <w:rsid w:val="001D7108"/>
    <w:rsid w:val="001D7206"/>
    <w:rsid w:val="001D72D0"/>
    <w:rsid w:val="001D72E2"/>
    <w:rsid w:val="001D7311"/>
    <w:rsid w:val="001D7420"/>
    <w:rsid w:val="001D7441"/>
    <w:rsid w:val="001D7582"/>
    <w:rsid w:val="001D7614"/>
    <w:rsid w:val="001D77B8"/>
    <w:rsid w:val="001D77F7"/>
    <w:rsid w:val="001D7B05"/>
    <w:rsid w:val="001D7BFA"/>
    <w:rsid w:val="001D7D6D"/>
    <w:rsid w:val="001D7EDA"/>
    <w:rsid w:val="001DE4BA"/>
    <w:rsid w:val="001E0120"/>
    <w:rsid w:val="001E01E8"/>
    <w:rsid w:val="001E037E"/>
    <w:rsid w:val="001E0389"/>
    <w:rsid w:val="001E05F3"/>
    <w:rsid w:val="001E06C7"/>
    <w:rsid w:val="001E07F3"/>
    <w:rsid w:val="001E082C"/>
    <w:rsid w:val="001E0891"/>
    <w:rsid w:val="001E0911"/>
    <w:rsid w:val="001E092C"/>
    <w:rsid w:val="001E0A23"/>
    <w:rsid w:val="001E0A99"/>
    <w:rsid w:val="001E0BBE"/>
    <w:rsid w:val="001E0C0F"/>
    <w:rsid w:val="001E0D43"/>
    <w:rsid w:val="001E0D9C"/>
    <w:rsid w:val="001E0E28"/>
    <w:rsid w:val="001E0F33"/>
    <w:rsid w:val="001E0FA9"/>
    <w:rsid w:val="001E15D0"/>
    <w:rsid w:val="001E17B7"/>
    <w:rsid w:val="001E1822"/>
    <w:rsid w:val="001E1AF9"/>
    <w:rsid w:val="001E1EBF"/>
    <w:rsid w:val="001E1F1A"/>
    <w:rsid w:val="001E1F35"/>
    <w:rsid w:val="001E1F6F"/>
    <w:rsid w:val="001E208C"/>
    <w:rsid w:val="001E20E2"/>
    <w:rsid w:val="001E2183"/>
    <w:rsid w:val="001E2187"/>
    <w:rsid w:val="001E2263"/>
    <w:rsid w:val="001E22F3"/>
    <w:rsid w:val="001E2363"/>
    <w:rsid w:val="001E238A"/>
    <w:rsid w:val="001E23F9"/>
    <w:rsid w:val="001E2422"/>
    <w:rsid w:val="001E24BC"/>
    <w:rsid w:val="001E2547"/>
    <w:rsid w:val="001E2548"/>
    <w:rsid w:val="001E2574"/>
    <w:rsid w:val="001E26D1"/>
    <w:rsid w:val="001E26F5"/>
    <w:rsid w:val="001E273D"/>
    <w:rsid w:val="001E2A0F"/>
    <w:rsid w:val="001E2CB4"/>
    <w:rsid w:val="001E2CDC"/>
    <w:rsid w:val="001E2D6B"/>
    <w:rsid w:val="001E2DA7"/>
    <w:rsid w:val="001E2E30"/>
    <w:rsid w:val="001E2EFA"/>
    <w:rsid w:val="001E300F"/>
    <w:rsid w:val="001E308F"/>
    <w:rsid w:val="001E336B"/>
    <w:rsid w:val="001E3374"/>
    <w:rsid w:val="001E33E9"/>
    <w:rsid w:val="001E3610"/>
    <w:rsid w:val="001E36B3"/>
    <w:rsid w:val="001E3752"/>
    <w:rsid w:val="001E37F0"/>
    <w:rsid w:val="001E393A"/>
    <w:rsid w:val="001E395A"/>
    <w:rsid w:val="001E3A04"/>
    <w:rsid w:val="001E3A08"/>
    <w:rsid w:val="001E3BEB"/>
    <w:rsid w:val="001E3C34"/>
    <w:rsid w:val="001E3D0F"/>
    <w:rsid w:val="001E3D2E"/>
    <w:rsid w:val="001E3DBB"/>
    <w:rsid w:val="001E3DBF"/>
    <w:rsid w:val="001E3DDC"/>
    <w:rsid w:val="001E3F35"/>
    <w:rsid w:val="001E3F83"/>
    <w:rsid w:val="001E400E"/>
    <w:rsid w:val="001E415A"/>
    <w:rsid w:val="001E4188"/>
    <w:rsid w:val="001E419E"/>
    <w:rsid w:val="001E41C7"/>
    <w:rsid w:val="001E42CA"/>
    <w:rsid w:val="001E4314"/>
    <w:rsid w:val="001E459F"/>
    <w:rsid w:val="001E4663"/>
    <w:rsid w:val="001E4668"/>
    <w:rsid w:val="001E479E"/>
    <w:rsid w:val="001E49BB"/>
    <w:rsid w:val="001E49C6"/>
    <w:rsid w:val="001E4A5E"/>
    <w:rsid w:val="001E4B9D"/>
    <w:rsid w:val="001E4D83"/>
    <w:rsid w:val="001E4E59"/>
    <w:rsid w:val="001E520D"/>
    <w:rsid w:val="001E5325"/>
    <w:rsid w:val="001E5338"/>
    <w:rsid w:val="001E5583"/>
    <w:rsid w:val="001E56E1"/>
    <w:rsid w:val="001E56EF"/>
    <w:rsid w:val="001E57C2"/>
    <w:rsid w:val="001E5825"/>
    <w:rsid w:val="001E5A0C"/>
    <w:rsid w:val="001E5A35"/>
    <w:rsid w:val="001E5A63"/>
    <w:rsid w:val="001E5BC0"/>
    <w:rsid w:val="001E5BD0"/>
    <w:rsid w:val="001E5C48"/>
    <w:rsid w:val="001E5DA2"/>
    <w:rsid w:val="001E5DEC"/>
    <w:rsid w:val="001E5FFE"/>
    <w:rsid w:val="001E60EF"/>
    <w:rsid w:val="001E60F8"/>
    <w:rsid w:val="001E6132"/>
    <w:rsid w:val="001E626D"/>
    <w:rsid w:val="001E6310"/>
    <w:rsid w:val="001E6421"/>
    <w:rsid w:val="001E6485"/>
    <w:rsid w:val="001E680F"/>
    <w:rsid w:val="001E69DC"/>
    <w:rsid w:val="001E6B4B"/>
    <w:rsid w:val="001E6D51"/>
    <w:rsid w:val="001E6DAF"/>
    <w:rsid w:val="001E7053"/>
    <w:rsid w:val="001E709C"/>
    <w:rsid w:val="001E70A6"/>
    <w:rsid w:val="001E70B9"/>
    <w:rsid w:val="001E7149"/>
    <w:rsid w:val="001E71D3"/>
    <w:rsid w:val="001E73DA"/>
    <w:rsid w:val="001E7783"/>
    <w:rsid w:val="001E78BA"/>
    <w:rsid w:val="001E78C9"/>
    <w:rsid w:val="001E7929"/>
    <w:rsid w:val="001E7998"/>
    <w:rsid w:val="001E7A72"/>
    <w:rsid w:val="001E7AF7"/>
    <w:rsid w:val="001E7B93"/>
    <w:rsid w:val="001E7C2A"/>
    <w:rsid w:val="001E7C3A"/>
    <w:rsid w:val="001E7D39"/>
    <w:rsid w:val="001E7FFC"/>
    <w:rsid w:val="001F0049"/>
    <w:rsid w:val="001F0232"/>
    <w:rsid w:val="001F026C"/>
    <w:rsid w:val="001F058F"/>
    <w:rsid w:val="001F060E"/>
    <w:rsid w:val="001F09D0"/>
    <w:rsid w:val="001F0A0B"/>
    <w:rsid w:val="001F0CB7"/>
    <w:rsid w:val="001F0DD8"/>
    <w:rsid w:val="001F0F36"/>
    <w:rsid w:val="001F1029"/>
    <w:rsid w:val="001F108B"/>
    <w:rsid w:val="001F1170"/>
    <w:rsid w:val="001F11C4"/>
    <w:rsid w:val="001F11F2"/>
    <w:rsid w:val="001F159D"/>
    <w:rsid w:val="001F1635"/>
    <w:rsid w:val="001F1722"/>
    <w:rsid w:val="001F1743"/>
    <w:rsid w:val="001F1786"/>
    <w:rsid w:val="001F1799"/>
    <w:rsid w:val="001F17D7"/>
    <w:rsid w:val="001F19EF"/>
    <w:rsid w:val="001F1BBE"/>
    <w:rsid w:val="001F1BD2"/>
    <w:rsid w:val="001F1BF3"/>
    <w:rsid w:val="001F1C1A"/>
    <w:rsid w:val="001F1DEE"/>
    <w:rsid w:val="001F1DFE"/>
    <w:rsid w:val="001F1EA4"/>
    <w:rsid w:val="001F1FB0"/>
    <w:rsid w:val="001F212E"/>
    <w:rsid w:val="001F2450"/>
    <w:rsid w:val="001F2487"/>
    <w:rsid w:val="001F25F3"/>
    <w:rsid w:val="001F26AA"/>
    <w:rsid w:val="001F2790"/>
    <w:rsid w:val="001F27BA"/>
    <w:rsid w:val="001F2943"/>
    <w:rsid w:val="001F2A93"/>
    <w:rsid w:val="001F2D15"/>
    <w:rsid w:val="001F2D1F"/>
    <w:rsid w:val="001F2F73"/>
    <w:rsid w:val="001F3021"/>
    <w:rsid w:val="001F303B"/>
    <w:rsid w:val="001F30CF"/>
    <w:rsid w:val="001F32C4"/>
    <w:rsid w:val="001F333A"/>
    <w:rsid w:val="001F3524"/>
    <w:rsid w:val="001F355A"/>
    <w:rsid w:val="001F3688"/>
    <w:rsid w:val="001F3719"/>
    <w:rsid w:val="001F3907"/>
    <w:rsid w:val="001F3938"/>
    <w:rsid w:val="001F39CC"/>
    <w:rsid w:val="001F3A18"/>
    <w:rsid w:val="001F3A25"/>
    <w:rsid w:val="001F3A4D"/>
    <w:rsid w:val="001F3AC3"/>
    <w:rsid w:val="001F3B7F"/>
    <w:rsid w:val="001F3C73"/>
    <w:rsid w:val="001F3C93"/>
    <w:rsid w:val="001F3CD5"/>
    <w:rsid w:val="001F3DEC"/>
    <w:rsid w:val="001F3ECB"/>
    <w:rsid w:val="001F3F7C"/>
    <w:rsid w:val="001F3F95"/>
    <w:rsid w:val="001F4055"/>
    <w:rsid w:val="001F418B"/>
    <w:rsid w:val="001F4244"/>
    <w:rsid w:val="001F43F1"/>
    <w:rsid w:val="001F4410"/>
    <w:rsid w:val="001F44E2"/>
    <w:rsid w:val="001F46C4"/>
    <w:rsid w:val="001F4715"/>
    <w:rsid w:val="001F496E"/>
    <w:rsid w:val="001F49FD"/>
    <w:rsid w:val="001F4AA1"/>
    <w:rsid w:val="001F4CB6"/>
    <w:rsid w:val="001F4E13"/>
    <w:rsid w:val="001F4E26"/>
    <w:rsid w:val="001F4E66"/>
    <w:rsid w:val="001F4F7A"/>
    <w:rsid w:val="001F4F80"/>
    <w:rsid w:val="001F501A"/>
    <w:rsid w:val="001F5089"/>
    <w:rsid w:val="001F525D"/>
    <w:rsid w:val="001F53E8"/>
    <w:rsid w:val="001F550B"/>
    <w:rsid w:val="001F553B"/>
    <w:rsid w:val="001F5592"/>
    <w:rsid w:val="001F55D6"/>
    <w:rsid w:val="001F55FF"/>
    <w:rsid w:val="001F5602"/>
    <w:rsid w:val="001F569D"/>
    <w:rsid w:val="001F57CB"/>
    <w:rsid w:val="001F57E3"/>
    <w:rsid w:val="001F5853"/>
    <w:rsid w:val="001F58AD"/>
    <w:rsid w:val="001F590C"/>
    <w:rsid w:val="001F5925"/>
    <w:rsid w:val="001F5B13"/>
    <w:rsid w:val="001F5C5B"/>
    <w:rsid w:val="001F5D41"/>
    <w:rsid w:val="001F5E49"/>
    <w:rsid w:val="001F5E5C"/>
    <w:rsid w:val="001F5E8F"/>
    <w:rsid w:val="001F609D"/>
    <w:rsid w:val="001F61C5"/>
    <w:rsid w:val="001F61CA"/>
    <w:rsid w:val="001F62B4"/>
    <w:rsid w:val="001F62DD"/>
    <w:rsid w:val="001F633B"/>
    <w:rsid w:val="001F6601"/>
    <w:rsid w:val="001F68FC"/>
    <w:rsid w:val="001F6A45"/>
    <w:rsid w:val="001F6A55"/>
    <w:rsid w:val="001F6A86"/>
    <w:rsid w:val="001F6AF0"/>
    <w:rsid w:val="001F6BC1"/>
    <w:rsid w:val="001F6C54"/>
    <w:rsid w:val="001F6DFB"/>
    <w:rsid w:val="001F6F9C"/>
    <w:rsid w:val="001F7005"/>
    <w:rsid w:val="001F70A5"/>
    <w:rsid w:val="001F70D4"/>
    <w:rsid w:val="001F710B"/>
    <w:rsid w:val="001F71F4"/>
    <w:rsid w:val="001F71F6"/>
    <w:rsid w:val="001F720A"/>
    <w:rsid w:val="001F72D8"/>
    <w:rsid w:val="001F736B"/>
    <w:rsid w:val="001F73C7"/>
    <w:rsid w:val="001F7579"/>
    <w:rsid w:val="001F7608"/>
    <w:rsid w:val="001F76EB"/>
    <w:rsid w:val="001F7CCA"/>
    <w:rsid w:val="001F7D85"/>
    <w:rsid w:val="001F7E19"/>
    <w:rsid w:val="001F7EA3"/>
    <w:rsid w:val="001F7EAA"/>
    <w:rsid w:val="001F7EAC"/>
    <w:rsid w:val="001F7F5D"/>
    <w:rsid w:val="001F7F88"/>
    <w:rsid w:val="002001C3"/>
    <w:rsid w:val="00200280"/>
    <w:rsid w:val="0020031D"/>
    <w:rsid w:val="00200327"/>
    <w:rsid w:val="002003F1"/>
    <w:rsid w:val="002005CF"/>
    <w:rsid w:val="002006C7"/>
    <w:rsid w:val="002006D0"/>
    <w:rsid w:val="00200834"/>
    <w:rsid w:val="002008F4"/>
    <w:rsid w:val="00200ABB"/>
    <w:rsid w:val="00200D50"/>
    <w:rsid w:val="00200E4B"/>
    <w:rsid w:val="00200ECB"/>
    <w:rsid w:val="002010B9"/>
    <w:rsid w:val="00201124"/>
    <w:rsid w:val="00201148"/>
    <w:rsid w:val="0020114C"/>
    <w:rsid w:val="002011CE"/>
    <w:rsid w:val="00201203"/>
    <w:rsid w:val="0020125E"/>
    <w:rsid w:val="002013BF"/>
    <w:rsid w:val="00201488"/>
    <w:rsid w:val="002014E4"/>
    <w:rsid w:val="00201590"/>
    <w:rsid w:val="00201770"/>
    <w:rsid w:val="0020187C"/>
    <w:rsid w:val="002018EA"/>
    <w:rsid w:val="0020190E"/>
    <w:rsid w:val="00201987"/>
    <w:rsid w:val="00201ABA"/>
    <w:rsid w:val="00201BEB"/>
    <w:rsid w:val="00201C81"/>
    <w:rsid w:val="00201D12"/>
    <w:rsid w:val="00201E5D"/>
    <w:rsid w:val="0020207D"/>
    <w:rsid w:val="002020BE"/>
    <w:rsid w:val="00202120"/>
    <w:rsid w:val="00202152"/>
    <w:rsid w:val="002021BF"/>
    <w:rsid w:val="002021C7"/>
    <w:rsid w:val="002021F7"/>
    <w:rsid w:val="002022DF"/>
    <w:rsid w:val="002022E8"/>
    <w:rsid w:val="002022F6"/>
    <w:rsid w:val="00202317"/>
    <w:rsid w:val="0020239A"/>
    <w:rsid w:val="002023C1"/>
    <w:rsid w:val="00202472"/>
    <w:rsid w:val="0020265E"/>
    <w:rsid w:val="002026C7"/>
    <w:rsid w:val="00202724"/>
    <w:rsid w:val="00202A70"/>
    <w:rsid w:val="00202BF9"/>
    <w:rsid w:val="00202C34"/>
    <w:rsid w:val="00202C45"/>
    <w:rsid w:val="00202F70"/>
    <w:rsid w:val="0020303C"/>
    <w:rsid w:val="00203177"/>
    <w:rsid w:val="002032F8"/>
    <w:rsid w:val="00203446"/>
    <w:rsid w:val="002034B3"/>
    <w:rsid w:val="00203610"/>
    <w:rsid w:val="00203970"/>
    <w:rsid w:val="002039BF"/>
    <w:rsid w:val="00203ACD"/>
    <w:rsid w:val="00203BC9"/>
    <w:rsid w:val="00203CDE"/>
    <w:rsid w:val="00203D6B"/>
    <w:rsid w:val="00203DC6"/>
    <w:rsid w:val="0020408F"/>
    <w:rsid w:val="002043BD"/>
    <w:rsid w:val="002043FF"/>
    <w:rsid w:val="00204466"/>
    <w:rsid w:val="002044B0"/>
    <w:rsid w:val="0020452D"/>
    <w:rsid w:val="002045A0"/>
    <w:rsid w:val="002047EF"/>
    <w:rsid w:val="00204952"/>
    <w:rsid w:val="00204992"/>
    <w:rsid w:val="0020499A"/>
    <w:rsid w:val="002049B7"/>
    <w:rsid w:val="002049E4"/>
    <w:rsid w:val="00204B89"/>
    <w:rsid w:val="00204D0D"/>
    <w:rsid w:val="00204D2F"/>
    <w:rsid w:val="00204E41"/>
    <w:rsid w:val="0020503A"/>
    <w:rsid w:val="0020505B"/>
    <w:rsid w:val="0020507D"/>
    <w:rsid w:val="002051EF"/>
    <w:rsid w:val="0020522A"/>
    <w:rsid w:val="00205522"/>
    <w:rsid w:val="00205533"/>
    <w:rsid w:val="002055A1"/>
    <w:rsid w:val="002057C2"/>
    <w:rsid w:val="0020584C"/>
    <w:rsid w:val="0020593A"/>
    <w:rsid w:val="00205BF7"/>
    <w:rsid w:val="00205CB6"/>
    <w:rsid w:val="00205DAB"/>
    <w:rsid w:val="00205E9B"/>
    <w:rsid w:val="00205EC4"/>
    <w:rsid w:val="00205F66"/>
    <w:rsid w:val="0020610C"/>
    <w:rsid w:val="002061D2"/>
    <w:rsid w:val="002061E8"/>
    <w:rsid w:val="002061F4"/>
    <w:rsid w:val="002063DD"/>
    <w:rsid w:val="00206461"/>
    <w:rsid w:val="00206466"/>
    <w:rsid w:val="002064B1"/>
    <w:rsid w:val="002065BA"/>
    <w:rsid w:val="002065F3"/>
    <w:rsid w:val="002065F6"/>
    <w:rsid w:val="0020661D"/>
    <w:rsid w:val="00206750"/>
    <w:rsid w:val="0020679B"/>
    <w:rsid w:val="002067B5"/>
    <w:rsid w:val="002067BB"/>
    <w:rsid w:val="002067C5"/>
    <w:rsid w:val="002068BA"/>
    <w:rsid w:val="00206949"/>
    <w:rsid w:val="00206A41"/>
    <w:rsid w:val="00206A9A"/>
    <w:rsid w:val="00206AE1"/>
    <w:rsid w:val="00206B6C"/>
    <w:rsid w:val="00206B96"/>
    <w:rsid w:val="00206C5C"/>
    <w:rsid w:val="00206C64"/>
    <w:rsid w:val="00206C71"/>
    <w:rsid w:val="00206E34"/>
    <w:rsid w:val="00206E35"/>
    <w:rsid w:val="00206EBF"/>
    <w:rsid w:val="00206F84"/>
    <w:rsid w:val="002071C7"/>
    <w:rsid w:val="00207233"/>
    <w:rsid w:val="00207266"/>
    <w:rsid w:val="00207399"/>
    <w:rsid w:val="00207798"/>
    <w:rsid w:val="0020785F"/>
    <w:rsid w:val="002078E0"/>
    <w:rsid w:val="00207B05"/>
    <w:rsid w:val="00207B27"/>
    <w:rsid w:val="00207CB1"/>
    <w:rsid w:val="00207DE4"/>
    <w:rsid w:val="00207EA3"/>
    <w:rsid w:val="00207EF3"/>
    <w:rsid w:val="00207F52"/>
    <w:rsid w:val="00207FBA"/>
    <w:rsid w:val="0021002F"/>
    <w:rsid w:val="002100CC"/>
    <w:rsid w:val="002100DF"/>
    <w:rsid w:val="002101F6"/>
    <w:rsid w:val="00210397"/>
    <w:rsid w:val="002103C0"/>
    <w:rsid w:val="00210433"/>
    <w:rsid w:val="002105F1"/>
    <w:rsid w:val="002106F5"/>
    <w:rsid w:val="00210727"/>
    <w:rsid w:val="002109DA"/>
    <w:rsid w:val="00210AA3"/>
    <w:rsid w:val="00210B48"/>
    <w:rsid w:val="00210C99"/>
    <w:rsid w:val="00210CE2"/>
    <w:rsid w:val="00210CE3"/>
    <w:rsid w:val="00210E32"/>
    <w:rsid w:val="00210E60"/>
    <w:rsid w:val="00210E83"/>
    <w:rsid w:val="00210F09"/>
    <w:rsid w:val="002110E5"/>
    <w:rsid w:val="00211291"/>
    <w:rsid w:val="00211503"/>
    <w:rsid w:val="00211526"/>
    <w:rsid w:val="00211682"/>
    <w:rsid w:val="00211904"/>
    <w:rsid w:val="00211933"/>
    <w:rsid w:val="00211A21"/>
    <w:rsid w:val="00211B36"/>
    <w:rsid w:val="00211BB9"/>
    <w:rsid w:val="00211C00"/>
    <w:rsid w:val="00211CF4"/>
    <w:rsid w:val="00211D19"/>
    <w:rsid w:val="00211D88"/>
    <w:rsid w:val="00211DE4"/>
    <w:rsid w:val="00211ED0"/>
    <w:rsid w:val="00212200"/>
    <w:rsid w:val="0021224D"/>
    <w:rsid w:val="00212255"/>
    <w:rsid w:val="002122F3"/>
    <w:rsid w:val="002123EA"/>
    <w:rsid w:val="00212447"/>
    <w:rsid w:val="00212513"/>
    <w:rsid w:val="00212568"/>
    <w:rsid w:val="002125DB"/>
    <w:rsid w:val="002125EA"/>
    <w:rsid w:val="00212655"/>
    <w:rsid w:val="002126A8"/>
    <w:rsid w:val="002126CA"/>
    <w:rsid w:val="00212707"/>
    <w:rsid w:val="002127BD"/>
    <w:rsid w:val="002127D7"/>
    <w:rsid w:val="00212973"/>
    <w:rsid w:val="00212AAA"/>
    <w:rsid w:val="00212B16"/>
    <w:rsid w:val="00212CD5"/>
    <w:rsid w:val="00212E17"/>
    <w:rsid w:val="00212F7B"/>
    <w:rsid w:val="00212FBD"/>
    <w:rsid w:val="00212FC8"/>
    <w:rsid w:val="0021307F"/>
    <w:rsid w:val="00213246"/>
    <w:rsid w:val="002132E6"/>
    <w:rsid w:val="00213308"/>
    <w:rsid w:val="002134A2"/>
    <w:rsid w:val="002135CA"/>
    <w:rsid w:val="0021383F"/>
    <w:rsid w:val="00213952"/>
    <w:rsid w:val="002139E4"/>
    <w:rsid w:val="00213AC8"/>
    <w:rsid w:val="00213EF0"/>
    <w:rsid w:val="00213F01"/>
    <w:rsid w:val="00213F24"/>
    <w:rsid w:val="00213FCB"/>
    <w:rsid w:val="0021407E"/>
    <w:rsid w:val="002140DB"/>
    <w:rsid w:val="0021410C"/>
    <w:rsid w:val="0021432B"/>
    <w:rsid w:val="00214403"/>
    <w:rsid w:val="0021445B"/>
    <w:rsid w:val="00214597"/>
    <w:rsid w:val="002146ED"/>
    <w:rsid w:val="002147D6"/>
    <w:rsid w:val="0021482F"/>
    <w:rsid w:val="0021487C"/>
    <w:rsid w:val="0021489B"/>
    <w:rsid w:val="00214925"/>
    <w:rsid w:val="002149B3"/>
    <w:rsid w:val="002149D0"/>
    <w:rsid w:val="002149F5"/>
    <w:rsid w:val="00214A01"/>
    <w:rsid w:val="00214A1F"/>
    <w:rsid w:val="00214A82"/>
    <w:rsid w:val="00214C8C"/>
    <w:rsid w:val="00214CE3"/>
    <w:rsid w:val="00214DCB"/>
    <w:rsid w:val="0021503E"/>
    <w:rsid w:val="0021506F"/>
    <w:rsid w:val="00215084"/>
    <w:rsid w:val="0021510A"/>
    <w:rsid w:val="002152D6"/>
    <w:rsid w:val="002153F1"/>
    <w:rsid w:val="00215508"/>
    <w:rsid w:val="0021568F"/>
    <w:rsid w:val="002156EB"/>
    <w:rsid w:val="002159A1"/>
    <w:rsid w:val="00215A4A"/>
    <w:rsid w:val="00215A5D"/>
    <w:rsid w:val="00215A86"/>
    <w:rsid w:val="00215B74"/>
    <w:rsid w:val="00215BDB"/>
    <w:rsid w:val="00215D2D"/>
    <w:rsid w:val="00215D6F"/>
    <w:rsid w:val="00215EA6"/>
    <w:rsid w:val="00215ECD"/>
    <w:rsid w:val="00215F45"/>
    <w:rsid w:val="00215FA8"/>
    <w:rsid w:val="00215FCB"/>
    <w:rsid w:val="00216057"/>
    <w:rsid w:val="0021633C"/>
    <w:rsid w:val="00216552"/>
    <w:rsid w:val="00216568"/>
    <w:rsid w:val="00216624"/>
    <w:rsid w:val="00216637"/>
    <w:rsid w:val="00216690"/>
    <w:rsid w:val="00216729"/>
    <w:rsid w:val="002168A7"/>
    <w:rsid w:val="002168D8"/>
    <w:rsid w:val="002169D8"/>
    <w:rsid w:val="002169FC"/>
    <w:rsid w:val="00216A1D"/>
    <w:rsid w:val="00216A99"/>
    <w:rsid w:val="00216AF1"/>
    <w:rsid w:val="00216CCA"/>
    <w:rsid w:val="00216E2C"/>
    <w:rsid w:val="00216F89"/>
    <w:rsid w:val="00216FED"/>
    <w:rsid w:val="00217173"/>
    <w:rsid w:val="00217230"/>
    <w:rsid w:val="00217263"/>
    <w:rsid w:val="00217454"/>
    <w:rsid w:val="002175D6"/>
    <w:rsid w:val="002175D9"/>
    <w:rsid w:val="002176B0"/>
    <w:rsid w:val="002179E3"/>
    <w:rsid w:val="00217BB1"/>
    <w:rsid w:val="00217BBB"/>
    <w:rsid w:val="00217C82"/>
    <w:rsid w:val="00217E22"/>
    <w:rsid w:val="0022007A"/>
    <w:rsid w:val="0022007E"/>
    <w:rsid w:val="00220096"/>
    <w:rsid w:val="00220116"/>
    <w:rsid w:val="00220210"/>
    <w:rsid w:val="00220280"/>
    <w:rsid w:val="002202E6"/>
    <w:rsid w:val="00220347"/>
    <w:rsid w:val="00220380"/>
    <w:rsid w:val="002204B9"/>
    <w:rsid w:val="002204DB"/>
    <w:rsid w:val="00220595"/>
    <w:rsid w:val="002205A3"/>
    <w:rsid w:val="00220644"/>
    <w:rsid w:val="0022064A"/>
    <w:rsid w:val="002206B5"/>
    <w:rsid w:val="002206E9"/>
    <w:rsid w:val="002208B6"/>
    <w:rsid w:val="002208BF"/>
    <w:rsid w:val="002208C8"/>
    <w:rsid w:val="002208F8"/>
    <w:rsid w:val="0022096A"/>
    <w:rsid w:val="00220B5B"/>
    <w:rsid w:val="00220B70"/>
    <w:rsid w:val="00220B7F"/>
    <w:rsid w:val="00220B8A"/>
    <w:rsid w:val="00220D84"/>
    <w:rsid w:val="00220DAC"/>
    <w:rsid w:val="00220E3E"/>
    <w:rsid w:val="00220F1B"/>
    <w:rsid w:val="00220FE5"/>
    <w:rsid w:val="0022102A"/>
    <w:rsid w:val="002210EB"/>
    <w:rsid w:val="00221123"/>
    <w:rsid w:val="0022120E"/>
    <w:rsid w:val="0022124F"/>
    <w:rsid w:val="002213F2"/>
    <w:rsid w:val="002214F7"/>
    <w:rsid w:val="00221719"/>
    <w:rsid w:val="00221764"/>
    <w:rsid w:val="00221774"/>
    <w:rsid w:val="00221794"/>
    <w:rsid w:val="002217A7"/>
    <w:rsid w:val="00221874"/>
    <w:rsid w:val="002218D8"/>
    <w:rsid w:val="00221A1D"/>
    <w:rsid w:val="00221A38"/>
    <w:rsid w:val="00221D6E"/>
    <w:rsid w:val="00221E13"/>
    <w:rsid w:val="00221E4F"/>
    <w:rsid w:val="00222062"/>
    <w:rsid w:val="002221AF"/>
    <w:rsid w:val="002222E1"/>
    <w:rsid w:val="00222473"/>
    <w:rsid w:val="00222651"/>
    <w:rsid w:val="0022266B"/>
    <w:rsid w:val="002229DB"/>
    <w:rsid w:val="002229E6"/>
    <w:rsid w:val="00222A5C"/>
    <w:rsid w:val="00222AB7"/>
    <w:rsid w:val="00222AE8"/>
    <w:rsid w:val="00222B13"/>
    <w:rsid w:val="00222D9F"/>
    <w:rsid w:val="00222E35"/>
    <w:rsid w:val="00222F47"/>
    <w:rsid w:val="00223178"/>
    <w:rsid w:val="002231CB"/>
    <w:rsid w:val="002231F6"/>
    <w:rsid w:val="00223221"/>
    <w:rsid w:val="002232DA"/>
    <w:rsid w:val="002232FE"/>
    <w:rsid w:val="00223371"/>
    <w:rsid w:val="002234F9"/>
    <w:rsid w:val="00223524"/>
    <w:rsid w:val="00223563"/>
    <w:rsid w:val="0022363F"/>
    <w:rsid w:val="00223642"/>
    <w:rsid w:val="00223669"/>
    <w:rsid w:val="00223670"/>
    <w:rsid w:val="00223762"/>
    <w:rsid w:val="00223833"/>
    <w:rsid w:val="002238EF"/>
    <w:rsid w:val="00223910"/>
    <w:rsid w:val="00223917"/>
    <w:rsid w:val="002239BD"/>
    <w:rsid w:val="00223AAD"/>
    <w:rsid w:val="00223DBE"/>
    <w:rsid w:val="00223EA7"/>
    <w:rsid w:val="00223FC6"/>
    <w:rsid w:val="00223FCC"/>
    <w:rsid w:val="00224087"/>
    <w:rsid w:val="00224363"/>
    <w:rsid w:val="00224518"/>
    <w:rsid w:val="002245CA"/>
    <w:rsid w:val="00224629"/>
    <w:rsid w:val="00224653"/>
    <w:rsid w:val="0022478B"/>
    <w:rsid w:val="002249AC"/>
    <w:rsid w:val="00224A0E"/>
    <w:rsid w:val="00224C6D"/>
    <w:rsid w:val="00224CFE"/>
    <w:rsid w:val="00224DF3"/>
    <w:rsid w:val="00224E59"/>
    <w:rsid w:val="00224F37"/>
    <w:rsid w:val="00224FEC"/>
    <w:rsid w:val="00225030"/>
    <w:rsid w:val="0022510D"/>
    <w:rsid w:val="0022527A"/>
    <w:rsid w:val="0022538D"/>
    <w:rsid w:val="002253EA"/>
    <w:rsid w:val="002254D1"/>
    <w:rsid w:val="002254F9"/>
    <w:rsid w:val="00225521"/>
    <w:rsid w:val="0022573E"/>
    <w:rsid w:val="002257D0"/>
    <w:rsid w:val="00225813"/>
    <w:rsid w:val="002259C3"/>
    <w:rsid w:val="00225AA7"/>
    <w:rsid w:val="00225AAE"/>
    <w:rsid w:val="00225BBE"/>
    <w:rsid w:val="00225DA4"/>
    <w:rsid w:val="00225DF0"/>
    <w:rsid w:val="00225EC5"/>
    <w:rsid w:val="00225F21"/>
    <w:rsid w:val="00225F55"/>
    <w:rsid w:val="0022604D"/>
    <w:rsid w:val="0022609D"/>
    <w:rsid w:val="00226341"/>
    <w:rsid w:val="0022641C"/>
    <w:rsid w:val="0022644C"/>
    <w:rsid w:val="00226480"/>
    <w:rsid w:val="002264F8"/>
    <w:rsid w:val="00226694"/>
    <w:rsid w:val="0022680C"/>
    <w:rsid w:val="00226B4D"/>
    <w:rsid w:val="00226B52"/>
    <w:rsid w:val="00226C2E"/>
    <w:rsid w:val="00226DFA"/>
    <w:rsid w:val="002271A3"/>
    <w:rsid w:val="0022727F"/>
    <w:rsid w:val="0022736F"/>
    <w:rsid w:val="0022738C"/>
    <w:rsid w:val="0022747A"/>
    <w:rsid w:val="00227720"/>
    <w:rsid w:val="002278E7"/>
    <w:rsid w:val="002278FA"/>
    <w:rsid w:val="0022792F"/>
    <w:rsid w:val="00227AF7"/>
    <w:rsid w:val="00227B5D"/>
    <w:rsid w:val="00227B91"/>
    <w:rsid w:val="00227BE0"/>
    <w:rsid w:val="00227C3F"/>
    <w:rsid w:val="00227D52"/>
    <w:rsid w:val="00227ED4"/>
    <w:rsid w:val="00227F78"/>
    <w:rsid w:val="00230310"/>
    <w:rsid w:val="00230318"/>
    <w:rsid w:val="002303CB"/>
    <w:rsid w:val="0023045D"/>
    <w:rsid w:val="00230590"/>
    <w:rsid w:val="0023087E"/>
    <w:rsid w:val="002309AB"/>
    <w:rsid w:val="00230B00"/>
    <w:rsid w:val="00230CB1"/>
    <w:rsid w:val="00230D44"/>
    <w:rsid w:val="00230D60"/>
    <w:rsid w:val="00230D72"/>
    <w:rsid w:val="00230E83"/>
    <w:rsid w:val="00230E99"/>
    <w:rsid w:val="00230F0A"/>
    <w:rsid w:val="0023112F"/>
    <w:rsid w:val="00231150"/>
    <w:rsid w:val="00231192"/>
    <w:rsid w:val="002311D0"/>
    <w:rsid w:val="0023122B"/>
    <w:rsid w:val="0023125F"/>
    <w:rsid w:val="0023150D"/>
    <w:rsid w:val="00231541"/>
    <w:rsid w:val="0023154C"/>
    <w:rsid w:val="00231624"/>
    <w:rsid w:val="0023164A"/>
    <w:rsid w:val="00231679"/>
    <w:rsid w:val="002316BB"/>
    <w:rsid w:val="002316C8"/>
    <w:rsid w:val="00231772"/>
    <w:rsid w:val="00231892"/>
    <w:rsid w:val="00231AFE"/>
    <w:rsid w:val="00231B6F"/>
    <w:rsid w:val="00231C41"/>
    <w:rsid w:val="00231E15"/>
    <w:rsid w:val="00231E8C"/>
    <w:rsid w:val="00231F6D"/>
    <w:rsid w:val="0023200E"/>
    <w:rsid w:val="002320F4"/>
    <w:rsid w:val="002322F8"/>
    <w:rsid w:val="00232404"/>
    <w:rsid w:val="00232415"/>
    <w:rsid w:val="00232429"/>
    <w:rsid w:val="00232463"/>
    <w:rsid w:val="002325B0"/>
    <w:rsid w:val="002327B3"/>
    <w:rsid w:val="002328E5"/>
    <w:rsid w:val="0023299E"/>
    <w:rsid w:val="00232A7B"/>
    <w:rsid w:val="00232AAD"/>
    <w:rsid w:val="00232CFD"/>
    <w:rsid w:val="00232D73"/>
    <w:rsid w:val="00232DDE"/>
    <w:rsid w:val="00232E64"/>
    <w:rsid w:val="00232EE9"/>
    <w:rsid w:val="00233121"/>
    <w:rsid w:val="002331E8"/>
    <w:rsid w:val="00233226"/>
    <w:rsid w:val="002333E5"/>
    <w:rsid w:val="00233487"/>
    <w:rsid w:val="00233522"/>
    <w:rsid w:val="00233662"/>
    <w:rsid w:val="002337E9"/>
    <w:rsid w:val="00233ADB"/>
    <w:rsid w:val="00233C60"/>
    <w:rsid w:val="00233CDF"/>
    <w:rsid w:val="00233E30"/>
    <w:rsid w:val="00233E81"/>
    <w:rsid w:val="00233F04"/>
    <w:rsid w:val="00233F4F"/>
    <w:rsid w:val="00233F7D"/>
    <w:rsid w:val="0023400C"/>
    <w:rsid w:val="002341E7"/>
    <w:rsid w:val="0023448C"/>
    <w:rsid w:val="0023470E"/>
    <w:rsid w:val="0023471E"/>
    <w:rsid w:val="00234780"/>
    <w:rsid w:val="00234A1A"/>
    <w:rsid w:val="00234A2A"/>
    <w:rsid w:val="00234D19"/>
    <w:rsid w:val="00234F58"/>
    <w:rsid w:val="00235025"/>
    <w:rsid w:val="00235232"/>
    <w:rsid w:val="0023528B"/>
    <w:rsid w:val="002353A2"/>
    <w:rsid w:val="002353C0"/>
    <w:rsid w:val="0023546B"/>
    <w:rsid w:val="002354D3"/>
    <w:rsid w:val="00235570"/>
    <w:rsid w:val="002356FB"/>
    <w:rsid w:val="002358C6"/>
    <w:rsid w:val="00235984"/>
    <w:rsid w:val="00235CFF"/>
    <w:rsid w:val="00235D0B"/>
    <w:rsid w:val="00235E19"/>
    <w:rsid w:val="00235EBD"/>
    <w:rsid w:val="0023609E"/>
    <w:rsid w:val="002360CB"/>
    <w:rsid w:val="00236227"/>
    <w:rsid w:val="0023628C"/>
    <w:rsid w:val="00236359"/>
    <w:rsid w:val="00236686"/>
    <w:rsid w:val="0023668A"/>
    <w:rsid w:val="00236B77"/>
    <w:rsid w:val="00236D6A"/>
    <w:rsid w:val="00236EF3"/>
    <w:rsid w:val="002371E6"/>
    <w:rsid w:val="002372AD"/>
    <w:rsid w:val="0023735C"/>
    <w:rsid w:val="002374FA"/>
    <w:rsid w:val="0023759B"/>
    <w:rsid w:val="00237685"/>
    <w:rsid w:val="0023774A"/>
    <w:rsid w:val="00237762"/>
    <w:rsid w:val="00237842"/>
    <w:rsid w:val="002379A6"/>
    <w:rsid w:val="00237A30"/>
    <w:rsid w:val="00237AA0"/>
    <w:rsid w:val="00237B64"/>
    <w:rsid w:val="00237BBC"/>
    <w:rsid w:val="00237C91"/>
    <w:rsid w:val="00237DAA"/>
    <w:rsid w:val="00237E04"/>
    <w:rsid w:val="00237E30"/>
    <w:rsid w:val="00237E7A"/>
    <w:rsid w:val="002400E2"/>
    <w:rsid w:val="002401B6"/>
    <w:rsid w:val="00240214"/>
    <w:rsid w:val="00240284"/>
    <w:rsid w:val="00240301"/>
    <w:rsid w:val="0024032A"/>
    <w:rsid w:val="0024039C"/>
    <w:rsid w:val="002407AE"/>
    <w:rsid w:val="00240943"/>
    <w:rsid w:val="00240A1C"/>
    <w:rsid w:val="00240B27"/>
    <w:rsid w:val="00240BF6"/>
    <w:rsid w:val="00240CFA"/>
    <w:rsid w:val="00240D83"/>
    <w:rsid w:val="00240DB0"/>
    <w:rsid w:val="00240EDD"/>
    <w:rsid w:val="00240FAA"/>
    <w:rsid w:val="00240FE1"/>
    <w:rsid w:val="0024106A"/>
    <w:rsid w:val="002411CD"/>
    <w:rsid w:val="0024134F"/>
    <w:rsid w:val="00241441"/>
    <w:rsid w:val="0024155C"/>
    <w:rsid w:val="0024156C"/>
    <w:rsid w:val="002415C0"/>
    <w:rsid w:val="002416B4"/>
    <w:rsid w:val="0024185F"/>
    <w:rsid w:val="00241889"/>
    <w:rsid w:val="00241965"/>
    <w:rsid w:val="00241A31"/>
    <w:rsid w:val="00241A49"/>
    <w:rsid w:val="00241AE2"/>
    <w:rsid w:val="00241F4B"/>
    <w:rsid w:val="00241F9E"/>
    <w:rsid w:val="00242028"/>
    <w:rsid w:val="00242042"/>
    <w:rsid w:val="0024209D"/>
    <w:rsid w:val="002422F3"/>
    <w:rsid w:val="00242711"/>
    <w:rsid w:val="0024274B"/>
    <w:rsid w:val="0024281B"/>
    <w:rsid w:val="002428C0"/>
    <w:rsid w:val="00242904"/>
    <w:rsid w:val="00242A40"/>
    <w:rsid w:val="00242A7A"/>
    <w:rsid w:val="00242B29"/>
    <w:rsid w:val="00242B67"/>
    <w:rsid w:val="00242C6E"/>
    <w:rsid w:val="00242DC9"/>
    <w:rsid w:val="00242E64"/>
    <w:rsid w:val="00242E7A"/>
    <w:rsid w:val="00242ECE"/>
    <w:rsid w:val="00242EDE"/>
    <w:rsid w:val="002431EF"/>
    <w:rsid w:val="00243226"/>
    <w:rsid w:val="0024354B"/>
    <w:rsid w:val="00243562"/>
    <w:rsid w:val="0024362C"/>
    <w:rsid w:val="0024367C"/>
    <w:rsid w:val="002436E8"/>
    <w:rsid w:val="00243822"/>
    <w:rsid w:val="00243899"/>
    <w:rsid w:val="0024399A"/>
    <w:rsid w:val="00243A0B"/>
    <w:rsid w:val="00243B1C"/>
    <w:rsid w:val="00243B3B"/>
    <w:rsid w:val="00243B65"/>
    <w:rsid w:val="00243BF8"/>
    <w:rsid w:val="00243C26"/>
    <w:rsid w:val="00243C8C"/>
    <w:rsid w:val="00244000"/>
    <w:rsid w:val="0024407B"/>
    <w:rsid w:val="002440CE"/>
    <w:rsid w:val="00244130"/>
    <w:rsid w:val="00244291"/>
    <w:rsid w:val="002442D7"/>
    <w:rsid w:val="002442FC"/>
    <w:rsid w:val="002443C3"/>
    <w:rsid w:val="002443D3"/>
    <w:rsid w:val="00244477"/>
    <w:rsid w:val="00244543"/>
    <w:rsid w:val="002445AC"/>
    <w:rsid w:val="002446C1"/>
    <w:rsid w:val="002448F5"/>
    <w:rsid w:val="00244B30"/>
    <w:rsid w:val="00244B50"/>
    <w:rsid w:val="00244B82"/>
    <w:rsid w:val="00244BFC"/>
    <w:rsid w:val="00244C67"/>
    <w:rsid w:val="00244D92"/>
    <w:rsid w:val="00244F01"/>
    <w:rsid w:val="00244F16"/>
    <w:rsid w:val="00244F54"/>
    <w:rsid w:val="00244F68"/>
    <w:rsid w:val="00245054"/>
    <w:rsid w:val="002451B5"/>
    <w:rsid w:val="002451C3"/>
    <w:rsid w:val="0024523D"/>
    <w:rsid w:val="00245298"/>
    <w:rsid w:val="0024531C"/>
    <w:rsid w:val="002453D5"/>
    <w:rsid w:val="00245559"/>
    <w:rsid w:val="00245583"/>
    <w:rsid w:val="00245703"/>
    <w:rsid w:val="00245724"/>
    <w:rsid w:val="0024574F"/>
    <w:rsid w:val="002458BE"/>
    <w:rsid w:val="002459BA"/>
    <w:rsid w:val="00245BF8"/>
    <w:rsid w:val="00245EBD"/>
    <w:rsid w:val="00245ED7"/>
    <w:rsid w:val="00245EEA"/>
    <w:rsid w:val="002460E3"/>
    <w:rsid w:val="002460E4"/>
    <w:rsid w:val="0024612B"/>
    <w:rsid w:val="00246193"/>
    <w:rsid w:val="002461B2"/>
    <w:rsid w:val="002461FC"/>
    <w:rsid w:val="00246235"/>
    <w:rsid w:val="002462B5"/>
    <w:rsid w:val="00246323"/>
    <w:rsid w:val="002464D8"/>
    <w:rsid w:val="002464E8"/>
    <w:rsid w:val="00246641"/>
    <w:rsid w:val="00246871"/>
    <w:rsid w:val="002468B7"/>
    <w:rsid w:val="002468CD"/>
    <w:rsid w:val="00246A4C"/>
    <w:rsid w:val="00246B47"/>
    <w:rsid w:val="00246BE6"/>
    <w:rsid w:val="00246C60"/>
    <w:rsid w:val="00246CF7"/>
    <w:rsid w:val="00246D4C"/>
    <w:rsid w:val="00246D97"/>
    <w:rsid w:val="00246DEA"/>
    <w:rsid w:val="00246E55"/>
    <w:rsid w:val="00246FCF"/>
    <w:rsid w:val="00247108"/>
    <w:rsid w:val="00247204"/>
    <w:rsid w:val="00247259"/>
    <w:rsid w:val="0024726D"/>
    <w:rsid w:val="002472FE"/>
    <w:rsid w:val="00247351"/>
    <w:rsid w:val="0024738C"/>
    <w:rsid w:val="002473C3"/>
    <w:rsid w:val="00247439"/>
    <w:rsid w:val="00247855"/>
    <w:rsid w:val="00247ACB"/>
    <w:rsid w:val="00247C8C"/>
    <w:rsid w:val="00247D12"/>
    <w:rsid w:val="00247E0B"/>
    <w:rsid w:val="00247EB5"/>
    <w:rsid w:val="0025007D"/>
    <w:rsid w:val="00250140"/>
    <w:rsid w:val="00250204"/>
    <w:rsid w:val="00250246"/>
    <w:rsid w:val="002502AE"/>
    <w:rsid w:val="002502D5"/>
    <w:rsid w:val="00250381"/>
    <w:rsid w:val="00250546"/>
    <w:rsid w:val="0025057A"/>
    <w:rsid w:val="002505A0"/>
    <w:rsid w:val="002505CC"/>
    <w:rsid w:val="002505E2"/>
    <w:rsid w:val="00250601"/>
    <w:rsid w:val="0025074C"/>
    <w:rsid w:val="00250775"/>
    <w:rsid w:val="00250885"/>
    <w:rsid w:val="00250B2A"/>
    <w:rsid w:val="00250B5D"/>
    <w:rsid w:val="00250C23"/>
    <w:rsid w:val="00250C2F"/>
    <w:rsid w:val="00250C7D"/>
    <w:rsid w:val="00250D19"/>
    <w:rsid w:val="00250DA9"/>
    <w:rsid w:val="00250DEE"/>
    <w:rsid w:val="00250E7C"/>
    <w:rsid w:val="00250EFA"/>
    <w:rsid w:val="00250F0C"/>
    <w:rsid w:val="00250F0E"/>
    <w:rsid w:val="002510A4"/>
    <w:rsid w:val="00251146"/>
    <w:rsid w:val="002513C8"/>
    <w:rsid w:val="002514C1"/>
    <w:rsid w:val="0025152C"/>
    <w:rsid w:val="002515D6"/>
    <w:rsid w:val="002516EA"/>
    <w:rsid w:val="00251713"/>
    <w:rsid w:val="00251752"/>
    <w:rsid w:val="002517BB"/>
    <w:rsid w:val="00251801"/>
    <w:rsid w:val="0025189D"/>
    <w:rsid w:val="002518FB"/>
    <w:rsid w:val="0025191F"/>
    <w:rsid w:val="00251A2A"/>
    <w:rsid w:val="00251AC1"/>
    <w:rsid w:val="00251B0F"/>
    <w:rsid w:val="00251D2D"/>
    <w:rsid w:val="00251D59"/>
    <w:rsid w:val="00251E1E"/>
    <w:rsid w:val="00251E7E"/>
    <w:rsid w:val="00251E9B"/>
    <w:rsid w:val="00251EEB"/>
    <w:rsid w:val="00251FD5"/>
    <w:rsid w:val="002521B7"/>
    <w:rsid w:val="00252298"/>
    <w:rsid w:val="002522D0"/>
    <w:rsid w:val="00252303"/>
    <w:rsid w:val="00252341"/>
    <w:rsid w:val="00252374"/>
    <w:rsid w:val="0025238A"/>
    <w:rsid w:val="002523F8"/>
    <w:rsid w:val="00252563"/>
    <w:rsid w:val="00252623"/>
    <w:rsid w:val="002526D4"/>
    <w:rsid w:val="00252757"/>
    <w:rsid w:val="0025278F"/>
    <w:rsid w:val="002527A6"/>
    <w:rsid w:val="002529FE"/>
    <w:rsid w:val="00252A94"/>
    <w:rsid w:val="00252C2F"/>
    <w:rsid w:val="00252DAB"/>
    <w:rsid w:val="00252E49"/>
    <w:rsid w:val="00252E77"/>
    <w:rsid w:val="00252F0D"/>
    <w:rsid w:val="0025304B"/>
    <w:rsid w:val="0025304E"/>
    <w:rsid w:val="00253058"/>
    <w:rsid w:val="0025306C"/>
    <w:rsid w:val="0025307A"/>
    <w:rsid w:val="002530C9"/>
    <w:rsid w:val="002532B2"/>
    <w:rsid w:val="00253565"/>
    <w:rsid w:val="002535E0"/>
    <w:rsid w:val="002535FC"/>
    <w:rsid w:val="00253600"/>
    <w:rsid w:val="00253715"/>
    <w:rsid w:val="0025385B"/>
    <w:rsid w:val="002539D2"/>
    <w:rsid w:val="00253C14"/>
    <w:rsid w:val="00253D3C"/>
    <w:rsid w:val="00253D78"/>
    <w:rsid w:val="00253F56"/>
    <w:rsid w:val="00253F79"/>
    <w:rsid w:val="00253FF3"/>
    <w:rsid w:val="00253FF8"/>
    <w:rsid w:val="00254049"/>
    <w:rsid w:val="002540B4"/>
    <w:rsid w:val="0025413E"/>
    <w:rsid w:val="00254251"/>
    <w:rsid w:val="002543F0"/>
    <w:rsid w:val="002544F8"/>
    <w:rsid w:val="00254567"/>
    <w:rsid w:val="002545DC"/>
    <w:rsid w:val="00254621"/>
    <w:rsid w:val="00254709"/>
    <w:rsid w:val="0025471C"/>
    <w:rsid w:val="002547E0"/>
    <w:rsid w:val="00254873"/>
    <w:rsid w:val="002549E1"/>
    <w:rsid w:val="002549F0"/>
    <w:rsid w:val="00254AD8"/>
    <w:rsid w:val="00254D11"/>
    <w:rsid w:val="00254D43"/>
    <w:rsid w:val="00254DC6"/>
    <w:rsid w:val="00254DE3"/>
    <w:rsid w:val="00254E39"/>
    <w:rsid w:val="00254EF7"/>
    <w:rsid w:val="00254EF9"/>
    <w:rsid w:val="00254F39"/>
    <w:rsid w:val="00254F93"/>
    <w:rsid w:val="002551E7"/>
    <w:rsid w:val="00255248"/>
    <w:rsid w:val="00255310"/>
    <w:rsid w:val="00255328"/>
    <w:rsid w:val="0025551B"/>
    <w:rsid w:val="002555C7"/>
    <w:rsid w:val="0025569E"/>
    <w:rsid w:val="002556E9"/>
    <w:rsid w:val="0025576F"/>
    <w:rsid w:val="0025577D"/>
    <w:rsid w:val="002557B7"/>
    <w:rsid w:val="00255901"/>
    <w:rsid w:val="00255905"/>
    <w:rsid w:val="00255A04"/>
    <w:rsid w:val="00255A1E"/>
    <w:rsid w:val="00255B4C"/>
    <w:rsid w:val="00255C1F"/>
    <w:rsid w:val="00255D88"/>
    <w:rsid w:val="00255DC1"/>
    <w:rsid w:val="00255DF6"/>
    <w:rsid w:val="00255E6B"/>
    <w:rsid w:val="00255F98"/>
    <w:rsid w:val="00256196"/>
    <w:rsid w:val="00256207"/>
    <w:rsid w:val="002563AA"/>
    <w:rsid w:val="0025665C"/>
    <w:rsid w:val="002566B5"/>
    <w:rsid w:val="00256728"/>
    <w:rsid w:val="00256891"/>
    <w:rsid w:val="002568D0"/>
    <w:rsid w:val="002568DE"/>
    <w:rsid w:val="00256AC1"/>
    <w:rsid w:val="00256DD6"/>
    <w:rsid w:val="00256EEF"/>
    <w:rsid w:val="00256F2B"/>
    <w:rsid w:val="00256F6A"/>
    <w:rsid w:val="002571EA"/>
    <w:rsid w:val="00257250"/>
    <w:rsid w:val="0025727F"/>
    <w:rsid w:val="0025728E"/>
    <w:rsid w:val="002572EA"/>
    <w:rsid w:val="0025745D"/>
    <w:rsid w:val="00257545"/>
    <w:rsid w:val="002576DD"/>
    <w:rsid w:val="002576FE"/>
    <w:rsid w:val="0025777F"/>
    <w:rsid w:val="002578DB"/>
    <w:rsid w:val="00257A7E"/>
    <w:rsid w:val="00257C4A"/>
    <w:rsid w:val="00257CB8"/>
    <w:rsid w:val="00257D53"/>
    <w:rsid w:val="00257DDA"/>
    <w:rsid w:val="00257EF9"/>
    <w:rsid w:val="002600C1"/>
    <w:rsid w:val="00260144"/>
    <w:rsid w:val="00260401"/>
    <w:rsid w:val="00260411"/>
    <w:rsid w:val="00260418"/>
    <w:rsid w:val="0026042C"/>
    <w:rsid w:val="00260582"/>
    <w:rsid w:val="00260644"/>
    <w:rsid w:val="0026080E"/>
    <w:rsid w:val="002609B2"/>
    <w:rsid w:val="00260ABA"/>
    <w:rsid w:val="00260C65"/>
    <w:rsid w:val="00260D17"/>
    <w:rsid w:val="00260DF4"/>
    <w:rsid w:val="00260F8D"/>
    <w:rsid w:val="002610F2"/>
    <w:rsid w:val="00261137"/>
    <w:rsid w:val="0026125B"/>
    <w:rsid w:val="002614E6"/>
    <w:rsid w:val="00261687"/>
    <w:rsid w:val="0026170E"/>
    <w:rsid w:val="00261967"/>
    <w:rsid w:val="00261B60"/>
    <w:rsid w:val="00261DB1"/>
    <w:rsid w:val="00261E8F"/>
    <w:rsid w:val="00262558"/>
    <w:rsid w:val="00262586"/>
    <w:rsid w:val="00262921"/>
    <w:rsid w:val="002629A7"/>
    <w:rsid w:val="00262A13"/>
    <w:rsid w:val="00262BBB"/>
    <w:rsid w:val="00262BC9"/>
    <w:rsid w:val="00262C4C"/>
    <w:rsid w:val="00262D0C"/>
    <w:rsid w:val="00262E32"/>
    <w:rsid w:val="00262E8E"/>
    <w:rsid w:val="00262ECB"/>
    <w:rsid w:val="00262EFA"/>
    <w:rsid w:val="002631DD"/>
    <w:rsid w:val="00263288"/>
    <w:rsid w:val="00263353"/>
    <w:rsid w:val="0026348D"/>
    <w:rsid w:val="0026350D"/>
    <w:rsid w:val="0026382B"/>
    <w:rsid w:val="00263AF2"/>
    <w:rsid w:val="00263AFA"/>
    <w:rsid w:val="00263BDB"/>
    <w:rsid w:val="00263C0B"/>
    <w:rsid w:val="00263CE7"/>
    <w:rsid w:val="00263D2A"/>
    <w:rsid w:val="00263D5F"/>
    <w:rsid w:val="00263D80"/>
    <w:rsid w:val="00263DCC"/>
    <w:rsid w:val="00263E06"/>
    <w:rsid w:val="00263E14"/>
    <w:rsid w:val="00263E26"/>
    <w:rsid w:val="00263E66"/>
    <w:rsid w:val="00264147"/>
    <w:rsid w:val="002641D6"/>
    <w:rsid w:val="002641E3"/>
    <w:rsid w:val="00264252"/>
    <w:rsid w:val="0026425B"/>
    <w:rsid w:val="0026427D"/>
    <w:rsid w:val="002643C8"/>
    <w:rsid w:val="002643CF"/>
    <w:rsid w:val="002644E7"/>
    <w:rsid w:val="00264576"/>
    <w:rsid w:val="002645CF"/>
    <w:rsid w:val="002646CF"/>
    <w:rsid w:val="002648B8"/>
    <w:rsid w:val="00264941"/>
    <w:rsid w:val="0026494D"/>
    <w:rsid w:val="00264C65"/>
    <w:rsid w:val="00264CB8"/>
    <w:rsid w:val="00264CDD"/>
    <w:rsid w:val="00264CF7"/>
    <w:rsid w:val="00264D31"/>
    <w:rsid w:val="0026507C"/>
    <w:rsid w:val="002650BD"/>
    <w:rsid w:val="002650E0"/>
    <w:rsid w:val="002650E3"/>
    <w:rsid w:val="0026527A"/>
    <w:rsid w:val="002652B3"/>
    <w:rsid w:val="00265315"/>
    <w:rsid w:val="0026538C"/>
    <w:rsid w:val="00265462"/>
    <w:rsid w:val="002654B2"/>
    <w:rsid w:val="002654F9"/>
    <w:rsid w:val="00265690"/>
    <w:rsid w:val="00265717"/>
    <w:rsid w:val="00265978"/>
    <w:rsid w:val="00265A2E"/>
    <w:rsid w:val="00265BB2"/>
    <w:rsid w:val="00265C5E"/>
    <w:rsid w:val="00265D92"/>
    <w:rsid w:val="00265DA6"/>
    <w:rsid w:val="00265E73"/>
    <w:rsid w:val="00265EC5"/>
    <w:rsid w:val="00265FB4"/>
    <w:rsid w:val="0026606F"/>
    <w:rsid w:val="00266082"/>
    <w:rsid w:val="0026615E"/>
    <w:rsid w:val="002662D1"/>
    <w:rsid w:val="00266382"/>
    <w:rsid w:val="002663AE"/>
    <w:rsid w:val="00266548"/>
    <w:rsid w:val="0026667D"/>
    <w:rsid w:val="002666CB"/>
    <w:rsid w:val="00266701"/>
    <w:rsid w:val="00266966"/>
    <w:rsid w:val="00266985"/>
    <w:rsid w:val="00266A43"/>
    <w:rsid w:val="00266B24"/>
    <w:rsid w:val="00266BD1"/>
    <w:rsid w:val="00266E4D"/>
    <w:rsid w:val="00266FEC"/>
    <w:rsid w:val="00266FF5"/>
    <w:rsid w:val="002670AE"/>
    <w:rsid w:val="00267144"/>
    <w:rsid w:val="002671FE"/>
    <w:rsid w:val="00267247"/>
    <w:rsid w:val="00267287"/>
    <w:rsid w:val="0026734E"/>
    <w:rsid w:val="0026749C"/>
    <w:rsid w:val="00267526"/>
    <w:rsid w:val="00267565"/>
    <w:rsid w:val="0026763B"/>
    <w:rsid w:val="002676AA"/>
    <w:rsid w:val="002677F6"/>
    <w:rsid w:val="0026780E"/>
    <w:rsid w:val="00267ABC"/>
    <w:rsid w:val="00267D6D"/>
    <w:rsid w:val="00267E96"/>
    <w:rsid w:val="00267F59"/>
    <w:rsid w:val="002700A6"/>
    <w:rsid w:val="00270195"/>
    <w:rsid w:val="002703FB"/>
    <w:rsid w:val="00270662"/>
    <w:rsid w:val="0027076C"/>
    <w:rsid w:val="00270794"/>
    <w:rsid w:val="00270B93"/>
    <w:rsid w:val="00270BC0"/>
    <w:rsid w:val="00270C54"/>
    <w:rsid w:val="00270DE8"/>
    <w:rsid w:val="0027100B"/>
    <w:rsid w:val="002712A5"/>
    <w:rsid w:val="00271364"/>
    <w:rsid w:val="002713AC"/>
    <w:rsid w:val="0027146F"/>
    <w:rsid w:val="00271574"/>
    <w:rsid w:val="002716EA"/>
    <w:rsid w:val="00271738"/>
    <w:rsid w:val="002719A6"/>
    <w:rsid w:val="00271A32"/>
    <w:rsid w:val="00271A5D"/>
    <w:rsid w:val="00271BBF"/>
    <w:rsid w:val="00271CF5"/>
    <w:rsid w:val="00271D8C"/>
    <w:rsid w:val="00271ECB"/>
    <w:rsid w:val="00271F51"/>
    <w:rsid w:val="00272018"/>
    <w:rsid w:val="00272040"/>
    <w:rsid w:val="0027208B"/>
    <w:rsid w:val="002720C6"/>
    <w:rsid w:val="002720FA"/>
    <w:rsid w:val="002721F7"/>
    <w:rsid w:val="0027228C"/>
    <w:rsid w:val="002722CD"/>
    <w:rsid w:val="00272387"/>
    <w:rsid w:val="00272416"/>
    <w:rsid w:val="0027241D"/>
    <w:rsid w:val="00272479"/>
    <w:rsid w:val="00272527"/>
    <w:rsid w:val="0027252F"/>
    <w:rsid w:val="00272613"/>
    <w:rsid w:val="0027264C"/>
    <w:rsid w:val="00272869"/>
    <w:rsid w:val="00272895"/>
    <w:rsid w:val="00272979"/>
    <w:rsid w:val="00272A14"/>
    <w:rsid w:val="00272ACF"/>
    <w:rsid w:val="00272B47"/>
    <w:rsid w:val="00272CDB"/>
    <w:rsid w:val="00272E5A"/>
    <w:rsid w:val="00272EB5"/>
    <w:rsid w:val="002731C4"/>
    <w:rsid w:val="002731CD"/>
    <w:rsid w:val="00273488"/>
    <w:rsid w:val="0027354C"/>
    <w:rsid w:val="0027356F"/>
    <w:rsid w:val="0027357A"/>
    <w:rsid w:val="0027359A"/>
    <w:rsid w:val="002735CA"/>
    <w:rsid w:val="0027387E"/>
    <w:rsid w:val="002738DF"/>
    <w:rsid w:val="00273B00"/>
    <w:rsid w:val="00273E3A"/>
    <w:rsid w:val="00273E9F"/>
    <w:rsid w:val="00273F23"/>
    <w:rsid w:val="00274096"/>
    <w:rsid w:val="0027411B"/>
    <w:rsid w:val="00274121"/>
    <w:rsid w:val="002741FD"/>
    <w:rsid w:val="00274257"/>
    <w:rsid w:val="00274367"/>
    <w:rsid w:val="002744D7"/>
    <w:rsid w:val="0027454B"/>
    <w:rsid w:val="002745D2"/>
    <w:rsid w:val="00274624"/>
    <w:rsid w:val="002746A3"/>
    <w:rsid w:val="00274825"/>
    <w:rsid w:val="0027499E"/>
    <w:rsid w:val="00274A70"/>
    <w:rsid w:val="00274B5A"/>
    <w:rsid w:val="00274C10"/>
    <w:rsid w:val="00274C50"/>
    <w:rsid w:val="00274D07"/>
    <w:rsid w:val="00274D5E"/>
    <w:rsid w:val="00274E3D"/>
    <w:rsid w:val="00275018"/>
    <w:rsid w:val="002750BB"/>
    <w:rsid w:val="002751A3"/>
    <w:rsid w:val="0027542A"/>
    <w:rsid w:val="00275606"/>
    <w:rsid w:val="002757B4"/>
    <w:rsid w:val="002757E6"/>
    <w:rsid w:val="00275811"/>
    <w:rsid w:val="0027581C"/>
    <w:rsid w:val="00275865"/>
    <w:rsid w:val="002759EE"/>
    <w:rsid w:val="00275A5D"/>
    <w:rsid w:val="00275AC1"/>
    <w:rsid w:val="00275C0C"/>
    <w:rsid w:val="00275DA7"/>
    <w:rsid w:val="00275E4B"/>
    <w:rsid w:val="00275EAF"/>
    <w:rsid w:val="00275EE4"/>
    <w:rsid w:val="00276010"/>
    <w:rsid w:val="00276280"/>
    <w:rsid w:val="00276337"/>
    <w:rsid w:val="002763E0"/>
    <w:rsid w:val="0027646E"/>
    <w:rsid w:val="002764C4"/>
    <w:rsid w:val="002765ED"/>
    <w:rsid w:val="002766DE"/>
    <w:rsid w:val="002766FB"/>
    <w:rsid w:val="00276822"/>
    <w:rsid w:val="00276832"/>
    <w:rsid w:val="00276841"/>
    <w:rsid w:val="00276876"/>
    <w:rsid w:val="00276B13"/>
    <w:rsid w:val="00276B38"/>
    <w:rsid w:val="00276C27"/>
    <w:rsid w:val="00276CBD"/>
    <w:rsid w:val="00276CE1"/>
    <w:rsid w:val="00276D45"/>
    <w:rsid w:val="00276DF4"/>
    <w:rsid w:val="00276E7A"/>
    <w:rsid w:val="00277054"/>
    <w:rsid w:val="00277110"/>
    <w:rsid w:val="0027724B"/>
    <w:rsid w:val="00277285"/>
    <w:rsid w:val="002776D5"/>
    <w:rsid w:val="00277751"/>
    <w:rsid w:val="00277BC4"/>
    <w:rsid w:val="00277CDD"/>
    <w:rsid w:val="00277CFB"/>
    <w:rsid w:val="00277E06"/>
    <w:rsid w:val="00277E39"/>
    <w:rsid w:val="00277E5D"/>
    <w:rsid w:val="00277FAE"/>
    <w:rsid w:val="00277FE2"/>
    <w:rsid w:val="0028009B"/>
    <w:rsid w:val="002800FC"/>
    <w:rsid w:val="0028012E"/>
    <w:rsid w:val="00280290"/>
    <w:rsid w:val="002804A0"/>
    <w:rsid w:val="00280507"/>
    <w:rsid w:val="002805C2"/>
    <w:rsid w:val="002806DC"/>
    <w:rsid w:val="00280756"/>
    <w:rsid w:val="00280778"/>
    <w:rsid w:val="002807B0"/>
    <w:rsid w:val="002807FB"/>
    <w:rsid w:val="0028087E"/>
    <w:rsid w:val="002808A7"/>
    <w:rsid w:val="002808D2"/>
    <w:rsid w:val="002808D8"/>
    <w:rsid w:val="0028090F"/>
    <w:rsid w:val="0028092D"/>
    <w:rsid w:val="00280948"/>
    <w:rsid w:val="002809B1"/>
    <w:rsid w:val="002809CA"/>
    <w:rsid w:val="00280A08"/>
    <w:rsid w:val="00280A1D"/>
    <w:rsid w:val="00280A88"/>
    <w:rsid w:val="00280B41"/>
    <w:rsid w:val="00280CE3"/>
    <w:rsid w:val="00280E24"/>
    <w:rsid w:val="00280EB1"/>
    <w:rsid w:val="00280EBF"/>
    <w:rsid w:val="00280EF7"/>
    <w:rsid w:val="00280FE8"/>
    <w:rsid w:val="002810F0"/>
    <w:rsid w:val="002810F3"/>
    <w:rsid w:val="002811F2"/>
    <w:rsid w:val="00281354"/>
    <w:rsid w:val="0028142E"/>
    <w:rsid w:val="00281487"/>
    <w:rsid w:val="00281495"/>
    <w:rsid w:val="00281496"/>
    <w:rsid w:val="00281584"/>
    <w:rsid w:val="00281815"/>
    <w:rsid w:val="0028199B"/>
    <w:rsid w:val="00281A0C"/>
    <w:rsid w:val="00281A16"/>
    <w:rsid w:val="00281A65"/>
    <w:rsid w:val="00281BFA"/>
    <w:rsid w:val="00281C51"/>
    <w:rsid w:val="00281E65"/>
    <w:rsid w:val="0028206E"/>
    <w:rsid w:val="00282216"/>
    <w:rsid w:val="0028232E"/>
    <w:rsid w:val="00282408"/>
    <w:rsid w:val="00282497"/>
    <w:rsid w:val="0028268D"/>
    <w:rsid w:val="0028272B"/>
    <w:rsid w:val="002829FA"/>
    <w:rsid w:val="00282B08"/>
    <w:rsid w:val="00282C91"/>
    <w:rsid w:val="00282CF0"/>
    <w:rsid w:val="00282D31"/>
    <w:rsid w:val="00282D3F"/>
    <w:rsid w:val="00282D4F"/>
    <w:rsid w:val="00282DA0"/>
    <w:rsid w:val="00283253"/>
    <w:rsid w:val="002832AD"/>
    <w:rsid w:val="002832B2"/>
    <w:rsid w:val="00283478"/>
    <w:rsid w:val="002834E4"/>
    <w:rsid w:val="0028352C"/>
    <w:rsid w:val="00283687"/>
    <w:rsid w:val="00283780"/>
    <w:rsid w:val="00283914"/>
    <w:rsid w:val="00283932"/>
    <w:rsid w:val="00283992"/>
    <w:rsid w:val="00283A1D"/>
    <w:rsid w:val="00283B34"/>
    <w:rsid w:val="00283C36"/>
    <w:rsid w:val="00283D61"/>
    <w:rsid w:val="00283E64"/>
    <w:rsid w:val="00283FE3"/>
    <w:rsid w:val="00283FF1"/>
    <w:rsid w:val="0028408A"/>
    <w:rsid w:val="002840AD"/>
    <w:rsid w:val="0028423B"/>
    <w:rsid w:val="002842F3"/>
    <w:rsid w:val="00284471"/>
    <w:rsid w:val="0028478A"/>
    <w:rsid w:val="0028495D"/>
    <w:rsid w:val="0028499B"/>
    <w:rsid w:val="00284D8D"/>
    <w:rsid w:val="00284DDC"/>
    <w:rsid w:val="00284ED7"/>
    <w:rsid w:val="0028512A"/>
    <w:rsid w:val="00285242"/>
    <w:rsid w:val="002852FE"/>
    <w:rsid w:val="002853A2"/>
    <w:rsid w:val="00285499"/>
    <w:rsid w:val="0028550D"/>
    <w:rsid w:val="00285588"/>
    <w:rsid w:val="00285982"/>
    <w:rsid w:val="002859E8"/>
    <w:rsid w:val="00285B81"/>
    <w:rsid w:val="00285C21"/>
    <w:rsid w:val="00285CDD"/>
    <w:rsid w:val="00285D36"/>
    <w:rsid w:val="00285E0C"/>
    <w:rsid w:val="00285F6F"/>
    <w:rsid w:val="00286139"/>
    <w:rsid w:val="002862A7"/>
    <w:rsid w:val="00286317"/>
    <w:rsid w:val="002863A1"/>
    <w:rsid w:val="00286636"/>
    <w:rsid w:val="0028671B"/>
    <w:rsid w:val="00286835"/>
    <w:rsid w:val="002868D6"/>
    <w:rsid w:val="002868FD"/>
    <w:rsid w:val="0028696A"/>
    <w:rsid w:val="002869BC"/>
    <w:rsid w:val="00286A14"/>
    <w:rsid w:val="00286A3D"/>
    <w:rsid w:val="00286ABE"/>
    <w:rsid w:val="00286B52"/>
    <w:rsid w:val="00286B53"/>
    <w:rsid w:val="00286B5B"/>
    <w:rsid w:val="00286C04"/>
    <w:rsid w:val="00286DA3"/>
    <w:rsid w:val="00286FFB"/>
    <w:rsid w:val="0028707B"/>
    <w:rsid w:val="002870D8"/>
    <w:rsid w:val="002870EB"/>
    <w:rsid w:val="0028711E"/>
    <w:rsid w:val="002871A9"/>
    <w:rsid w:val="002871C8"/>
    <w:rsid w:val="00287355"/>
    <w:rsid w:val="002873C3"/>
    <w:rsid w:val="00287560"/>
    <w:rsid w:val="002875CF"/>
    <w:rsid w:val="002877D9"/>
    <w:rsid w:val="00287A90"/>
    <w:rsid w:val="00287CCC"/>
    <w:rsid w:val="00287D0D"/>
    <w:rsid w:val="00287D3F"/>
    <w:rsid w:val="00287D91"/>
    <w:rsid w:val="002900CD"/>
    <w:rsid w:val="0029028A"/>
    <w:rsid w:val="002902B4"/>
    <w:rsid w:val="00290345"/>
    <w:rsid w:val="00290387"/>
    <w:rsid w:val="0029061C"/>
    <w:rsid w:val="0029063C"/>
    <w:rsid w:val="002906B4"/>
    <w:rsid w:val="0029084A"/>
    <w:rsid w:val="002908C2"/>
    <w:rsid w:val="002909A6"/>
    <w:rsid w:val="00290AB6"/>
    <w:rsid w:val="00290CC7"/>
    <w:rsid w:val="00290D8E"/>
    <w:rsid w:val="00290DF7"/>
    <w:rsid w:val="00290EFD"/>
    <w:rsid w:val="002910EF"/>
    <w:rsid w:val="002910F0"/>
    <w:rsid w:val="00291228"/>
    <w:rsid w:val="0029122B"/>
    <w:rsid w:val="002912F6"/>
    <w:rsid w:val="002915D0"/>
    <w:rsid w:val="002917A5"/>
    <w:rsid w:val="00291848"/>
    <w:rsid w:val="00291868"/>
    <w:rsid w:val="002918B3"/>
    <w:rsid w:val="00291900"/>
    <w:rsid w:val="00291C63"/>
    <w:rsid w:val="00291CA0"/>
    <w:rsid w:val="00291CC0"/>
    <w:rsid w:val="00291DCF"/>
    <w:rsid w:val="00291E68"/>
    <w:rsid w:val="00291E83"/>
    <w:rsid w:val="00291EDE"/>
    <w:rsid w:val="00291FA5"/>
    <w:rsid w:val="00292145"/>
    <w:rsid w:val="002921F8"/>
    <w:rsid w:val="00292362"/>
    <w:rsid w:val="0029249A"/>
    <w:rsid w:val="00292578"/>
    <w:rsid w:val="00292620"/>
    <w:rsid w:val="00292980"/>
    <w:rsid w:val="00292A21"/>
    <w:rsid w:val="00292A5E"/>
    <w:rsid w:val="00292AA4"/>
    <w:rsid w:val="00292BBD"/>
    <w:rsid w:val="00292D52"/>
    <w:rsid w:val="00292DE3"/>
    <w:rsid w:val="00292E4E"/>
    <w:rsid w:val="00292E72"/>
    <w:rsid w:val="00292ED8"/>
    <w:rsid w:val="00292EE8"/>
    <w:rsid w:val="00292F17"/>
    <w:rsid w:val="00293070"/>
    <w:rsid w:val="002930A3"/>
    <w:rsid w:val="00293271"/>
    <w:rsid w:val="0029341C"/>
    <w:rsid w:val="00293592"/>
    <w:rsid w:val="00293603"/>
    <w:rsid w:val="00293711"/>
    <w:rsid w:val="00293715"/>
    <w:rsid w:val="00293749"/>
    <w:rsid w:val="00293751"/>
    <w:rsid w:val="002937D3"/>
    <w:rsid w:val="0029382A"/>
    <w:rsid w:val="00293907"/>
    <w:rsid w:val="00293B38"/>
    <w:rsid w:val="00293C37"/>
    <w:rsid w:val="00293C5A"/>
    <w:rsid w:val="00293E04"/>
    <w:rsid w:val="00293E1D"/>
    <w:rsid w:val="00293FD3"/>
    <w:rsid w:val="00294040"/>
    <w:rsid w:val="00294066"/>
    <w:rsid w:val="002940DD"/>
    <w:rsid w:val="00294162"/>
    <w:rsid w:val="00294263"/>
    <w:rsid w:val="002942DA"/>
    <w:rsid w:val="0029432C"/>
    <w:rsid w:val="00294563"/>
    <w:rsid w:val="002945FB"/>
    <w:rsid w:val="002946D5"/>
    <w:rsid w:val="00294733"/>
    <w:rsid w:val="002947EA"/>
    <w:rsid w:val="0029486A"/>
    <w:rsid w:val="002949AA"/>
    <w:rsid w:val="00294A15"/>
    <w:rsid w:val="00294ADA"/>
    <w:rsid w:val="00294BE2"/>
    <w:rsid w:val="00294C0E"/>
    <w:rsid w:val="00294F07"/>
    <w:rsid w:val="0029503F"/>
    <w:rsid w:val="002951DC"/>
    <w:rsid w:val="002951EA"/>
    <w:rsid w:val="0029523F"/>
    <w:rsid w:val="00295431"/>
    <w:rsid w:val="002954A7"/>
    <w:rsid w:val="002954EE"/>
    <w:rsid w:val="00295518"/>
    <w:rsid w:val="00295590"/>
    <w:rsid w:val="0029560F"/>
    <w:rsid w:val="002956E0"/>
    <w:rsid w:val="00295766"/>
    <w:rsid w:val="002957E5"/>
    <w:rsid w:val="0029597B"/>
    <w:rsid w:val="00295A42"/>
    <w:rsid w:val="00295AA5"/>
    <w:rsid w:val="00295ACF"/>
    <w:rsid w:val="00295C50"/>
    <w:rsid w:val="00295D47"/>
    <w:rsid w:val="00295D88"/>
    <w:rsid w:val="00295E61"/>
    <w:rsid w:val="00295F84"/>
    <w:rsid w:val="00296089"/>
    <w:rsid w:val="002960E7"/>
    <w:rsid w:val="0029611A"/>
    <w:rsid w:val="002961C8"/>
    <w:rsid w:val="00296200"/>
    <w:rsid w:val="0029622F"/>
    <w:rsid w:val="0029636D"/>
    <w:rsid w:val="002963AB"/>
    <w:rsid w:val="00296762"/>
    <w:rsid w:val="00296861"/>
    <w:rsid w:val="00296A52"/>
    <w:rsid w:val="00296D65"/>
    <w:rsid w:val="00296DDD"/>
    <w:rsid w:val="00296E50"/>
    <w:rsid w:val="00296F03"/>
    <w:rsid w:val="00296F2F"/>
    <w:rsid w:val="00296F65"/>
    <w:rsid w:val="00296F82"/>
    <w:rsid w:val="00296FAE"/>
    <w:rsid w:val="002971E1"/>
    <w:rsid w:val="00297235"/>
    <w:rsid w:val="00297299"/>
    <w:rsid w:val="002972DD"/>
    <w:rsid w:val="002976B1"/>
    <w:rsid w:val="00297807"/>
    <w:rsid w:val="00297A30"/>
    <w:rsid w:val="00297BFB"/>
    <w:rsid w:val="00297D03"/>
    <w:rsid w:val="00297D57"/>
    <w:rsid w:val="00297DEE"/>
    <w:rsid w:val="00297E80"/>
    <w:rsid w:val="00297F02"/>
    <w:rsid w:val="00297F58"/>
    <w:rsid w:val="00297FF3"/>
    <w:rsid w:val="00298A86"/>
    <w:rsid w:val="002A0168"/>
    <w:rsid w:val="002A0297"/>
    <w:rsid w:val="002A062D"/>
    <w:rsid w:val="002A0660"/>
    <w:rsid w:val="002A06F6"/>
    <w:rsid w:val="002A07AC"/>
    <w:rsid w:val="002A07D1"/>
    <w:rsid w:val="002A080A"/>
    <w:rsid w:val="002A09BA"/>
    <w:rsid w:val="002A0B36"/>
    <w:rsid w:val="002A0B9E"/>
    <w:rsid w:val="002A0DD7"/>
    <w:rsid w:val="002A0F10"/>
    <w:rsid w:val="002A0F48"/>
    <w:rsid w:val="002A0FBE"/>
    <w:rsid w:val="002A1167"/>
    <w:rsid w:val="002A12F8"/>
    <w:rsid w:val="002A1571"/>
    <w:rsid w:val="002A15A1"/>
    <w:rsid w:val="002A1733"/>
    <w:rsid w:val="002A1989"/>
    <w:rsid w:val="002A1CD8"/>
    <w:rsid w:val="002A1D45"/>
    <w:rsid w:val="002A1F30"/>
    <w:rsid w:val="002A21D5"/>
    <w:rsid w:val="002A22CF"/>
    <w:rsid w:val="002A241A"/>
    <w:rsid w:val="002A25A0"/>
    <w:rsid w:val="002A25CB"/>
    <w:rsid w:val="002A274E"/>
    <w:rsid w:val="002A28AA"/>
    <w:rsid w:val="002A291B"/>
    <w:rsid w:val="002A2929"/>
    <w:rsid w:val="002A2AEC"/>
    <w:rsid w:val="002A2CE3"/>
    <w:rsid w:val="002A2D0A"/>
    <w:rsid w:val="002A2E0C"/>
    <w:rsid w:val="002A2E6B"/>
    <w:rsid w:val="002A2FF3"/>
    <w:rsid w:val="002A307F"/>
    <w:rsid w:val="002A3173"/>
    <w:rsid w:val="002A31FE"/>
    <w:rsid w:val="002A3210"/>
    <w:rsid w:val="002A3619"/>
    <w:rsid w:val="002A3663"/>
    <w:rsid w:val="002A38F1"/>
    <w:rsid w:val="002A38FD"/>
    <w:rsid w:val="002A3950"/>
    <w:rsid w:val="002A3AB9"/>
    <w:rsid w:val="002A3B2D"/>
    <w:rsid w:val="002A3C16"/>
    <w:rsid w:val="002A3C1F"/>
    <w:rsid w:val="002A3EBA"/>
    <w:rsid w:val="002A3EC7"/>
    <w:rsid w:val="002A3FB5"/>
    <w:rsid w:val="002A3FC1"/>
    <w:rsid w:val="002A40AF"/>
    <w:rsid w:val="002A41D9"/>
    <w:rsid w:val="002A42D6"/>
    <w:rsid w:val="002A42EA"/>
    <w:rsid w:val="002A4304"/>
    <w:rsid w:val="002A4421"/>
    <w:rsid w:val="002A4630"/>
    <w:rsid w:val="002A4693"/>
    <w:rsid w:val="002A46CC"/>
    <w:rsid w:val="002A4746"/>
    <w:rsid w:val="002A478C"/>
    <w:rsid w:val="002A483A"/>
    <w:rsid w:val="002A491D"/>
    <w:rsid w:val="002A4B8F"/>
    <w:rsid w:val="002A4CBE"/>
    <w:rsid w:val="002A4CFC"/>
    <w:rsid w:val="002A4D19"/>
    <w:rsid w:val="002A4DAE"/>
    <w:rsid w:val="002A4EA3"/>
    <w:rsid w:val="002A4EA9"/>
    <w:rsid w:val="002A4F18"/>
    <w:rsid w:val="002A5048"/>
    <w:rsid w:val="002A5063"/>
    <w:rsid w:val="002A51C0"/>
    <w:rsid w:val="002A5324"/>
    <w:rsid w:val="002A5366"/>
    <w:rsid w:val="002A538A"/>
    <w:rsid w:val="002A5412"/>
    <w:rsid w:val="002A58DB"/>
    <w:rsid w:val="002A59C7"/>
    <w:rsid w:val="002A5A09"/>
    <w:rsid w:val="002A5A83"/>
    <w:rsid w:val="002A5BEF"/>
    <w:rsid w:val="002A5C3C"/>
    <w:rsid w:val="002A5DBD"/>
    <w:rsid w:val="002A5F30"/>
    <w:rsid w:val="002A5F91"/>
    <w:rsid w:val="002A5FF7"/>
    <w:rsid w:val="002A605A"/>
    <w:rsid w:val="002A6127"/>
    <w:rsid w:val="002A61B6"/>
    <w:rsid w:val="002A620D"/>
    <w:rsid w:val="002A6290"/>
    <w:rsid w:val="002A63E9"/>
    <w:rsid w:val="002A6539"/>
    <w:rsid w:val="002A66E2"/>
    <w:rsid w:val="002A6750"/>
    <w:rsid w:val="002A686F"/>
    <w:rsid w:val="002A6876"/>
    <w:rsid w:val="002A68A4"/>
    <w:rsid w:val="002A698F"/>
    <w:rsid w:val="002A69E7"/>
    <w:rsid w:val="002A6AB0"/>
    <w:rsid w:val="002A6B77"/>
    <w:rsid w:val="002A6C21"/>
    <w:rsid w:val="002A6C4F"/>
    <w:rsid w:val="002A6CEE"/>
    <w:rsid w:val="002A6D13"/>
    <w:rsid w:val="002A6D3A"/>
    <w:rsid w:val="002A6E47"/>
    <w:rsid w:val="002A6E68"/>
    <w:rsid w:val="002A6EAE"/>
    <w:rsid w:val="002A6F6A"/>
    <w:rsid w:val="002A6FBF"/>
    <w:rsid w:val="002A718B"/>
    <w:rsid w:val="002A7291"/>
    <w:rsid w:val="002A72D6"/>
    <w:rsid w:val="002A734C"/>
    <w:rsid w:val="002A74E0"/>
    <w:rsid w:val="002A75C1"/>
    <w:rsid w:val="002A7694"/>
    <w:rsid w:val="002A76B3"/>
    <w:rsid w:val="002A776E"/>
    <w:rsid w:val="002A781A"/>
    <w:rsid w:val="002A79B1"/>
    <w:rsid w:val="002A79EB"/>
    <w:rsid w:val="002A7A03"/>
    <w:rsid w:val="002A7A76"/>
    <w:rsid w:val="002A7CA4"/>
    <w:rsid w:val="002A7CEC"/>
    <w:rsid w:val="002A7DB0"/>
    <w:rsid w:val="002A7F1C"/>
    <w:rsid w:val="002A7F94"/>
    <w:rsid w:val="002B00E6"/>
    <w:rsid w:val="002B00F6"/>
    <w:rsid w:val="002B0502"/>
    <w:rsid w:val="002B0535"/>
    <w:rsid w:val="002B05AB"/>
    <w:rsid w:val="002B06A6"/>
    <w:rsid w:val="002B074F"/>
    <w:rsid w:val="002B07A1"/>
    <w:rsid w:val="002B0ACE"/>
    <w:rsid w:val="002B0B04"/>
    <w:rsid w:val="002B0B97"/>
    <w:rsid w:val="002B0EF0"/>
    <w:rsid w:val="002B0F94"/>
    <w:rsid w:val="002B1122"/>
    <w:rsid w:val="002B112D"/>
    <w:rsid w:val="002B130A"/>
    <w:rsid w:val="002B1390"/>
    <w:rsid w:val="002B17B2"/>
    <w:rsid w:val="002B18CE"/>
    <w:rsid w:val="002B190C"/>
    <w:rsid w:val="002B193E"/>
    <w:rsid w:val="002B1949"/>
    <w:rsid w:val="002B1995"/>
    <w:rsid w:val="002B1A76"/>
    <w:rsid w:val="002B1B18"/>
    <w:rsid w:val="002B1BA3"/>
    <w:rsid w:val="002B1BF9"/>
    <w:rsid w:val="002B1CA1"/>
    <w:rsid w:val="002B2043"/>
    <w:rsid w:val="002B2066"/>
    <w:rsid w:val="002B209E"/>
    <w:rsid w:val="002B20E1"/>
    <w:rsid w:val="002B22E9"/>
    <w:rsid w:val="002B22F8"/>
    <w:rsid w:val="002B2449"/>
    <w:rsid w:val="002B2541"/>
    <w:rsid w:val="002B25D7"/>
    <w:rsid w:val="002B2669"/>
    <w:rsid w:val="002B29BF"/>
    <w:rsid w:val="002B2AFA"/>
    <w:rsid w:val="002B2B63"/>
    <w:rsid w:val="002B2CB0"/>
    <w:rsid w:val="002B2D0E"/>
    <w:rsid w:val="002B2F01"/>
    <w:rsid w:val="002B2F15"/>
    <w:rsid w:val="002B2FF0"/>
    <w:rsid w:val="002B3007"/>
    <w:rsid w:val="002B303A"/>
    <w:rsid w:val="002B3058"/>
    <w:rsid w:val="002B3261"/>
    <w:rsid w:val="002B329D"/>
    <w:rsid w:val="002B334C"/>
    <w:rsid w:val="002B33B2"/>
    <w:rsid w:val="002B33EA"/>
    <w:rsid w:val="002B34BE"/>
    <w:rsid w:val="002B3564"/>
    <w:rsid w:val="002B3579"/>
    <w:rsid w:val="002B3593"/>
    <w:rsid w:val="002B35BA"/>
    <w:rsid w:val="002B3643"/>
    <w:rsid w:val="002B37A1"/>
    <w:rsid w:val="002B3841"/>
    <w:rsid w:val="002B38AD"/>
    <w:rsid w:val="002B3973"/>
    <w:rsid w:val="002B397E"/>
    <w:rsid w:val="002B3990"/>
    <w:rsid w:val="002B399A"/>
    <w:rsid w:val="002B3A6A"/>
    <w:rsid w:val="002B3B8C"/>
    <w:rsid w:val="002B3C04"/>
    <w:rsid w:val="002B3C6F"/>
    <w:rsid w:val="002B3CB8"/>
    <w:rsid w:val="002B3D15"/>
    <w:rsid w:val="002B3D4C"/>
    <w:rsid w:val="002B3D68"/>
    <w:rsid w:val="002B3DB3"/>
    <w:rsid w:val="002B3E72"/>
    <w:rsid w:val="002B3EF6"/>
    <w:rsid w:val="002B3FCB"/>
    <w:rsid w:val="002B4089"/>
    <w:rsid w:val="002B40EA"/>
    <w:rsid w:val="002B429F"/>
    <w:rsid w:val="002B4325"/>
    <w:rsid w:val="002B4345"/>
    <w:rsid w:val="002B449C"/>
    <w:rsid w:val="002B44B0"/>
    <w:rsid w:val="002B4528"/>
    <w:rsid w:val="002B4543"/>
    <w:rsid w:val="002B46CE"/>
    <w:rsid w:val="002B46DE"/>
    <w:rsid w:val="002B46F4"/>
    <w:rsid w:val="002B4734"/>
    <w:rsid w:val="002B482A"/>
    <w:rsid w:val="002B4892"/>
    <w:rsid w:val="002B48BF"/>
    <w:rsid w:val="002B4A23"/>
    <w:rsid w:val="002B4B03"/>
    <w:rsid w:val="002B4B18"/>
    <w:rsid w:val="002B4CF0"/>
    <w:rsid w:val="002B4D30"/>
    <w:rsid w:val="002B4D31"/>
    <w:rsid w:val="002B4F34"/>
    <w:rsid w:val="002B50E9"/>
    <w:rsid w:val="002B518F"/>
    <w:rsid w:val="002B51A8"/>
    <w:rsid w:val="002B526D"/>
    <w:rsid w:val="002B5315"/>
    <w:rsid w:val="002B5624"/>
    <w:rsid w:val="002B56BC"/>
    <w:rsid w:val="002B5705"/>
    <w:rsid w:val="002B573B"/>
    <w:rsid w:val="002B58FE"/>
    <w:rsid w:val="002B5989"/>
    <w:rsid w:val="002B59BB"/>
    <w:rsid w:val="002B5A4B"/>
    <w:rsid w:val="002B5B8F"/>
    <w:rsid w:val="002B5CD8"/>
    <w:rsid w:val="002B5E89"/>
    <w:rsid w:val="002B5EA9"/>
    <w:rsid w:val="002B5F7B"/>
    <w:rsid w:val="002B5FC8"/>
    <w:rsid w:val="002B5FFC"/>
    <w:rsid w:val="002B6038"/>
    <w:rsid w:val="002B6043"/>
    <w:rsid w:val="002B60CE"/>
    <w:rsid w:val="002B60F8"/>
    <w:rsid w:val="002B6463"/>
    <w:rsid w:val="002B64BE"/>
    <w:rsid w:val="002B64D3"/>
    <w:rsid w:val="002B6551"/>
    <w:rsid w:val="002B6555"/>
    <w:rsid w:val="002B6580"/>
    <w:rsid w:val="002B6622"/>
    <w:rsid w:val="002B6851"/>
    <w:rsid w:val="002B694C"/>
    <w:rsid w:val="002B69DB"/>
    <w:rsid w:val="002B69FF"/>
    <w:rsid w:val="002B6BBF"/>
    <w:rsid w:val="002B6BE0"/>
    <w:rsid w:val="002B6C70"/>
    <w:rsid w:val="002B6C86"/>
    <w:rsid w:val="002B6CD6"/>
    <w:rsid w:val="002B6D6F"/>
    <w:rsid w:val="002B6F03"/>
    <w:rsid w:val="002B6F1A"/>
    <w:rsid w:val="002B6FEA"/>
    <w:rsid w:val="002B7055"/>
    <w:rsid w:val="002B7188"/>
    <w:rsid w:val="002B71D3"/>
    <w:rsid w:val="002B71FA"/>
    <w:rsid w:val="002B73DB"/>
    <w:rsid w:val="002B744A"/>
    <w:rsid w:val="002B7462"/>
    <w:rsid w:val="002B757C"/>
    <w:rsid w:val="002B7630"/>
    <w:rsid w:val="002B773E"/>
    <w:rsid w:val="002B7768"/>
    <w:rsid w:val="002B77D1"/>
    <w:rsid w:val="002B7986"/>
    <w:rsid w:val="002B7AA2"/>
    <w:rsid w:val="002B7AB4"/>
    <w:rsid w:val="002B7B47"/>
    <w:rsid w:val="002B7C50"/>
    <w:rsid w:val="002B7CDE"/>
    <w:rsid w:val="002B7DA1"/>
    <w:rsid w:val="002B7F09"/>
    <w:rsid w:val="002B7FD5"/>
    <w:rsid w:val="002C0172"/>
    <w:rsid w:val="002C01B1"/>
    <w:rsid w:val="002C045E"/>
    <w:rsid w:val="002C04F0"/>
    <w:rsid w:val="002C050E"/>
    <w:rsid w:val="002C0546"/>
    <w:rsid w:val="002C0635"/>
    <w:rsid w:val="002C0652"/>
    <w:rsid w:val="002C07CF"/>
    <w:rsid w:val="002C08EE"/>
    <w:rsid w:val="002C0A39"/>
    <w:rsid w:val="002C0C2B"/>
    <w:rsid w:val="002C0F3F"/>
    <w:rsid w:val="002C0F59"/>
    <w:rsid w:val="002C1338"/>
    <w:rsid w:val="002C136F"/>
    <w:rsid w:val="002C1429"/>
    <w:rsid w:val="002C1439"/>
    <w:rsid w:val="002C165F"/>
    <w:rsid w:val="002C170A"/>
    <w:rsid w:val="002C1739"/>
    <w:rsid w:val="002C17D3"/>
    <w:rsid w:val="002C1865"/>
    <w:rsid w:val="002C1BD8"/>
    <w:rsid w:val="002C1C20"/>
    <w:rsid w:val="002C1C45"/>
    <w:rsid w:val="002C1C8A"/>
    <w:rsid w:val="002C1D3A"/>
    <w:rsid w:val="002C1D74"/>
    <w:rsid w:val="002C1E9E"/>
    <w:rsid w:val="002C2044"/>
    <w:rsid w:val="002C21D9"/>
    <w:rsid w:val="002C21E0"/>
    <w:rsid w:val="002C2296"/>
    <w:rsid w:val="002C2328"/>
    <w:rsid w:val="002C24DA"/>
    <w:rsid w:val="002C263A"/>
    <w:rsid w:val="002C2734"/>
    <w:rsid w:val="002C2815"/>
    <w:rsid w:val="002C287C"/>
    <w:rsid w:val="002C29B2"/>
    <w:rsid w:val="002C29FC"/>
    <w:rsid w:val="002C2A3C"/>
    <w:rsid w:val="002C2A66"/>
    <w:rsid w:val="002C2A85"/>
    <w:rsid w:val="002C2AC0"/>
    <w:rsid w:val="002C2BAC"/>
    <w:rsid w:val="002C2D16"/>
    <w:rsid w:val="002C3191"/>
    <w:rsid w:val="002C31B5"/>
    <w:rsid w:val="002C341B"/>
    <w:rsid w:val="002C344F"/>
    <w:rsid w:val="002C3565"/>
    <w:rsid w:val="002C3727"/>
    <w:rsid w:val="002C3737"/>
    <w:rsid w:val="002C38D1"/>
    <w:rsid w:val="002C3A3D"/>
    <w:rsid w:val="002C3B2E"/>
    <w:rsid w:val="002C3CC6"/>
    <w:rsid w:val="002C3D04"/>
    <w:rsid w:val="002C3FCA"/>
    <w:rsid w:val="002C407C"/>
    <w:rsid w:val="002C41AB"/>
    <w:rsid w:val="002C452A"/>
    <w:rsid w:val="002C4728"/>
    <w:rsid w:val="002C487C"/>
    <w:rsid w:val="002C4888"/>
    <w:rsid w:val="002C4949"/>
    <w:rsid w:val="002C4A1C"/>
    <w:rsid w:val="002C4A2C"/>
    <w:rsid w:val="002C4CAE"/>
    <w:rsid w:val="002C4DB4"/>
    <w:rsid w:val="002C4E48"/>
    <w:rsid w:val="002C4E60"/>
    <w:rsid w:val="002C4F15"/>
    <w:rsid w:val="002C5347"/>
    <w:rsid w:val="002C53FC"/>
    <w:rsid w:val="002C550D"/>
    <w:rsid w:val="002C574F"/>
    <w:rsid w:val="002C57BB"/>
    <w:rsid w:val="002C57E3"/>
    <w:rsid w:val="002C5903"/>
    <w:rsid w:val="002C5A36"/>
    <w:rsid w:val="002C5B46"/>
    <w:rsid w:val="002C5BEF"/>
    <w:rsid w:val="002C5C76"/>
    <w:rsid w:val="002C5D33"/>
    <w:rsid w:val="002C5DA7"/>
    <w:rsid w:val="002C5E22"/>
    <w:rsid w:val="002C5E40"/>
    <w:rsid w:val="002C5F42"/>
    <w:rsid w:val="002C607D"/>
    <w:rsid w:val="002C6101"/>
    <w:rsid w:val="002C61A9"/>
    <w:rsid w:val="002C61EB"/>
    <w:rsid w:val="002C6304"/>
    <w:rsid w:val="002C660F"/>
    <w:rsid w:val="002C6661"/>
    <w:rsid w:val="002C683F"/>
    <w:rsid w:val="002C6860"/>
    <w:rsid w:val="002C6C20"/>
    <w:rsid w:val="002C6C4A"/>
    <w:rsid w:val="002C6D29"/>
    <w:rsid w:val="002C6E78"/>
    <w:rsid w:val="002C6EC6"/>
    <w:rsid w:val="002C6F60"/>
    <w:rsid w:val="002C7149"/>
    <w:rsid w:val="002C71A6"/>
    <w:rsid w:val="002C72B3"/>
    <w:rsid w:val="002C72B7"/>
    <w:rsid w:val="002C7357"/>
    <w:rsid w:val="002C73EC"/>
    <w:rsid w:val="002C7431"/>
    <w:rsid w:val="002C745A"/>
    <w:rsid w:val="002C74F5"/>
    <w:rsid w:val="002C757D"/>
    <w:rsid w:val="002C75F3"/>
    <w:rsid w:val="002C78B7"/>
    <w:rsid w:val="002C78FB"/>
    <w:rsid w:val="002C7989"/>
    <w:rsid w:val="002C7A89"/>
    <w:rsid w:val="002C7ADB"/>
    <w:rsid w:val="002C7CDF"/>
    <w:rsid w:val="002C7EE3"/>
    <w:rsid w:val="002D019D"/>
    <w:rsid w:val="002D027E"/>
    <w:rsid w:val="002D049A"/>
    <w:rsid w:val="002D0844"/>
    <w:rsid w:val="002D0873"/>
    <w:rsid w:val="002D092A"/>
    <w:rsid w:val="002D0955"/>
    <w:rsid w:val="002D0A52"/>
    <w:rsid w:val="002D0A95"/>
    <w:rsid w:val="002D0C95"/>
    <w:rsid w:val="002D0D7E"/>
    <w:rsid w:val="002D0D80"/>
    <w:rsid w:val="002D0DB2"/>
    <w:rsid w:val="002D0EF0"/>
    <w:rsid w:val="002D0F54"/>
    <w:rsid w:val="002D0F7C"/>
    <w:rsid w:val="002D122D"/>
    <w:rsid w:val="002D1292"/>
    <w:rsid w:val="002D1574"/>
    <w:rsid w:val="002D15F7"/>
    <w:rsid w:val="002D1684"/>
    <w:rsid w:val="002D16EC"/>
    <w:rsid w:val="002D1834"/>
    <w:rsid w:val="002D1907"/>
    <w:rsid w:val="002D1961"/>
    <w:rsid w:val="002D1A51"/>
    <w:rsid w:val="002D1AE8"/>
    <w:rsid w:val="002D1B65"/>
    <w:rsid w:val="002D1C3E"/>
    <w:rsid w:val="002D1CEA"/>
    <w:rsid w:val="002D1D64"/>
    <w:rsid w:val="002D1E74"/>
    <w:rsid w:val="002D2176"/>
    <w:rsid w:val="002D2182"/>
    <w:rsid w:val="002D24CA"/>
    <w:rsid w:val="002D2560"/>
    <w:rsid w:val="002D2627"/>
    <w:rsid w:val="002D2711"/>
    <w:rsid w:val="002D278F"/>
    <w:rsid w:val="002D27BF"/>
    <w:rsid w:val="002D27FB"/>
    <w:rsid w:val="002D2986"/>
    <w:rsid w:val="002D2B1C"/>
    <w:rsid w:val="002D2E2C"/>
    <w:rsid w:val="002D2EB6"/>
    <w:rsid w:val="002D2EEC"/>
    <w:rsid w:val="002D2FA8"/>
    <w:rsid w:val="002D2FBF"/>
    <w:rsid w:val="002D320A"/>
    <w:rsid w:val="002D3260"/>
    <w:rsid w:val="002D3307"/>
    <w:rsid w:val="002D334A"/>
    <w:rsid w:val="002D3522"/>
    <w:rsid w:val="002D35C0"/>
    <w:rsid w:val="002D37C9"/>
    <w:rsid w:val="002D3A13"/>
    <w:rsid w:val="002D3AED"/>
    <w:rsid w:val="002D3B3E"/>
    <w:rsid w:val="002D3C5B"/>
    <w:rsid w:val="002D3CA2"/>
    <w:rsid w:val="002D3CC6"/>
    <w:rsid w:val="002D3D35"/>
    <w:rsid w:val="002D3E94"/>
    <w:rsid w:val="002D3FF0"/>
    <w:rsid w:val="002D4049"/>
    <w:rsid w:val="002D421F"/>
    <w:rsid w:val="002D4296"/>
    <w:rsid w:val="002D4327"/>
    <w:rsid w:val="002D43E2"/>
    <w:rsid w:val="002D4436"/>
    <w:rsid w:val="002D4500"/>
    <w:rsid w:val="002D45FE"/>
    <w:rsid w:val="002D46D4"/>
    <w:rsid w:val="002D4918"/>
    <w:rsid w:val="002D49FA"/>
    <w:rsid w:val="002D4ACB"/>
    <w:rsid w:val="002D4B92"/>
    <w:rsid w:val="002D4BE0"/>
    <w:rsid w:val="002D4C57"/>
    <w:rsid w:val="002D4C6D"/>
    <w:rsid w:val="002D4C85"/>
    <w:rsid w:val="002D4D15"/>
    <w:rsid w:val="002D4D82"/>
    <w:rsid w:val="002D4DC0"/>
    <w:rsid w:val="002D519A"/>
    <w:rsid w:val="002D51B7"/>
    <w:rsid w:val="002D51C3"/>
    <w:rsid w:val="002D51E2"/>
    <w:rsid w:val="002D524A"/>
    <w:rsid w:val="002D5316"/>
    <w:rsid w:val="002D5391"/>
    <w:rsid w:val="002D53A8"/>
    <w:rsid w:val="002D5526"/>
    <w:rsid w:val="002D553E"/>
    <w:rsid w:val="002D5564"/>
    <w:rsid w:val="002D556A"/>
    <w:rsid w:val="002D55F7"/>
    <w:rsid w:val="002D568E"/>
    <w:rsid w:val="002D56A0"/>
    <w:rsid w:val="002D56F0"/>
    <w:rsid w:val="002D5806"/>
    <w:rsid w:val="002D5857"/>
    <w:rsid w:val="002D5BFA"/>
    <w:rsid w:val="002D5CBE"/>
    <w:rsid w:val="002D5D34"/>
    <w:rsid w:val="002D5DE1"/>
    <w:rsid w:val="002D5E6B"/>
    <w:rsid w:val="002D5E8B"/>
    <w:rsid w:val="002D5EE1"/>
    <w:rsid w:val="002D5EFC"/>
    <w:rsid w:val="002D5FE8"/>
    <w:rsid w:val="002D6144"/>
    <w:rsid w:val="002D6185"/>
    <w:rsid w:val="002D620B"/>
    <w:rsid w:val="002D6376"/>
    <w:rsid w:val="002D6425"/>
    <w:rsid w:val="002D64F4"/>
    <w:rsid w:val="002D6A2E"/>
    <w:rsid w:val="002D6B9A"/>
    <w:rsid w:val="002D6CEF"/>
    <w:rsid w:val="002D6DFB"/>
    <w:rsid w:val="002D6EA1"/>
    <w:rsid w:val="002D6F87"/>
    <w:rsid w:val="002D6FB1"/>
    <w:rsid w:val="002D6FEA"/>
    <w:rsid w:val="002D7095"/>
    <w:rsid w:val="002D71C4"/>
    <w:rsid w:val="002D72FC"/>
    <w:rsid w:val="002D7325"/>
    <w:rsid w:val="002D73F8"/>
    <w:rsid w:val="002D749E"/>
    <w:rsid w:val="002D76D8"/>
    <w:rsid w:val="002D772C"/>
    <w:rsid w:val="002D778B"/>
    <w:rsid w:val="002D7793"/>
    <w:rsid w:val="002D7915"/>
    <w:rsid w:val="002D7A0D"/>
    <w:rsid w:val="002D7A65"/>
    <w:rsid w:val="002D7AA4"/>
    <w:rsid w:val="002D7AD0"/>
    <w:rsid w:val="002D7AF2"/>
    <w:rsid w:val="002D7B10"/>
    <w:rsid w:val="002D7C6F"/>
    <w:rsid w:val="002D7D6F"/>
    <w:rsid w:val="002D7E0B"/>
    <w:rsid w:val="002E0151"/>
    <w:rsid w:val="002E0155"/>
    <w:rsid w:val="002E0173"/>
    <w:rsid w:val="002E01F3"/>
    <w:rsid w:val="002E02B4"/>
    <w:rsid w:val="002E0394"/>
    <w:rsid w:val="002E045F"/>
    <w:rsid w:val="002E061F"/>
    <w:rsid w:val="002E0815"/>
    <w:rsid w:val="002E0818"/>
    <w:rsid w:val="002E0A85"/>
    <w:rsid w:val="002E0AC4"/>
    <w:rsid w:val="002E0B65"/>
    <w:rsid w:val="002E0C0B"/>
    <w:rsid w:val="002E0D9E"/>
    <w:rsid w:val="002E0F40"/>
    <w:rsid w:val="002E101D"/>
    <w:rsid w:val="002E1092"/>
    <w:rsid w:val="002E112F"/>
    <w:rsid w:val="002E1367"/>
    <w:rsid w:val="002E1452"/>
    <w:rsid w:val="002E145B"/>
    <w:rsid w:val="002E14EC"/>
    <w:rsid w:val="002E16FD"/>
    <w:rsid w:val="002E1724"/>
    <w:rsid w:val="002E185B"/>
    <w:rsid w:val="002E1862"/>
    <w:rsid w:val="002E1A98"/>
    <w:rsid w:val="002E1BEE"/>
    <w:rsid w:val="002E1CBC"/>
    <w:rsid w:val="002E1CDE"/>
    <w:rsid w:val="002E1D62"/>
    <w:rsid w:val="002E1EE5"/>
    <w:rsid w:val="002E1F6D"/>
    <w:rsid w:val="002E1F74"/>
    <w:rsid w:val="002E1FA2"/>
    <w:rsid w:val="002E2126"/>
    <w:rsid w:val="002E2147"/>
    <w:rsid w:val="002E214C"/>
    <w:rsid w:val="002E217D"/>
    <w:rsid w:val="002E2489"/>
    <w:rsid w:val="002E25EA"/>
    <w:rsid w:val="002E260E"/>
    <w:rsid w:val="002E2687"/>
    <w:rsid w:val="002E28CF"/>
    <w:rsid w:val="002E290D"/>
    <w:rsid w:val="002E29B9"/>
    <w:rsid w:val="002E2AA4"/>
    <w:rsid w:val="002E2D77"/>
    <w:rsid w:val="002E2E39"/>
    <w:rsid w:val="002E2E92"/>
    <w:rsid w:val="002E30BA"/>
    <w:rsid w:val="002E3141"/>
    <w:rsid w:val="002E32AA"/>
    <w:rsid w:val="002E32B2"/>
    <w:rsid w:val="002E32C8"/>
    <w:rsid w:val="002E3409"/>
    <w:rsid w:val="002E3658"/>
    <w:rsid w:val="002E3876"/>
    <w:rsid w:val="002E3930"/>
    <w:rsid w:val="002E39CD"/>
    <w:rsid w:val="002E3A6A"/>
    <w:rsid w:val="002E3AB7"/>
    <w:rsid w:val="002E3BD7"/>
    <w:rsid w:val="002E3BF0"/>
    <w:rsid w:val="002E3D4D"/>
    <w:rsid w:val="002E3DB3"/>
    <w:rsid w:val="002E3DB7"/>
    <w:rsid w:val="002E3DF3"/>
    <w:rsid w:val="002E3EC2"/>
    <w:rsid w:val="002E3EF7"/>
    <w:rsid w:val="002E3FA3"/>
    <w:rsid w:val="002E4014"/>
    <w:rsid w:val="002E40B3"/>
    <w:rsid w:val="002E4223"/>
    <w:rsid w:val="002E44C6"/>
    <w:rsid w:val="002E4504"/>
    <w:rsid w:val="002E455B"/>
    <w:rsid w:val="002E4611"/>
    <w:rsid w:val="002E49B4"/>
    <w:rsid w:val="002E4A76"/>
    <w:rsid w:val="002E4AAB"/>
    <w:rsid w:val="002E4BFF"/>
    <w:rsid w:val="002E4CEF"/>
    <w:rsid w:val="002E4D39"/>
    <w:rsid w:val="002E4D83"/>
    <w:rsid w:val="002E4DBB"/>
    <w:rsid w:val="002E5057"/>
    <w:rsid w:val="002E5069"/>
    <w:rsid w:val="002E5103"/>
    <w:rsid w:val="002E512F"/>
    <w:rsid w:val="002E53DF"/>
    <w:rsid w:val="002E549E"/>
    <w:rsid w:val="002E5580"/>
    <w:rsid w:val="002E5581"/>
    <w:rsid w:val="002E55D9"/>
    <w:rsid w:val="002E56D4"/>
    <w:rsid w:val="002E5773"/>
    <w:rsid w:val="002E593D"/>
    <w:rsid w:val="002E5A49"/>
    <w:rsid w:val="002E5BD0"/>
    <w:rsid w:val="002E5C3D"/>
    <w:rsid w:val="002E5CA8"/>
    <w:rsid w:val="002E5E72"/>
    <w:rsid w:val="002E6023"/>
    <w:rsid w:val="002E61C6"/>
    <w:rsid w:val="002E61ED"/>
    <w:rsid w:val="002E646B"/>
    <w:rsid w:val="002E655C"/>
    <w:rsid w:val="002E65D8"/>
    <w:rsid w:val="002E65EA"/>
    <w:rsid w:val="002E666E"/>
    <w:rsid w:val="002E673A"/>
    <w:rsid w:val="002E67E2"/>
    <w:rsid w:val="002E67EB"/>
    <w:rsid w:val="002E687C"/>
    <w:rsid w:val="002E68B5"/>
    <w:rsid w:val="002E6926"/>
    <w:rsid w:val="002E6C2D"/>
    <w:rsid w:val="002E6C9B"/>
    <w:rsid w:val="002E6E57"/>
    <w:rsid w:val="002E7070"/>
    <w:rsid w:val="002E7161"/>
    <w:rsid w:val="002E7214"/>
    <w:rsid w:val="002E72C4"/>
    <w:rsid w:val="002E7764"/>
    <w:rsid w:val="002E7837"/>
    <w:rsid w:val="002E7A3B"/>
    <w:rsid w:val="002E7A6F"/>
    <w:rsid w:val="002E7C4E"/>
    <w:rsid w:val="002E7D31"/>
    <w:rsid w:val="002E7D34"/>
    <w:rsid w:val="002E7D9E"/>
    <w:rsid w:val="002E7DFA"/>
    <w:rsid w:val="002E7EA7"/>
    <w:rsid w:val="002F0048"/>
    <w:rsid w:val="002F00C4"/>
    <w:rsid w:val="002F00EF"/>
    <w:rsid w:val="002F0270"/>
    <w:rsid w:val="002F04E4"/>
    <w:rsid w:val="002F053D"/>
    <w:rsid w:val="002F06A1"/>
    <w:rsid w:val="002F06BE"/>
    <w:rsid w:val="002F0789"/>
    <w:rsid w:val="002F0878"/>
    <w:rsid w:val="002F088A"/>
    <w:rsid w:val="002F0921"/>
    <w:rsid w:val="002F0A60"/>
    <w:rsid w:val="002F0C18"/>
    <w:rsid w:val="002F0CB2"/>
    <w:rsid w:val="002F0D04"/>
    <w:rsid w:val="002F0D0F"/>
    <w:rsid w:val="002F0E5A"/>
    <w:rsid w:val="002F0E8C"/>
    <w:rsid w:val="002F0F71"/>
    <w:rsid w:val="002F0F7A"/>
    <w:rsid w:val="002F1153"/>
    <w:rsid w:val="002F11EF"/>
    <w:rsid w:val="002F121F"/>
    <w:rsid w:val="002F156C"/>
    <w:rsid w:val="002F16E8"/>
    <w:rsid w:val="002F1758"/>
    <w:rsid w:val="002F177E"/>
    <w:rsid w:val="002F1973"/>
    <w:rsid w:val="002F19E9"/>
    <w:rsid w:val="002F1B4A"/>
    <w:rsid w:val="002F1B62"/>
    <w:rsid w:val="002F1D8D"/>
    <w:rsid w:val="002F211E"/>
    <w:rsid w:val="002F2166"/>
    <w:rsid w:val="002F219A"/>
    <w:rsid w:val="002F2365"/>
    <w:rsid w:val="002F23A0"/>
    <w:rsid w:val="002F240A"/>
    <w:rsid w:val="002F2498"/>
    <w:rsid w:val="002F255F"/>
    <w:rsid w:val="002F2831"/>
    <w:rsid w:val="002F295C"/>
    <w:rsid w:val="002F2976"/>
    <w:rsid w:val="002F29AF"/>
    <w:rsid w:val="002F2AE7"/>
    <w:rsid w:val="002F2F55"/>
    <w:rsid w:val="002F2F61"/>
    <w:rsid w:val="002F2FF6"/>
    <w:rsid w:val="002F319E"/>
    <w:rsid w:val="002F3227"/>
    <w:rsid w:val="002F333A"/>
    <w:rsid w:val="002F33B7"/>
    <w:rsid w:val="002F34B5"/>
    <w:rsid w:val="002F3519"/>
    <w:rsid w:val="002F3590"/>
    <w:rsid w:val="002F3618"/>
    <w:rsid w:val="002F398B"/>
    <w:rsid w:val="002F39B2"/>
    <w:rsid w:val="002F39E0"/>
    <w:rsid w:val="002F3B0B"/>
    <w:rsid w:val="002F3B1A"/>
    <w:rsid w:val="002F3B31"/>
    <w:rsid w:val="002F3B75"/>
    <w:rsid w:val="002F3BAB"/>
    <w:rsid w:val="002F3BEF"/>
    <w:rsid w:val="002F3C49"/>
    <w:rsid w:val="002F3C92"/>
    <w:rsid w:val="002F3CC0"/>
    <w:rsid w:val="002F3E68"/>
    <w:rsid w:val="002F3E93"/>
    <w:rsid w:val="002F3EBC"/>
    <w:rsid w:val="002F40A8"/>
    <w:rsid w:val="002F40B0"/>
    <w:rsid w:val="002F4153"/>
    <w:rsid w:val="002F418A"/>
    <w:rsid w:val="002F41DA"/>
    <w:rsid w:val="002F44D9"/>
    <w:rsid w:val="002F45DF"/>
    <w:rsid w:val="002F466C"/>
    <w:rsid w:val="002F4716"/>
    <w:rsid w:val="002F47DA"/>
    <w:rsid w:val="002F48D0"/>
    <w:rsid w:val="002F49BD"/>
    <w:rsid w:val="002F4AE5"/>
    <w:rsid w:val="002F4B1B"/>
    <w:rsid w:val="002F4B3C"/>
    <w:rsid w:val="002F4BED"/>
    <w:rsid w:val="002F4DBA"/>
    <w:rsid w:val="002F4DE3"/>
    <w:rsid w:val="002F4F75"/>
    <w:rsid w:val="002F508C"/>
    <w:rsid w:val="002F53C5"/>
    <w:rsid w:val="002F5649"/>
    <w:rsid w:val="002F5711"/>
    <w:rsid w:val="002F576F"/>
    <w:rsid w:val="002F59DA"/>
    <w:rsid w:val="002F5AED"/>
    <w:rsid w:val="002F5B73"/>
    <w:rsid w:val="002F5C9D"/>
    <w:rsid w:val="002F5D1C"/>
    <w:rsid w:val="002F5D27"/>
    <w:rsid w:val="002F5DEE"/>
    <w:rsid w:val="002F5F13"/>
    <w:rsid w:val="002F5F40"/>
    <w:rsid w:val="002F605D"/>
    <w:rsid w:val="002F61D4"/>
    <w:rsid w:val="002F6289"/>
    <w:rsid w:val="002F6522"/>
    <w:rsid w:val="002F6631"/>
    <w:rsid w:val="002F67C9"/>
    <w:rsid w:val="002F688E"/>
    <w:rsid w:val="002F6932"/>
    <w:rsid w:val="002F6A82"/>
    <w:rsid w:val="002F6ADA"/>
    <w:rsid w:val="002F6C7B"/>
    <w:rsid w:val="002F6D10"/>
    <w:rsid w:val="002F6E0F"/>
    <w:rsid w:val="002F6E58"/>
    <w:rsid w:val="002F6F2E"/>
    <w:rsid w:val="002F7140"/>
    <w:rsid w:val="002F71CE"/>
    <w:rsid w:val="002F72BE"/>
    <w:rsid w:val="002F733D"/>
    <w:rsid w:val="002F743A"/>
    <w:rsid w:val="002F7729"/>
    <w:rsid w:val="002F783F"/>
    <w:rsid w:val="002F7A61"/>
    <w:rsid w:val="002F7BBB"/>
    <w:rsid w:val="002F7BDF"/>
    <w:rsid w:val="002F7C59"/>
    <w:rsid w:val="002F7C97"/>
    <w:rsid w:val="002F7E3B"/>
    <w:rsid w:val="002F7ED1"/>
    <w:rsid w:val="00300051"/>
    <w:rsid w:val="00300058"/>
    <w:rsid w:val="0030006E"/>
    <w:rsid w:val="00300289"/>
    <w:rsid w:val="0030037B"/>
    <w:rsid w:val="003003D7"/>
    <w:rsid w:val="003004A4"/>
    <w:rsid w:val="003004CF"/>
    <w:rsid w:val="00300512"/>
    <w:rsid w:val="00300514"/>
    <w:rsid w:val="00300866"/>
    <w:rsid w:val="003008B2"/>
    <w:rsid w:val="00300922"/>
    <w:rsid w:val="00300939"/>
    <w:rsid w:val="00300A3C"/>
    <w:rsid w:val="00300B91"/>
    <w:rsid w:val="00300E23"/>
    <w:rsid w:val="00300F95"/>
    <w:rsid w:val="003010B1"/>
    <w:rsid w:val="00301125"/>
    <w:rsid w:val="0030122D"/>
    <w:rsid w:val="0030129E"/>
    <w:rsid w:val="00301302"/>
    <w:rsid w:val="00301339"/>
    <w:rsid w:val="00301361"/>
    <w:rsid w:val="00301526"/>
    <w:rsid w:val="00301580"/>
    <w:rsid w:val="00301590"/>
    <w:rsid w:val="00301611"/>
    <w:rsid w:val="00301666"/>
    <w:rsid w:val="003016B7"/>
    <w:rsid w:val="0030184C"/>
    <w:rsid w:val="003018A4"/>
    <w:rsid w:val="00301944"/>
    <w:rsid w:val="00301967"/>
    <w:rsid w:val="00301B2C"/>
    <w:rsid w:val="00301BB6"/>
    <w:rsid w:val="00301E9D"/>
    <w:rsid w:val="00301ED8"/>
    <w:rsid w:val="00301F0A"/>
    <w:rsid w:val="00301FFB"/>
    <w:rsid w:val="00302050"/>
    <w:rsid w:val="00302061"/>
    <w:rsid w:val="00302070"/>
    <w:rsid w:val="00302135"/>
    <w:rsid w:val="003021B5"/>
    <w:rsid w:val="0030225B"/>
    <w:rsid w:val="0030231A"/>
    <w:rsid w:val="0030236C"/>
    <w:rsid w:val="0030240B"/>
    <w:rsid w:val="003024FE"/>
    <w:rsid w:val="00302593"/>
    <w:rsid w:val="003025FC"/>
    <w:rsid w:val="003026FF"/>
    <w:rsid w:val="0030274E"/>
    <w:rsid w:val="003027B8"/>
    <w:rsid w:val="003027DA"/>
    <w:rsid w:val="003028C1"/>
    <w:rsid w:val="00302CA5"/>
    <w:rsid w:val="00302D6B"/>
    <w:rsid w:val="00302DE2"/>
    <w:rsid w:val="00302F6A"/>
    <w:rsid w:val="0030302F"/>
    <w:rsid w:val="003030BE"/>
    <w:rsid w:val="003031F6"/>
    <w:rsid w:val="003034E2"/>
    <w:rsid w:val="00303596"/>
    <w:rsid w:val="003035A6"/>
    <w:rsid w:val="003035BF"/>
    <w:rsid w:val="00303716"/>
    <w:rsid w:val="003037C7"/>
    <w:rsid w:val="0030381D"/>
    <w:rsid w:val="00303843"/>
    <w:rsid w:val="003038DF"/>
    <w:rsid w:val="00303988"/>
    <w:rsid w:val="00303A67"/>
    <w:rsid w:val="00303AA7"/>
    <w:rsid w:val="00303B08"/>
    <w:rsid w:val="00303C35"/>
    <w:rsid w:val="00303D51"/>
    <w:rsid w:val="00303D82"/>
    <w:rsid w:val="00303F8E"/>
    <w:rsid w:val="003040D2"/>
    <w:rsid w:val="003041F3"/>
    <w:rsid w:val="00304227"/>
    <w:rsid w:val="00304237"/>
    <w:rsid w:val="003043F5"/>
    <w:rsid w:val="003044A3"/>
    <w:rsid w:val="003045E9"/>
    <w:rsid w:val="00304608"/>
    <w:rsid w:val="0030463F"/>
    <w:rsid w:val="003046BC"/>
    <w:rsid w:val="003046C4"/>
    <w:rsid w:val="003046E3"/>
    <w:rsid w:val="00304863"/>
    <w:rsid w:val="003048F4"/>
    <w:rsid w:val="0030495A"/>
    <w:rsid w:val="003049B6"/>
    <w:rsid w:val="00304A28"/>
    <w:rsid w:val="00304D66"/>
    <w:rsid w:val="00304E61"/>
    <w:rsid w:val="00304E69"/>
    <w:rsid w:val="00304F85"/>
    <w:rsid w:val="00305090"/>
    <w:rsid w:val="003050A3"/>
    <w:rsid w:val="0030524B"/>
    <w:rsid w:val="003052A8"/>
    <w:rsid w:val="003053EE"/>
    <w:rsid w:val="00305403"/>
    <w:rsid w:val="0030541C"/>
    <w:rsid w:val="0030545D"/>
    <w:rsid w:val="003054C4"/>
    <w:rsid w:val="00305735"/>
    <w:rsid w:val="00305831"/>
    <w:rsid w:val="0030587B"/>
    <w:rsid w:val="00305953"/>
    <w:rsid w:val="00305A61"/>
    <w:rsid w:val="00305A97"/>
    <w:rsid w:val="00305BAA"/>
    <w:rsid w:val="00305C1A"/>
    <w:rsid w:val="00305C1D"/>
    <w:rsid w:val="00305C61"/>
    <w:rsid w:val="00305CA6"/>
    <w:rsid w:val="00305DAE"/>
    <w:rsid w:val="00305E3A"/>
    <w:rsid w:val="00305E75"/>
    <w:rsid w:val="00306168"/>
    <w:rsid w:val="00306218"/>
    <w:rsid w:val="00306278"/>
    <w:rsid w:val="003062BF"/>
    <w:rsid w:val="00306308"/>
    <w:rsid w:val="003063A7"/>
    <w:rsid w:val="00306419"/>
    <w:rsid w:val="0030642F"/>
    <w:rsid w:val="003065FF"/>
    <w:rsid w:val="00306681"/>
    <w:rsid w:val="003066F5"/>
    <w:rsid w:val="00306809"/>
    <w:rsid w:val="00306896"/>
    <w:rsid w:val="003068DF"/>
    <w:rsid w:val="00306AFB"/>
    <w:rsid w:val="00306B2D"/>
    <w:rsid w:val="00306C91"/>
    <w:rsid w:val="00306CE1"/>
    <w:rsid w:val="00306D73"/>
    <w:rsid w:val="00306F32"/>
    <w:rsid w:val="00306FDD"/>
    <w:rsid w:val="0030703E"/>
    <w:rsid w:val="00307121"/>
    <w:rsid w:val="0030719D"/>
    <w:rsid w:val="003074B6"/>
    <w:rsid w:val="00307795"/>
    <w:rsid w:val="003078B9"/>
    <w:rsid w:val="0030793D"/>
    <w:rsid w:val="00307995"/>
    <w:rsid w:val="0030799C"/>
    <w:rsid w:val="003079B8"/>
    <w:rsid w:val="00307BED"/>
    <w:rsid w:val="00307D37"/>
    <w:rsid w:val="00307D4A"/>
    <w:rsid w:val="00307D55"/>
    <w:rsid w:val="00307FC1"/>
    <w:rsid w:val="003100C3"/>
    <w:rsid w:val="003100C9"/>
    <w:rsid w:val="003102F0"/>
    <w:rsid w:val="00310305"/>
    <w:rsid w:val="00310373"/>
    <w:rsid w:val="0031039A"/>
    <w:rsid w:val="00310469"/>
    <w:rsid w:val="00310792"/>
    <w:rsid w:val="003107B7"/>
    <w:rsid w:val="003107F4"/>
    <w:rsid w:val="003108F6"/>
    <w:rsid w:val="003109D5"/>
    <w:rsid w:val="00310A29"/>
    <w:rsid w:val="00310C88"/>
    <w:rsid w:val="00310D4F"/>
    <w:rsid w:val="00310D64"/>
    <w:rsid w:val="00310E15"/>
    <w:rsid w:val="00310F13"/>
    <w:rsid w:val="00310F9B"/>
    <w:rsid w:val="0031105D"/>
    <w:rsid w:val="0031108D"/>
    <w:rsid w:val="0031113A"/>
    <w:rsid w:val="003111BB"/>
    <w:rsid w:val="003115D2"/>
    <w:rsid w:val="00311872"/>
    <w:rsid w:val="003119AF"/>
    <w:rsid w:val="00311A09"/>
    <w:rsid w:val="00311C60"/>
    <w:rsid w:val="00311C89"/>
    <w:rsid w:val="00311D89"/>
    <w:rsid w:val="00311E96"/>
    <w:rsid w:val="00311F15"/>
    <w:rsid w:val="00311FD2"/>
    <w:rsid w:val="00312384"/>
    <w:rsid w:val="003124CF"/>
    <w:rsid w:val="003124E6"/>
    <w:rsid w:val="00312610"/>
    <w:rsid w:val="003126D4"/>
    <w:rsid w:val="0031275E"/>
    <w:rsid w:val="003127A3"/>
    <w:rsid w:val="003127C9"/>
    <w:rsid w:val="00312A89"/>
    <w:rsid w:val="00312AFD"/>
    <w:rsid w:val="00312B72"/>
    <w:rsid w:val="00312C92"/>
    <w:rsid w:val="00312CF8"/>
    <w:rsid w:val="00312D1D"/>
    <w:rsid w:val="00312D23"/>
    <w:rsid w:val="00312DFA"/>
    <w:rsid w:val="00312F30"/>
    <w:rsid w:val="00312FE2"/>
    <w:rsid w:val="00313128"/>
    <w:rsid w:val="00313170"/>
    <w:rsid w:val="003131CC"/>
    <w:rsid w:val="003132D1"/>
    <w:rsid w:val="00313332"/>
    <w:rsid w:val="00313333"/>
    <w:rsid w:val="003133EB"/>
    <w:rsid w:val="00313457"/>
    <w:rsid w:val="003135DC"/>
    <w:rsid w:val="00313723"/>
    <w:rsid w:val="00313854"/>
    <w:rsid w:val="0031385C"/>
    <w:rsid w:val="003138F4"/>
    <w:rsid w:val="003139AD"/>
    <w:rsid w:val="00313A11"/>
    <w:rsid w:val="00313B4D"/>
    <w:rsid w:val="00313FA8"/>
    <w:rsid w:val="00313FAD"/>
    <w:rsid w:val="00313FBD"/>
    <w:rsid w:val="00314024"/>
    <w:rsid w:val="00314042"/>
    <w:rsid w:val="00314063"/>
    <w:rsid w:val="003141BA"/>
    <w:rsid w:val="00314380"/>
    <w:rsid w:val="0031459F"/>
    <w:rsid w:val="00314610"/>
    <w:rsid w:val="00314717"/>
    <w:rsid w:val="00314978"/>
    <w:rsid w:val="003149D2"/>
    <w:rsid w:val="003149D3"/>
    <w:rsid w:val="00314A1C"/>
    <w:rsid w:val="00314B85"/>
    <w:rsid w:val="00314D96"/>
    <w:rsid w:val="00314E63"/>
    <w:rsid w:val="00314EA6"/>
    <w:rsid w:val="00314EC9"/>
    <w:rsid w:val="00314F6B"/>
    <w:rsid w:val="00314FF3"/>
    <w:rsid w:val="00315009"/>
    <w:rsid w:val="00315167"/>
    <w:rsid w:val="0031528C"/>
    <w:rsid w:val="003152CA"/>
    <w:rsid w:val="00315315"/>
    <w:rsid w:val="0031537A"/>
    <w:rsid w:val="0031539C"/>
    <w:rsid w:val="0031553F"/>
    <w:rsid w:val="0031554D"/>
    <w:rsid w:val="003155D1"/>
    <w:rsid w:val="0031563A"/>
    <w:rsid w:val="003156A8"/>
    <w:rsid w:val="0031570A"/>
    <w:rsid w:val="003157ED"/>
    <w:rsid w:val="003158B8"/>
    <w:rsid w:val="00315965"/>
    <w:rsid w:val="00315972"/>
    <w:rsid w:val="003159C5"/>
    <w:rsid w:val="00315DC9"/>
    <w:rsid w:val="00315F27"/>
    <w:rsid w:val="003163C8"/>
    <w:rsid w:val="003165B6"/>
    <w:rsid w:val="0031679B"/>
    <w:rsid w:val="00316806"/>
    <w:rsid w:val="00316808"/>
    <w:rsid w:val="00316861"/>
    <w:rsid w:val="0031688C"/>
    <w:rsid w:val="003168B0"/>
    <w:rsid w:val="003169E5"/>
    <w:rsid w:val="00316B5A"/>
    <w:rsid w:val="00316BF1"/>
    <w:rsid w:val="00316C53"/>
    <w:rsid w:val="00316C84"/>
    <w:rsid w:val="00316E81"/>
    <w:rsid w:val="00316F78"/>
    <w:rsid w:val="0031702D"/>
    <w:rsid w:val="0031702F"/>
    <w:rsid w:val="00317213"/>
    <w:rsid w:val="0031753F"/>
    <w:rsid w:val="003177A9"/>
    <w:rsid w:val="00317857"/>
    <w:rsid w:val="0031799B"/>
    <w:rsid w:val="00317C2C"/>
    <w:rsid w:val="00317CC3"/>
    <w:rsid w:val="00317CF8"/>
    <w:rsid w:val="00317D2D"/>
    <w:rsid w:val="00317E06"/>
    <w:rsid w:val="00317F93"/>
    <w:rsid w:val="003200B6"/>
    <w:rsid w:val="0032022E"/>
    <w:rsid w:val="003203A1"/>
    <w:rsid w:val="003203D0"/>
    <w:rsid w:val="0032048B"/>
    <w:rsid w:val="00320606"/>
    <w:rsid w:val="00320618"/>
    <w:rsid w:val="00320659"/>
    <w:rsid w:val="00320731"/>
    <w:rsid w:val="0032076D"/>
    <w:rsid w:val="003207B1"/>
    <w:rsid w:val="00320809"/>
    <w:rsid w:val="003208AC"/>
    <w:rsid w:val="003209FB"/>
    <w:rsid w:val="00320ABE"/>
    <w:rsid w:val="00320AC2"/>
    <w:rsid w:val="00320B48"/>
    <w:rsid w:val="00320B4C"/>
    <w:rsid w:val="00320D93"/>
    <w:rsid w:val="00320EB8"/>
    <w:rsid w:val="00321007"/>
    <w:rsid w:val="0032109F"/>
    <w:rsid w:val="00321127"/>
    <w:rsid w:val="003211AA"/>
    <w:rsid w:val="003214C5"/>
    <w:rsid w:val="0032167C"/>
    <w:rsid w:val="0032167F"/>
    <w:rsid w:val="0032171B"/>
    <w:rsid w:val="00321745"/>
    <w:rsid w:val="00321778"/>
    <w:rsid w:val="00321810"/>
    <w:rsid w:val="0032187F"/>
    <w:rsid w:val="003218A8"/>
    <w:rsid w:val="00321A27"/>
    <w:rsid w:val="00321A86"/>
    <w:rsid w:val="00321B7C"/>
    <w:rsid w:val="00321C89"/>
    <w:rsid w:val="00321C9A"/>
    <w:rsid w:val="00321D2C"/>
    <w:rsid w:val="00321F63"/>
    <w:rsid w:val="00321FC4"/>
    <w:rsid w:val="00321FE2"/>
    <w:rsid w:val="00321FF4"/>
    <w:rsid w:val="00322127"/>
    <w:rsid w:val="00322275"/>
    <w:rsid w:val="0032233E"/>
    <w:rsid w:val="003223C7"/>
    <w:rsid w:val="003225D1"/>
    <w:rsid w:val="0032261C"/>
    <w:rsid w:val="0032276F"/>
    <w:rsid w:val="0032286B"/>
    <w:rsid w:val="0032299F"/>
    <w:rsid w:val="00322B4E"/>
    <w:rsid w:val="00322B5E"/>
    <w:rsid w:val="00322BD4"/>
    <w:rsid w:val="00322C1A"/>
    <w:rsid w:val="00322C77"/>
    <w:rsid w:val="00322E26"/>
    <w:rsid w:val="00322EBA"/>
    <w:rsid w:val="00322F3B"/>
    <w:rsid w:val="00322F88"/>
    <w:rsid w:val="00322FD0"/>
    <w:rsid w:val="00323027"/>
    <w:rsid w:val="00323035"/>
    <w:rsid w:val="00323081"/>
    <w:rsid w:val="003230D8"/>
    <w:rsid w:val="003232F7"/>
    <w:rsid w:val="003234CA"/>
    <w:rsid w:val="003235D5"/>
    <w:rsid w:val="00323634"/>
    <w:rsid w:val="003237D3"/>
    <w:rsid w:val="00323839"/>
    <w:rsid w:val="00323845"/>
    <w:rsid w:val="003238A8"/>
    <w:rsid w:val="003238AF"/>
    <w:rsid w:val="00323D30"/>
    <w:rsid w:val="00323D81"/>
    <w:rsid w:val="00323E6F"/>
    <w:rsid w:val="00324148"/>
    <w:rsid w:val="00324166"/>
    <w:rsid w:val="00324247"/>
    <w:rsid w:val="00324368"/>
    <w:rsid w:val="003243E2"/>
    <w:rsid w:val="0032441B"/>
    <w:rsid w:val="0032443E"/>
    <w:rsid w:val="003244D9"/>
    <w:rsid w:val="003245A3"/>
    <w:rsid w:val="003246C4"/>
    <w:rsid w:val="003248BC"/>
    <w:rsid w:val="003248E5"/>
    <w:rsid w:val="00324AD6"/>
    <w:rsid w:val="00324B53"/>
    <w:rsid w:val="0032501B"/>
    <w:rsid w:val="003251CE"/>
    <w:rsid w:val="0032537B"/>
    <w:rsid w:val="0032549F"/>
    <w:rsid w:val="003254A9"/>
    <w:rsid w:val="003254EC"/>
    <w:rsid w:val="003256A1"/>
    <w:rsid w:val="0032583E"/>
    <w:rsid w:val="0032587A"/>
    <w:rsid w:val="00325998"/>
    <w:rsid w:val="003259CA"/>
    <w:rsid w:val="00325A42"/>
    <w:rsid w:val="00325A51"/>
    <w:rsid w:val="00325C8B"/>
    <w:rsid w:val="00325D01"/>
    <w:rsid w:val="00325D1F"/>
    <w:rsid w:val="00325D89"/>
    <w:rsid w:val="00325EDA"/>
    <w:rsid w:val="00325EEB"/>
    <w:rsid w:val="00325F45"/>
    <w:rsid w:val="00326029"/>
    <w:rsid w:val="0032620B"/>
    <w:rsid w:val="003262CE"/>
    <w:rsid w:val="00326323"/>
    <w:rsid w:val="0032674A"/>
    <w:rsid w:val="00326786"/>
    <w:rsid w:val="0032678C"/>
    <w:rsid w:val="0032697D"/>
    <w:rsid w:val="003269E4"/>
    <w:rsid w:val="003269FF"/>
    <w:rsid w:val="00326B09"/>
    <w:rsid w:val="00326B32"/>
    <w:rsid w:val="00326B87"/>
    <w:rsid w:val="00326BFA"/>
    <w:rsid w:val="00326C3B"/>
    <w:rsid w:val="00326C57"/>
    <w:rsid w:val="00326C79"/>
    <w:rsid w:val="00326F02"/>
    <w:rsid w:val="0032753A"/>
    <w:rsid w:val="00327638"/>
    <w:rsid w:val="003276C7"/>
    <w:rsid w:val="00327933"/>
    <w:rsid w:val="00327BDF"/>
    <w:rsid w:val="00327DD9"/>
    <w:rsid w:val="00327E1B"/>
    <w:rsid w:val="003302B3"/>
    <w:rsid w:val="003302D6"/>
    <w:rsid w:val="00330399"/>
    <w:rsid w:val="003303C3"/>
    <w:rsid w:val="00330562"/>
    <w:rsid w:val="003306AB"/>
    <w:rsid w:val="00330A2E"/>
    <w:rsid w:val="00330A60"/>
    <w:rsid w:val="00330B10"/>
    <w:rsid w:val="00330CA7"/>
    <w:rsid w:val="00330CF5"/>
    <w:rsid w:val="00330D03"/>
    <w:rsid w:val="00330D84"/>
    <w:rsid w:val="00330DDD"/>
    <w:rsid w:val="00330EA3"/>
    <w:rsid w:val="00330EC9"/>
    <w:rsid w:val="00330F39"/>
    <w:rsid w:val="00330FD4"/>
    <w:rsid w:val="00331259"/>
    <w:rsid w:val="0033136A"/>
    <w:rsid w:val="003314B2"/>
    <w:rsid w:val="003316A4"/>
    <w:rsid w:val="003317F4"/>
    <w:rsid w:val="00331A52"/>
    <w:rsid w:val="00331C7F"/>
    <w:rsid w:val="00331CC8"/>
    <w:rsid w:val="00331D44"/>
    <w:rsid w:val="00331E4F"/>
    <w:rsid w:val="00332162"/>
    <w:rsid w:val="003321D2"/>
    <w:rsid w:val="00332258"/>
    <w:rsid w:val="003323F6"/>
    <w:rsid w:val="0033248F"/>
    <w:rsid w:val="003325AB"/>
    <w:rsid w:val="00332808"/>
    <w:rsid w:val="00332818"/>
    <w:rsid w:val="00332858"/>
    <w:rsid w:val="00332895"/>
    <w:rsid w:val="0033292D"/>
    <w:rsid w:val="00332A59"/>
    <w:rsid w:val="00332C60"/>
    <w:rsid w:val="00332D6E"/>
    <w:rsid w:val="00332DEB"/>
    <w:rsid w:val="0033322B"/>
    <w:rsid w:val="0033328C"/>
    <w:rsid w:val="00333549"/>
    <w:rsid w:val="0033357E"/>
    <w:rsid w:val="003336A0"/>
    <w:rsid w:val="003336DD"/>
    <w:rsid w:val="00333827"/>
    <w:rsid w:val="0033393B"/>
    <w:rsid w:val="00333973"/>
    <w:rsid w:val="003339CE"/>
    <w:rsid w:val="00333A44"/>
    <w:rsid w:val="00333AF1"/>
    <w:rsid w:val="00333BA7"/>
    <w:rsid w:val="00333BF5"/>
    <w:rsid w:val="00333C64"/>
    <w:rsid w:val="00333FF7"/>
    <w:rsid w:val="00334083"/>
    <w:rsid w:val="003340CA"/>
    <w:rsid w:val="0033426F"/>
    <w:rsid w:val="003344AD"/>
    <w:rsid w:val="00334592"/>
    <w:rsid w:val="003345A3"/>
    <w:rsid w:val="003345B2"/>
    <w:rsid w:val="0033475D"/>
    <w:rsid w:val="00334945"/>
    <w:rsid w:val="00334965"/>
    <w:rsid w:val="00334A18"/>
    <w:rsid w:val="00334B38"/>
    <w:rsid w:val="00334CAB"/>
    <w:rsid w:val="00334D82"/>
    <w:rsid w:val="00334DF2"/>
    <w:rsid w:val="00334E6F"/>
    <w:rsid w:val="00334F95"/>
    <w:rsid w:val="0033505E"/>
    <w:rsid w:val="003351FE"/>
    <w:rsid w:val="0033522E"/>
    <w:rsid w:val="003352C5"/>
    <w:rsid w:val="0033542F"/>
    <w:rsid w:val="0033544B"/>
    <w:rsid w:val="00335500"/>
    <w:rsid w:val="00335526"/>
    <w:rsid w:val="00335563"/>
    <w:rsid w:val="0033556D"/>
    <w:rsid w:val="0033566E"/>
    <w:rsid w:val="00335678"/>
    <w:rsid w:val="00335711"/>
    <w:rsid w:val="0033576E"/>
    <w:rsid w:val="003357A0"/>
    <w:rsid w:val="003357DE"/>
    <w:rsid w:val="00335922"/>
    <w:rsid w:val="003359E7"/>
    <w:rsid w:val="00335A26"/>
    <w:rsid w:val="00335ADB"/>
    <w:rsid w:val="00335B27"/>
    <w:rsid w:val="00335B88"/>
    <w:rsid w:val="00335C12"/>
    <w:rsid w:val="00335E14"/>
    <w:rsid w:val="00335F28"/>
    <w:rsid w:val="00335FF3"/>
    <w:rsid w:val="0033609F"/>
    <w:rsid w:val="003362E7"/>
    <w:rsid w:val="003362FD"/>
    <w:rsid w:val="00336430"/>
    <w:rsid w:val="00336549"/>
    <w:rsid w:val="00336640"/>
    <w:rsid w:val="003368B4"/>
    <w:rsid w:val="003368C9"/>
    <w:rsid w:val="00336A86"/>
    <w:rsid w:val="00336B75"/>
    <w:rsid w:val="00336CAC"/>
    <w:rsid w:val="00336CFC"/>
    <w:rsid w:val="00336D13"/>
    <w:rsid w:val="00336D39"/>
    <w:rsid w:val="00336E34"/>
    <w:rsid w:val="00337101"/>
    <w:rsid w:val="003371E3"/>
    <w:rsid w:val="003372BD"/>
    <w:rsid w:val="0033731F"/>
    <w:rsid w:val="003373A1"/>
    <w:rsid w:val="003373FC"/>
    <w:rsid w:val="0033748B"/>
    <w:rsid w:val="00337528"/>
    <w:rsid w:val="0033752B"/>
    <w:rsid w:val="00337550"/>
    <w:rsid w:val="00337554"/>
    <w:rsid w:val="003375FF"/>
    <w:rsid w:val="00337795"/>
    <w:rsid w:val="003377CC"/>
    <w:rsid w:val="003379F0"/>
    <w:rsid w:val="00337DA9"/>
    <w:rsid w:val="00337DAD"/>
    <w:rsid w:val="0034012C"/>
    <w:rsid w:val="0034015B"/>
    <w:rsid w:val="00340171"/>
    <w:rsid w:val="0034018D"/>
    <w:rsid w:val="003401C8"/>
    <w:rsid w:val="00340497"/>
    <w:rsid w:val="0034053B"/>
    <w:rsid w:val="00340567"/>
    <w:rsid w:val="00340614"/>
    <w:rsid w:val="0034066E"/>
    <w:rsid w:val="003406C0"/>
    <w:rsid w:val="003407F4"/>
    <w:rsid w:val="0034096D"/>
    <w:rsid w:val="00340AAC"/>
    <w:rsid w:val="00340CD7"/>
    <w:rsid w:val="00340D82"/>
    <w:rsid w:val="00340D9D"/>
    <w:rsid w:val="00340DA5"/>
    <w:rsid w:val="00340FCA"/>
    <w:rsid w:val="003410C7"/>
    <w:rsid w:val="00341148"/>
    <w:rsid w:val="0034116A"/>
    <w:rsid w:val="003411BC"/>
    <w:rsid w:val="0034134E"/>
    <w:rsid w:val="0034150E"/>
    <w:rsid w:val="00341574"/>
    <w:rsid w:val="00341589"/>
    <w:rsid w:val="00341648"/>
    <w:rsid w:val="00341802"/>
    <w:rsid w:val="0034189D"/>
    <w:rsid w:val="00341A9C"/>
    <w:rsid w:val="00341C1A"/>
    <w:rsid w:val="00341D27"/>
    <w:rsid w:val="00341D83"/>
    <w:rsid w:val="00341DAF"/>
    <w:rsid w:val="00341E16"/>
    <w:rsid w:val="00341E73"/>
    <w:rsid w:val="00341F5B"/>
    <w:rsid w:val="00341FA9"/>
    <w:rsid w:val="00342148"/>
    <w:rsid w:val="00342161"/>
    <w:rsid w:val="00342168"/>
    <w:rsid w:val="0034227C"/>
    <w:rsid w:val="003422F9"/>
    <w:rsid w:val="00342349"/>
    <w:rsid w:val="003425A1"/>
    <w:rsid w:val="003425D0"/>
    <w:rsid w:val="00342708"/>
    <w:rsid w:val="00342752"/>
    <w:rsid w:val="003427ED"/>
    <w:rsid w:val="00342968"/>
    <w:rsid w:val="003429E7"/>
    <w:rsid w:val="00342A79"/>
    <w:rsid w:val="00342ABD"/>
    <w:rsid w:val="00342AC8"/>
    <w:rsid w:val="00342ADD"/>
    <w:rsid w:val="00342AFB"/>
    <w:rsid w:val="00342C8A"/>
    <w:rsid w:val="00342D6E"/>
    <w:rsid w:val="00342DB3"/>
    <w:rsid w:val="00342EA4"/>
    <w:rsid w:val="00343114"/>
    <w:rsid w:val="003431B3"/>
    <w:rsid w:val="0034320E"/>
    <w:rsid w:val="0034323A"/>
    <w:rsid w:val="003433C6"/>
    <w:rsid w:val="00343424"/>
    <w:rsid w:val="00343540"/>
    <w:rsid w:val="0034360B"/>
    <w:rsid w:val="00343720"/>
    <w:rsid w:val="00343905"/>
    <w:rsid w:val="003439CD"/>
    <w:rsid w:val="00343AD1"/>
    <w:rsid w:val="00343BD3"/>
    <w:rsid w:val="00343C28"/>
    <w:rsid w:val="00343F0D"/>
    <w:rsid w:val="00343FBE"/>
    <w:rsid w:val="00344072"/>
    <w:rsid w:val="003441C6"/>
    <w:rsid w:val="00344226"/>
    <w:rsid w:val="003442CA"/>
    <w:rsid w:val="0034439E"/>
    <w:rsid w:val="00344651"/>
    <w:rsid w:val="003447A7"/>
    <w:rsid w:val="003448C9"/>
    <w:rsid w:val="003448EF"/>
    <w:rsid w:val="00344932"/>
    <w:rsid w:val="003449DB"/>
    <w:rsid w:val="00344F0D"/>
    <w:rsid w:val="00345081"/>
    <w:rsid w:val="00345107"/>
    <w:rsid w:val="003451C2"/>
    <w:rsid w:val="00345472"/>
    <w:rsid w:val="00345510"/>
    <w:rsid w:val="00345605"/>
    <w:rsid w:val="00345833"/>
    <w:rsid w:val="003458C3"/>
    <w:rsid w:val="003458D8"/>
    <w:rsid w:val="00345927"/>
    <w:rsid w:val="00345A2E"/>
    <w:rsid w:val="00345B4E"/>
    <w:rsid w:val="00345C0E"/>
    <w:rsid w:val="00345C3E"/>
    <w:rsid w:val="00345D68"/>
    <w:rsid w:val="00345F32"/>
    <w:rsid w:val="003460E6"/>
    <w:rsid w:val="003462EE"/>
    <w:rsid w:val="00346327"/>
    <w:rsid w:val="0034637A"/>
    <w:rsid w:val="003463DF"/>
    <w:rsid w:val="00346475"/>
    <w:rsid w:val="0034653C"/>
    <w:rsid w:val="0034659C"/>
    <w:rsid w:val="003467F7"/>
    <w:rsid w:val="00346892"/>
    <w:rsid w:val="003468CB"/>
    <w:rsid w:val="0034698D"/>
    <w:rsid w:val="00346998"/>
    <w:rsid w:val="00346A90"/>
    <w:rsid w:val="00346B4D"/>
    <w:rsid w:val="00346B73"/>
    <w:rsid w:val="00346C51"/>
    <w:rsid w:val="00346D71"/>
    <w:rsid w:val="00346EC4"/>
    <w:rsid w:val="00346EF4"/>
    <w:rsid w:val="00346F38"/>
    <w:rsid w:val="00346FAC"/>
    <w:rsid w:val="00347091"/>
    <w:rsid w:val="0034719C"/>
    <w:rsid w:val="003471AA"/>
    <w:rsid w:val="003471CC"/>
    <w:rsid w:val="0034720C"/>
    <w:rsid w:val="003472BE"/>
    <w:rsid w:val="003472C4"/>
    <w:rsid w:val="00347572"/>
    <w:rsid w:val="00347606"/>
    <w:rsid w:val="0034767C"/>
    <w:rsid w:val="00347756"/>
    <w:rsid w:val="0034782A"/>
    <w:rsid w:val="00347A3C"/>
    <w:rsid w:val="00347B9F"/>
    <w:rsid w:val="00347BA7"/>
    <w:rsid w:val="00347BB4"/>
    <w:rsid w:val="00347BD7"/>
    <w:rsid w:val="00347C3C"/>
    <w:rsid w:val="00347C86"/>
    <w:rsid w:val="00347CB2"/>
    <w:rsid w:val="00347D06"/>
    <w:rsid w:val="00347D84"/>
    <w:rsid w:val="00347F42"/>
    <w:rsid w:val="00347F44"/>
    <w:rsid w:val="00350111"/>
    <w:rsid w:val="00350166"/>
    <w:rsid w:val="0035048F"/>
    <w:rsid w:val="00350555"/>
    <w:rsid w:val="00350560"/>
    <w:rsid w:val="0035064A"/>
    <w:rsid w:val="00350900"/>
    <w:rsid w:val="0035095B"/>
    <w:rsid w:val="003509D4"/>
    <w:rsid w:val="003509F6"/>
    <w:rsid w:val="00350A86"/>
    <w:rsid w:val="00350BA4"/>
    <w:rsid w:val="00350CF4"/>
    <w:rsid w:val="00350CFF"/>
    <w:rsid w:val="00350DB5"/>
    <w:rsid w:val="00350E13"/>
    <w:rsid w:val="00350E28"/>
    <w:rsid w:val="00350E40"/>
    <w:rsid w:val="00350FF3"/>
    <w:rsid w:val="0035126E"/>
    <w:rsid w:val="00351403"/>
    <w:rsid w:val="00351421"/>
    <w:rsid w:val="00351485"/>
    <w:rsid w:val="003514DB"/>
    <w:rsid w:val="00351599"/>
    <w:rsid w:val="003516B6"/>
    <w:rsid w:val="0035179A"/>
    <w:rsid w:val="003518BC"/>
    <w:rsid w:val="003518CE"/>
    <w:rsid w:val="00351921"/>
    <w:rsid w:val="00351B0E"/>
    <w:rsid w:val="00351B20"/>
    <w:rsid w:val="00351B54"/>
    <w:rsid w:val="00351B67"/>
    <w:rsid w:val="00351CE8"/>
    <w:rsid w:val="00351D59"/>
    <w:rsid w:val="00351E17"/>
    <w:rsid w:val="00351EB8"/>
    <w:rsid w:val="00351F75"/>
    <w:rsid w:val="00351F97"/>
    <w:rsid w:val="003522E6"/>
    <w:rsid w:val="00352307"/>
    <w:rsid w:val="0035230F"/>
    <w:rsid w:val="003523EE"/>
    <w:rsid w:val="0035250F"/>
    <w:rsid w:val="0035265C"/>
    <w:rsid w:val="00352674"/>
    <w:rsid w:val="003527F9"/>
    <w:rsid w:val="0035287A"/>
    <w:rsid w:val="003528AC"/>
    <w:rsid w:val="003528D9"/>
    <w:rsid w:val="00352B10"/>
    <w:rsid w:val="00352C8A"/>
    <w:rsid w:val="00352EDA"/>
    <w:rsid w:val="00352F21"/>
    <w:rsid w:val="003530BC"/>
    <w:rsid w:val="00353205"/>
    <w:rsid w:val="00353206"/>
    <w:rsid w:val="003532A2"/>
    <w:rsid w:val="003532F8"/>
    <w:rsid w:val="00353426"/>
    <w:rsid w:val="0035346A"/>
    <w:rsid w:val="00353511"/>
    <w:rsid w:val="00353519"/>
    <w:rsid w:val="0035370A"/>
    <w:rsid w:val="0035380F"/>
    <w:rsid w:val="00353896"/>
    <w:rsid w:val="003539A7"/>
    <w:rsid w:val="003539DC"/>
    <w:rsid w:val="00353B35"/>
    <w:rsid w:val="00353BCC"/>
    <w:rsid w:val="00353BD6"/>
    <w:rsid w:val="00353C0D"/>
    <w:rsid w:val="00353CEE"/>
    <w:rsid w:val="00353D23"/>
    <w:rsid w:val="00353D6D"/>
    <w:rsid w:val="00353F19"/>
    <w:rsid w:val="00353F53"/>
    <w:rsid w:val="00353FCD"/>
    <w:rsid w:val="00353FFB"/>
    <w:rsid w:val="00354094"/>
    <w:rsid w:val="00354274"/>
    <w:rsid w:val="00354289"/>
    <w:rsid w:val="0035439F"/>
    <w:rsid w:val="003543DC"/>
    <w:rsid w:val="00354422"/>
    <w:rsid w:val="00354622"/>
    <w:rsid w:val="0035462F"/>
    <w:rsid w:val="0035472E"/>
    <w:rsid w:val="0035477F"/>
    <w:rsid w:val="00354936"/>
    <w:rsid w:val="00354942"/>
    <w:rsid w:val="00354971"/>
    <w:rsid w:val="00354C7B"/>
    <w:rsid w:val="00354C91"/>
    <w:rsid w:val="00354E1D"/>
    <w:rsid w:val="00354F09"/>
    <w:rsid w:val="00354F63"/>
    <w:rsid w:val="00354F8C"/>
    <w:rsid w:val="00354FA7"/>
    <w:rsid w:val="00354FB5"/>
    <w:rsid w:val="0035511E"/>
    <w:rsid w:val="00355143"/>
    <w:rsid w:val="0035535B"/>
    <w:rsid w:val="00355564"/>
    <w:rsid w:val="00355771"/>
    <w:rsid w:val="00355818"/>
    <w:rsid w:val="00355867"/>
    <w:rsid w:val="003558ED"/>
    <w:rsid w:val="0035595D"/>
    <w:rsid w:val="00355A04"/>
    <w:rsid w:val="00355A6A"/>
    <w:rsid w:val="00355B8F"/>
    <w:rsid w:val="00355CAC"/>
    <w:rsid w:val="00355D1C"/>
    <w:rsid w:val="00355D4D"/>
    <w:rsid w:val="00355D7A"/>
    <w:rsid w:val="00355DED"/>
    <w:rsid w:val="00355E9B"/>
    <w:rsid w:val="00355F5A"/>
    <w:rsid w:val="00355FB0"/>
    <w:rsid w:val="00356079"/>
    <w:rsid w:val="003561FA"/>
    <w:rsid w:val="00356316"/>
    <w:rsid w:val="0035637E"/>
    <w:rsid w:val="00356399"/>
    <w:rsid w:val="00356403"/>
    <w:rsid w:val="00356448"/>
    <w:rsid w:val="00356550"/>
    <w:rsid w:val="003565D1"/>
    <w:rsid w:val="003567B2"/>
    <w:rsid w:val="0035681D"/>
    <w:rsid w:val="00356A30"/>
    <w:rsid w:val="00356A9C"/>
    <w:rsid w:val="00356ADD"/>
    <w:rsid w:val="00356BB4"/>
    <w:rsid w:val="00356D36"/>
    <w:rsid w:val="00356D46"/>
    <w:rsid w:val="00356E7B"/>
    <w:rsid w:val="00356EAA"/>
    <w:rsid w:val="00356F02"/>
    <w:rsid w:val="00357175"/>
    <w:rsid w:val="00357568"/>
    <w:rsid w:val="003575F4"/>
    <w:rsid w:val="00357629"/>
    <w:rsid w:val="003576A7"/>
    <w:rsid w:val="003576D1"/>
    <w:rsid w:val="00357701"/>
    <w:rsid w:val="0035782F"/>
    <w:rsid w:val="00357853"/>
    <w:rsid w:val="00357AF2"/>
    <w:rsid w:val="00357C82"/>
    <w:rsid w:val="00357D46"/>
    <w:rsid w:val="00357DEB"/>
    <w:rsid w:val="00357DEC"/>
    <w:rsid w:val="00357EF3"/>
    <w:rsid w:val="00357FCB"/>
    <w:rsid w:val="00360371"/>
    <w:rsid w:val="00360630"/>
    <w:rsid w:val="00360696"/>
    <w:rsid w:val="0036085D"/>
    <w:rsid w:val="0036098D"/>
    <w:rsid w:val="003609C1"/>
    <w:rsid w:val="00360A60"/>
    <w:rsid w:val="00360AFF"/>
    <w:rsid w:val="00360C5C"/>
    <w:rsid w:val="00360DA7"/>
    <w:rsid w:val="00360E91"/>
    <w:rsid w:val="00360ECF"/>
    <w:rsid w:val="00361012"/>
    <w:rsid w:val="00361024"/>
    <w:rsid w:val="00361049"/>
    <w:rsid w:val="00361209"/>
    <w:rsid w:val="00361219"/>
    <w:rsid w:val="00361342"/>
    <w:rsid w:val="00361397"/>
    <w:rsid w:val="00361448"/>
    <w:rsid w:val="003614B9"/>
    <w:rsid w:val="00361554"/>
    <w:rsid w:val="00361583"/>
    <w:rsid w:val="00361596"/>
    <w:rsid w:val="003615CF"/>
    <w:rsid w:val="0036167A"/>
    <w:rsid w:val="003616A4"/>
    <w:rsid w:val="003616D1"/>
    <w:rsid w:val="003618B0"/>
    <w:rsid w:val="00361A22"/>
    <w:rsid w:val="00361DA2"/>
    <w:rsid w:val="00361E29"/>
    <w:rsid w:val="00361ED4"/>
    <w:rsid w:val="0036201E"/>
    <w:rsid w:val="0036208D"/>
    <w:rsid w:val="003620A2"/>
    <w:rsid w:val="003620CD"/>
    <w:rsid w:val="00362179"/>
    <w:rsid w:val="00362375"/>
    <w:rsid w:val="00362414"/>
    <w:rsid w:val="00362417"/>
    <w:rsid w:val="003624B1"/>
    <w:rsid w:val="0036263E"/>
    <w:rsid w:val="00362781"/>
    <w:rsid w:val="003627B8"/>
    <w:rsid w:val="0036280E"/>
    <w:rsid w:val="003628B1"/>
    <w:rsid w:val="003628F2"/>
    <w:rsid w:val="0036292D"/>
    <w:rsid w:val="00362974"/>
    <w:rsid w:val="003629D6"/>
    <w:rsid w:val="00362A57"/>
    <w:rsid w:val="00362B14"/>
    <w:rsid w:val="00362B9A"/>
    <w:rsid w:val="00362BF8"/>
    <w:rsid w:val="00362BF9"/>
    <w:rsid w:val="00362CA5"/>
    <w:rsid w:val="00362D69"/>
    <w:rsid w:val="00362DD7"/>
    <w:rsid w:val="00362DDA"/>
    <w:rsid w:val="00362E27"/>
    <w:rsid w:val="00362E50"/>
    <w:rsid w:val="003630DE"/>
    <w:rsid w:val="00363211"/>
    <w:rsid w:val="00363237"/>
    <w:rsid w:val="0036334C"/>
    <w:rsid w:val="00363518"/>
    <w:rsid w:val="00363531"/>
    <w:rsid w:val="00363673"/>
    <w:rsid w:val="003636E3"/>
    <w:rsid w:val="003639C3"/>
    <w:rsid w:val="00363B67"/>
    <w:rsid w:val="00363CA8"/>
    <w:rsid w:val="00363CDC"/>
    <w:rsid w:val="00363E47"/>
    <w:rsid w:val="00363EC6"/>
    <w:rsid w:val="00363F6B"/>
    <w:rsid w:val="00363F80"/>
    <w:rsid w:val="00364001"/>
    <w:rsid w:val="00364064"/>
    <w:rsid w:val="0036413C"/>
    <w:rsid w:val="0036418F"/>
    <w:rsid w:val="003641F0"/>
    <w:rsid w:val="00364527"/>
    <w:rsid w:val="00364562"/>
    <w:rsid w:val="0036478D"/>
    <w:rsid w:val="003647D8"/>
    <w:rsid w:val="0036486D"/>
    <w:rsid w:val="003648C3"/>
    <w:rsid w:val="00364A82"/>
    <w:rsid w:val="00364B26"/>
    <w:rsid w:val="00364B68"/>
    <w:rsid w:val="00364DB2"/>
    <w:rsid w:val="00364DFF"/>
    <w:rsid w:val="00364E5A"/>
    <w:rsid w:val="00364E8B"/>
    <w:rsid w:val="00364EF7"/>
    <w:rsid w:val="00364F01"/>
    <w:rsid w:val="00364FDE"/>
    <w:rsid w:val="0036527C"/>
    <w:rsid w:val="003653AE"/>
    <w:rsid w:val="00365402"/>
    <w:rsid w:val="00365481"/>
    <w:rsid w:val="00365526"/>
    <w:rsid w:val="003657D7"/>
    <w:rsid w:val="00365E11"/>
    <w:rsid w:val="00365F61"/>
    <w:rsid w:val="00366039"/>
    <w:rsid w:val="003662DD"/>
    <w:rsid w:val="003663C2"/>
    <w:rsid w:val="00366456"/>
    <w:rsid w:val="003664B0"/>
    <w:rsid w:val="00366500"/>
    <w:rsid w:val="00366511"/>
    <w:rsid w:val="00366666"/>
    <w:rsid w:val="00366734"/>
    <w:rsid w:val="00366777"/>
    <w:rsid w:val="0036679B"/>
    <w:rsid w:val="003667C0"/>
    <w:rsid w:val="00366859"/>
    <w:rsid w:val="00366869"/>
    <w:rsid w:val="00366B28"/>
    <w:rsid w:val="00366BB8"/>
    <w:rsid w:val="00366C12"/>
    <w:rsid w:val="00366D6E"/>
    <w:rsid w:val="00366DA2"/>
    <w:rsid w:val="00367028"/>
    <w:rsid w:val="00367039"/>
    <w:rsid w:val="00367158"/>
    <w:rsid w:val="0036725C"/>
    <w:rsid w:val="00367311"/>
    <w:rsid w:val="00367597"/>
    <w:rsid w:val="003675A9"/>
    <w:rsid w:val="003676BC"/>
    <w:rsid w:val="003676EC"/>
    <w:rsid w:val="00367AC9"/>
    <w:rsid w:val="00367B32"/>
    <w:rsid w:val="00367C96"/>
    <w:rsid w:val="00367CD9"/>
    <w:rsid w:val="00367F71"/>
    <w:rsid w:val="0037016F"/>
    <w:rsid w:val="003702BA"/>
    <w:rsid w:val="003704F3"/>
    <w:rsid w:val="0037066F"/>
    <w:rsid w:val="003706C7"/>
    <w:rsid w:val="0037077B"/>
    <w:rsid w:val="00370784"/>
    <w:rsid w:val="003707C0"/>
    <w:rsid w:val="0037081A"/>
    <w:rsid w:val="0037082D"/>
    <w:rsid w:val="00370906"/>
    <w:rsid w:val="00370ABE"/>
    <w:rsid w:val="00370AC8"/>
    <w:rsid w:val="00370B5C"/>
    <w:rsid w:val="00370C01"/>
    <w:rsid w:val="00370C5F"/>
    <w:rsid w:val="00370C83"/>
    <w:rsid w:val="00370CA4"/>
    <w:rsid w:val="00370D1C"/>
    <w:rsid w:val="00370DC7"/>
    <w:rsid w:val="00370F82"/>
    <w:rsid w:val="00370FDC"/>
    <w:rsid w:val="00371043"/>
    <w:rsid w:val="00371053"/>
    <w:rsid w:val="00371106"/>
    <w:rsid w:val="003711A2"/>
    <w:rsid w:val="003712BA"/>
    <w:rsid w:val="003713BA"/>
    <w:rsid w:val="00371699"/>
    <w:rsid w:val="0037172A"/>
    <w:rsid w:val="00371776"/>
    <w:rsid w:val="0037177B"/>
    <w:rsid w:val="003717C5"/>
    <w:rsid w:val="003717D8"/>
    <w:rsid w:val="003718D3"/>
    <w:rsid w:val="00371929"/>
    <w:rsid w:val="003719A8"/>
    <w:rsid w:val="00371B6B"/>
    <w:rsid w:val="00371CD0"/>
    <w:rsid w:val="00371D7E"/>
    <w:rsid w:val="00371E8A"/>
    <w:rsid w:val="00371FB7"/>
    <w:rsid w:val="003720D4"/>
    <w:rsid w:val="0037214F"/>
    <w:rsid w:val="003723A7"/>
    <w:rsid w:val="003723F2"/>
    <w:rsid w:val="003723F7"/>
    <w:rsid w:val="00372564"/>
    <w:rsid w:val="0037258A"/>
    <w:rsid w:val="00372591"/>
    <w:rsid w:val="003725F7"/>
    <w:rsid w:val="00372655"/>
    <w:rsid w:val="003727C7"/>
    <w:rsid w:val="003727F7"/>
    <w:rsid w:val="003728BC"/>
    <w:rsid w:val="0037290A"/>
    <w:rsid w:val="00372985"/>
    <w:rsid w:val="003729D1"/>
    <w:rsid w:val="00372AED"/>
    <w:rsid w:val="00372BB9"/>
    <w:rsid w:val="00373026"/>
    <w:rsid w:val="00373147"/>
    <w:rsid w:val="003733E2"/>
    <w:rsid w:val="003734D4"/>
    <w:rsid w:val="003738B6"/>
    <w:rsid w:val="00373952"/>
    <w:rsid w:val="003739B1"/>
    <w:rsid w:val="003739B2"/>
    <w:rsid w:val="00373A21"/>
    <w:rsid w:val="00373B32"/>
    <w:rsid w:val="00373BAC"/>
    <w:rsid w:val="00373C79"/>
    <w:rsid w:val="00373D39"/>
    <w:rsid w:val="00373DE4"/>
    <w:rsid w:val="00373E5C"/>
    <w:rsid w:val="00373F9A"/>
    <w:rsid w:val="0037401F"/>
    <w:rsid w:val="0037404F"/>
    <w:rsid w:val="00374116"/>
    <w:rsid w:val="0037426C"/>
    <w:rsid w:val="00374293"/>
    <w:rsid w:val="0037459B"/>
    <w:rsid w:val="003745C6"/>
    <w:rsid w:val="003745F1"/>
    <w:rsid w:val="00374686"/>
    <w:rsid w:val="0037482A"/>
    <w:rsid w:val="0037496F"/>
    <w:rsid w:val="0037499C"/>
    <w:rsid w:val="00374A0C"/>
    <w:rsid w:val="00374B6A"/>
    <w:rsid w:val="00374BF1"/>
    <w:rsid w:val="00374C18"/>
    <w:rsid w:val="00374EEB"/>
    <w:rsid w:val="00375121"/>
    <w:rsid w:val="0037521E"/>
    <w:rsid w:val="00375235"/>
    <w:rsid w:val="00375249"/>
    <w:rsid w:val="003753AC"/>
    <w:rsid w:val="003753D3"/>
    <w:rsid w:val="003754D2"/>
    <w:rsid w:val="00375670"/>
    <w:rsid w:val="00375751"/>
    <w:rsid w:val="00375966"/>
    <w:rsid w:val="003759DC"/>
    <w:rsid w:val="00375A67"/>
    <w:rsid w:val="00375B7A"/>
    <w:rsid w:val="00375B87"/>
    <w:rsid w:val="00375D89"/>
    <w:rsid w:val="00375E5E"/>
    <w:rsid w:val="00376065"/>
    <w:rsid w:val="003762C4"/>
    <w:rsid w:val="003764B6"/>
    <w:rsid w:val="00376746"/>
    <w:rsid w:val="003767F5"/>
    <w:rsid w:val="00376800"/>
    <w:rsid w:val="003768B3"/>
    <w:rsid w:val="00376928"/>
    <w:rsid w:val="00376944"/>
    <w:rsid w:val="003769F3"/>
    <w:rsid w:val="00376B3F"/>
    <w:rsid w:val="00376C4A"/>
    <w:rsid w:val="00376C6C"/>
    <w:rsid w:val="00376DBD"/>
    <w:rsid w:val="00376ED3"/>
    <w:rsid w:val="00376F7D"/>
    <w:rsid w:val="00376F81"/>
    <w:rsid w:val="00376FB5"/>
    <w:rsid w:val="0037707D"/>
    <w:rsid w:val="003770AD"/>
    <w:rsid w:val="00377116"/>
    <w:rsid w:val="0037715D"/>
    <w:rsid w:val="00377201"/>
    <w:rsid w:val="00377294"/>
    <w:rsid w:val="003773BF"/>
    <w:rsid w:val="003773FA"/>
    <w:rsid w:val="0037746E"/>
    <w:rsid w:val="003774FA"/>
    <w:rsid w:val="00377596"/>
    <w:rsid w:val="003776D7"/>
    <w:rsid w:val="00377710"/>
    <w:rsid w:val="0037785C"/>
    <w:rsid w:val="00377885"/>
    <w:rsid w:val="00377AED"/>
    <w:rsid w:val="00377B88"/>
    <w:rsid w:val="00377D1C"/>
    <w:rsid w:val="00377DC8"/>
    <w:rsid w:val="00377E63"/>
    <w:rsid w:val="00377EF2"/>
    <w:rsid w:val="00377FB5"/>
    <w:rsid w:val="00377FC3"/>
    <w:rsid w:val="0038011F"/>
    <w:rsid w:val="00380237"/>
    <w:rsid w:val="003802F9"/>
    <w:rsid w:val="00380325"/>
    <w:rsid w:val="0038037E"/>
    <w:rsid w:val="00380422"/>
    <w:rsid w:val="0038044C"/>
    <w:rsid w:val="00380496"/>
    <w:rsid w:val="003805F5"/>
    <w:rsid w:val="0038061F"/>
    <w:rsid w:val="00380782"/>
    <w:rsid w:val="0038097F"/>
    <w:rsid w:val="00380B8F"/>
    <w:rsid w:val="00380C4F"/>
    <w:rsid w:val="00380D20"/>
    <w:rsid w:val="00380E8B"/>
    <w:rsid w:val="00381090"/>
    <w:rsid w:val="003810B5"/>
    <w:rsid w:val="003811A3"/>
    <w:rsid w:val="0038125F"/>
    <w:rsid w:val="0038127F"/>
    <w:rsid w:val="003812A6"/>
    <w:rsid w:val="003812B1"/>
    <w:rsid w:val="00381511"/>
    <w:rsid w:val="00381598"/>
    <w:rsid w:val="00381631"/>
    <w:rsid w:val="00381699"/>
    <w:rsid w:val="003816B7"/>
    <w:rsid w:val="00381743"/>
    <w:rsid w:val="003817B4"/>
    <w:rsid w:val="0038195B"/>
    <w:rsid w:val="003819B7"/>
    <w:rsid w:val="00381A53"/>
    <w:rsid w:val="00381B3A"/>
    <w:rsid w:val="00381C36"/>
    <w:rsid w:val="00381ED3"/>
    <w:rsid w:val="00381F91"/>
    <w:rsid w:val="00381FBE"/>
    <w:rsid w:val="00381FDF"/>
    <w:rsid w:val="0038202E"/>
    <w:rsid w:val="003822D1"/>
    <w:rsid w:val="00382369"/>
    <w:rsid w:val="00382422"/>
    <w:rsid w:val="00382473"/>
    <w:rsid w:val="00382495"/>
    <w:rsid w:val="003824C0"/>
    <w:rsid w:val="00382591"/>
    <w:rsid w:val="003825BB"/>
    <w:rsid w:val="0038269F"/>
    <w:rsid w:val="00382700"/>
    <w:rsid w:val="00382944"/>
    <w:rsid w:val="003829D1"/>
    <w:rsid w:val="00382A2D"/>
    <w:rsid w:val="00382A39"/>
    <w:rsid w:val="00382A53"/>
    <w:rsid w:val="00382AAC"/>
    <w:rsid w:val="00382B06"/>
    <w:rsid w:val="00382B98"/>
    <w:rsid w:val="00382C92"/>
    <w:rsid w:val="00382D74"/>
    <w:rsid w:val="00382D8C"/>
    <w:rsid w:val="00382DA9"/>
    <w:rsid w:val="00382EC3"/>
    <w:rsid w:val="00382FDD"/>
    <w:rsid w:val="0038320D"/>
    <w:rsid w:val="00383310"/>
    <w:rsid w:val="00383313"/>
    <w:rsid w:val="00383392"/>
    <w:rsid w:val="00383528"/>
    <w:rsid w:val="003835AE"/>
    <w:rsid w:val="00383629"/>
    <w:rsid w:val="003836E2"/>
    <w:rsid w:val="0038376A"/>
    <w:rsid w:val="00383941"/>
    <w:rsid w:val="00383965"/>
    <w:rsid w:val="00383ACC"/>
    <w:rsid w:val="00383C82"/>
    <w:rsid w:val="00383FB6"/>
    <w:rsid w:val="00383FFA"/>
    <w:rsid w:val="0038405C"/>
    <w:rsid w:val="00384344"/>
    <w:rsid w:val="003843F1"/>
    <w:rsid w:val="0038442A"/>
    <w:rsid w:val="0038444D"/>
    <w:rsid w:val="00384484"/>
    <w:rsid w:val="00384601"/>
    <w:rsid w:val="0038468C"/>
    <w:rsid w:val="0038479F"/>
    <w:rsid w:val="003849A7"/>
    <w:rsid w:val="00384A13"/>
    <w:rsid w:val="00384AC4"/>
    <w:rsid w:val="00384D6D"/>
    <w:rsid w:val="00384EE2"/>
    <w:rsid w:val="00385105"/>
    <w:rsid w:val="0038515C"/>
    <w:rsid w:val="00385379"/>
    <w:rsid w:val="0038547C"/>
    <w:rsid w:val="003856F7"/>
    <w:rsid w:val="00385724"/>
    <w:rsid w:val="0038574C"/>
    <w:rsid w:val="00385772"/>
    <w:rsid w:val="0038577D"/>
    <w:rsid w:val="003857D8"/>
    <w:rsid w:val="00385892"/>
    <w:rsid w:val="003858D0"/>
    <w:rsid w:val="003859A4"/>
    <w:rsid w:val="00385B77"/>
    <w:rsid w:val="00385D15"/>
    <w:rsid w:val="00385E11"/>
    <w:rsid w:val="00386226"/>
    <w:rsid w:val="0038646D"/>
    <w:rsid w:val="0038647A"/>
    <w:rsid w:val="003864A4"/>
    <w:rsid w:val="003864EA"/>
    <w:rsid w:val="00386573"/>
    <w:rsid w:val="00386599"/>
    <w:rsid w:val="00386684"/>
    <w:rsid w:val="0038676F"/>
    <w:rsid w:val="0038685B"/>
    <w:rsid w:val="00386A64"/>
    <w:rsid w:val="00386BAC"/>
    <w:rsid w:val="00386E26"/>
    <w:rsid w:val="00386F0E"/>
    <w:rsid w:val="00386F74"/>
    <w:rsid w:val="0038714D"/>
    <w:rsid w:val="003871D5"/>
    <w:rsid w:val="00387254"/>
    <w:rsid w:val="003872A0"/>
    <w:rsid w:val="003872D0"/>
    <w:rsid w:val="00387331"/>
    <w:rsid w:val="003873B4"/>
    <w:rsid w:val="003874DD"/>
    <w:rsid w:val="0038755B"/>
    <w:rsid w:val="003877D4"/>
    <w:rsid w:val="00387838"/>
    <w:rsid w:val="00387873"/>
    <w:rsid w:val="0038798C"/>
    <w:rsid w:val="00387BD9"/>
    <w:rsid w:val="00387BF5"/>
    <w:rsid w:val="00387C30"/>
    <w:rsid w:val="00387D8E"/>
    <w:rsid w:val="00387DA3"/>
    <w:rsid w:val="00387E19"/>
    <w:rsid w:val="00387E95"/>
    <w:rsid w:val="00387F11"/>
    <w:rsid w:val="0039001E"/>
    <w:rsid w:val="003900A9"/>
    <w:rsid w:val="003901E9"/>
    <w:rsid w:val="003902D4"/>
    <w:rsid w:val="00390380"/>
    <w:rsid w:val="003903ED"/>
    <w:rsid w:val="00390487"/>
    <w:rsid w:val="00390639"/>
    <w:rsid w:val="003908F1"/>
    <w:rsid w:val="003908FE"/>
    <w:rsid w:val="003909E0"/>
    <w:rsid w:val="00390B7F"/>
    <w:rsid w:val="00390E2D"/>
    <w:rsid w:val="00390E98"/>
    <w:rsid w:val="00390F5D"/>
    <w:rsid w:val="00391107"/>
    <w:rsid w:val="0039117C"/>
    <w:rsid w:val="003911A6"/>
    <w:rsid w:val="00391254"/>
    <w:rsid w:val="003912C9"/>
    <w:rsid w:val="003912E3"/>
    <w:rsid w:val="00391572"/>
    <w:rsid w:val="003915EC"/>
    <w:rsid w:val="0039173D"/>
    <w:rsid w:val="0039189F"/>
    <w:rsid w:val="0039197C"/>
    <w:rsid w:val="00391BBD"/>
    <w:rsid w:val="00391CF1"/>
    <w:rsid w:val="00391E34"/>
    <w:rsid w:val="00391E3A"/>
    <w:rsid w:val="00391F17"/>
    <w:rsid w:val="0039207A"/>
    <w:rsid w:val="003920A7"/>
    <w:rsid w:val="003920EE"/>
    <w:rsid w:val="00392222"/>
    <w:rsid w:val="00392238"/>
    <w:rsid w:val="00392292"/>
    <w:rsid w:val="003922E8"/>
    <w:rsid w:val="003923A6"/>
    <w:rsid w:val="003924B3"/>
    <w:rsid w:val="0039256F"/>
    <w:rsid w:val="00392851"/>
    <w:rsid w:val="003928E4"/>
    <w:rsid w:val="003929EE"/>
    <w:rsid w:val="00392AFE"/>
    <w:rsid w:val="00392B16"/>
    <w:rsid w:val="00392C16"/>
    <w:rsid w:val="00392C67"/>
    <w:rsid w:val="00392C69"/>
    <w:rsid w:val="00392D19"/>
    <w:rsid w:val="00392E08"/>
    <w:rsid w:val="00392FFD"/>
    <w:rsid w:val="00393034"/>
    <w:rsid w:val="00393055"/>
    <w:rsid w:val="003930AD"/>
    <w:rsid w:val="003930F1"/>
    <w:rsid w:val="00393138"/>
    <w:rsid w:val="003932C6"/>
    <w:rsid w:val="003933C6"/>
    <w:rsid w:val="0039340A"/>
    <w:rsid w:val="00393450"/>
    <w:rsid w:val="0039350B"/>
    <w:rsid w:val="00393513"/>
    <w:rsid w:val="0039361A"/>
    <w:rsid w:val="00393749"/>
    <w:rsid w:val="00393791"/>
    <w:rsid w:val="00393B92"/>
    <w:rsid w:val="00393BF8"/>
    <w:rsid w:val="00393C7A"/>
    <w:rsid w:val="00393C7C"/>
    <w:rsid w:val="00393CAC"/>
    <w:rsid w:val="00393DEC"/>
    <w:rsid w:val="00393F66"/>
    <w:rsid w:val="003942D5"/>
    <w:rsid w:val="003942D9"/>
    <w:rsid w:val="00394572"/>
    <w:rsid w:val="00394667"/>
    <w:rsid w:val="00394815"/>
    <w:rsid w:val="00394A2E"/>
    <w:rsid w:val="00394A3D"/>
    <w:rsid w:val="00394F45"/>
    <w:rsid w:val="00395074"/>
    <w:rsid w:val="0039510E"/>
    <w:rsid w:val="0039513E"/>
    <w:rsid w:val="003952F5"/>
    <w:rsid w:val="00395629"/>
    <w:rsid w:val="0039569C"/>
    <w:rsid w:val="003956B9"/>
    <w:rsid w:val="003956D3"/>
    <w:rsid w:val="00395758"/>
    <w:rsid w:val="003957B8"/>
    <w:rsid w:val="00395897"/>
    <w:rsid w:val="00395928"/>
    <w:rsid w:val="00395A60"/>
    <w:rsid w:val="00395BAB"/>
    <w:rsid w:val="00395C41"/>
    <w:rsid w:val="00395F1F"/>
    <w:rsid w:val="00396224"/>
    <w:rsid w:val="0039627D"/>
    <w:rsid w:val="0039640C"/>
    <w:rsid w:val="00396451"/>
    <w:rsid w:val="00396485"/>
    <w:rsid w:val="003965A4"/>
    <w:rsid w:val="00396616"/>
    <w:rsid w:val="003966D7"/>
    <w:rsid w:val="003968ED"/>
    <w:rsid w:val="00396ABD"/>
    <w:rsid w:val="00396AF9"/>
    <w:rsid w:val="00396BBD"/>
    <w:rsid w:val="00396BFC"/>
    <w:rsid w:val="00396E4D"/>
    <w:rsid w:val="00396EBE"/>
    <w:rsid w:val="00396FC0"/>
    <w:rsid w:val="00397066"/>
    <w:rsid w:val="003970AE"/>
    <w:rsid w:val="003970F2"/>
    <w:rsid w:val="00397244"/>
    <w:rsid w:val="00397357"/>
    <w:rsid w:val="0039750A"/>
    <w:rsid w:val="00397599"/>
    <w:rsid w:val="003976BC"/>
    <w:rsid w:val="00397814"/>
    <w:rsid w:val="00397865"/>
    <w:rsid w:val="00397918"/>
    <w:rsid w:val="00397933"/>
    <w:rsid w:val="00397946"/>
    <w:rsid w:val="003979E3"/>
    <w:rsid w:val="00397B3B"/>
    <w:rsid w:val="00397B6A"/>
    <w:rsid w:val="00397B6D"/>
    <w:rsid w:val="00397BB3"/>
    <w:rsid w:val="00397EB5"/>
    <w:rsid w:val="00397F5A"/>
    <w:rsid w:val="003A029C"/>
    <w:rsid w:val="003A031E"/>
    <w:rsid w:val="003A03CD"/>
    <w:rsid w:val="003A040D"/>
    <w:rsid w:val="003A0662"/>
    <w:rsid w:val="003A0855"/>
    <w:rsid w:val="003A08D0"/>
    <w:rsid w:val="003A093D"/>
    <w:rsid w:val="003A0A1F"/>
    <w:rsid w:val="003A0B97"/>
    <w:rsid w:val="003A0E21"/>
    <w:rsid w:val="003A0E22"/>
    <w:rsid w:val="003A0F3D"/>
    <w:rsid w:val="003A0FAA"/>
    <w:rsid w:val="003A1137"/>
    <w:rsid w:val="003A1172"/>
    <w:rsid w:val="003A119B"/>
    <w:rsid w:val="003A12C4"/>
    <w:rsid w:val="003A131F"/>
    <w:rsid w:val="003A133A"/>
    <w:rsid w:val="003A1445"/>
    <w:rsid w:val="003A154C"/>
    <w:rsid w:val="003A16C1"/>
    <w:rsid w:val="003A17BD"/>
    <w:rsid w:val="003A18E5"/>
    <w:rsid w:val="003A18F1"/>
    <w:rsid w:val="003A1905"/>
    <w:rsid w:val="003A1AA8"/>
    <w:rsid w:val="003A1C9C"/>
    <w:rsid w:val="003A1CC5"/>
    <w:rsid w:val="003A1E19"/>
    <w:rsid w:val="003A200C"/>
    <w:rsid w:val="003A206B"/>
    <w:rsid w:val="003A2091"/>
    <w:rsid w:val="003A2197"/>
    <w:rsid w:val="003A229F"/>
    <w:rsid w:val="003A2442"/>
    <w:rsid w:val="003A2547"/>
    <w:rsid w:val="003A2608"/>
    <w:rsid w:val="003A26EE"/>
    <w:rsid w:val="003A27F8"/>
    <w:rsid w:val="003A29FB"/>
    <w:rsid w:val="003A2B52"/>
    <w:rsid w:val="003A2BEC"/>
    <w:rsid w:val="003A2C7F"/>
    <w:rsid w:val="003A2DFA"/>
    <w:rsid w:val="003A2DFB"/>
    <w:rsid w:val="003A2E75"/>
    <w:rsid w:val="003A2E89"/>
    <w:rsid w:val="003A2EF7"/>
    <w:rsid w:val="003A2FE3"/>
    <w:rsid w:val="003A2FFA"/>
    <w:rsid w:val="003A3054"/>
    <w:rsid w:val="003A3101"/>
    <w:rsid w:val="003A3164"/>
    <w:rsid w:val="003A3373"/>
    <w:rsid w:val="003A339D"/>
    <w:rsid w:val="003A367A"/>
    <w:rsid w:val="003A36D0"/>
    <w:rsid w:val="003A372E"/>
    <w:rsid w:val="003A377E"/>
    <w:rsid w:val="003A38E2"/>
    <w:rsid w:val="003A3A64"/>
    <w:rsid w:val="003A3BA5"/>
    <w:rsid w:val="003A3BA9"/>
    <w:rsid w:val="003A3BD2"/>
    <w:rsid w:val="003A3CBC"/>
    <w:rsid w:val="003A3E4E"/>
    <w:rsid w:val="003A3E86"/>
    <w:rsid w:val="003A3EE5"/>
    <w:rsid w:val="003A3F2C"/>
    <w:rsid w:val="003A40A5"/>
    <w:rsid w:val="003A41E5"/>
    <w:rsid w:val="003A42BD"/>
    <w:rsid w:val="003A443E"/>
    <w:rsid w:val="003A4531"/>
    <w:rsid w:val="003A459C"/>
    <w:rsid w:val="003A4641"/>
    <w:rsid w:val="003A46CF"/>
    <w:rsid w:val="003A4952"/>
    <w:rsid w:val="003A4961"/>
    <w:rsid w:val="003A4A98"/>
    <w:rsid w:val="003A4B52"/>
    <w:rsid w:val="003A4CB2"/>
    <w:rsid w:val="003A4CC9"/>
    <w:rsid w:val="003A4EB5"/>
    <w:rsid w:val="003A4F27"/>
    <w:rsid w:val="003A4F98"/>
    <w:rsid w:val="003A4FA9"/>
    <w:rsid w:val="003A5003"/>
    <w:rsid w:val="003A5059"/>
    <w:rsid w:val="003A5090"/>
    <w:rsid w:val="003A5119"/>
    <w:rsid w:val="003A5232"/>
    <w:rsid w:val="003A529C"/>
    <w:rsid w:val="003A52C9"/>
    <w:rsid w:val="003A52D0"/>
    <w:rsid w:val="003A533C"/>
    <w:rsid w:val="003A53FC"/>
    <w:rsid w:val="003A55F1"/>
    <w:rsid w:val="003A572D"/>
    <w:rsid w:val="003A5763"/>
    <w:rsid w:val="003A59F5"/>
    <w:rsid w:val="003A5A41"/>
    <w:rsid w:val="003A5B20"/>
    <w:rsid w:val="003A5CDF"/>
    <w:rsid w:val="003A5DBB"/>
    <w:rsid w:val="003A5ED2"/>
    <w:rsid w:val="003A5FB6"/>
    <w:rsid w:val="003A604F"/>
    <w:rsid w:val="003A6132"/>
    <w:rsid w:val="003A617A"/>
    <w:rsid w:val="003A627D"/>
    <w:rsid w:val="003A62C7"/>
    <w:rsid w:val="003A62E3"/>
    <w:rsid w:val="003A64D0"/>
    <w:rsid w:val="003A6629"/>
    <w:rsid w:val="003A662F"/>
    <w:rsid w:val="003A673A"/>
    <w:rsid w:val="003A6805"/>
    <w:rsid w:val="003A686E"/>
    <w:rsid w:val="003A69F5"/>
    <w:rsid w:val="003A6B9A"/>
    <w:rsid w:val="003A6E0B"/>
    <w:rsid w:val="003A6E3C"/>
    <w:rsid w:val="003A6F1C"/>
    <w:rsid w:val="003A6F43"/>
    <w:rsid w:val="003A6F4C"/>
    <w:rsid w:val="003A7147"/>
    <w:rsid w:val="003A7196"/>
    <w:rsid w:val="003A7239"/>
    <w:rsid w:val="003A74D0"/>
    <w:rsid w:val="003A7559"/>
    <w:rsid w:val="003A7668"/>
    <w:rsid w:val="003A76F0"/>
    <w:rsid w:val="003A7751"/>
    <w:rsid w:val="003A7A34"/>
    <w:rsid w:val="003A7B04"/>
    <w:rsid w:val="003A7B81"/>
    <w:rsid w:val="003A7C39"/>
    <w:rsid w:val="003A7DF5"/>
    <w:rsid w:val="003A7F31"/>
    <w:rsid w:val="003A7FF2"/>
    <w:rsid w:val="003B0012"/>
    <w:rsid w:val="003B01F5"/>
    <w:rsid w:val="003B025F"/>
    <w:rsid w:val="003B0268"/>
    <w:rsid w:val="003B0415"/>
    <w:rsid w:val="003B04A2"/>
    <w:rsid w:val="003B0525"/>
    <w:rsid w:val="003B06CC"/>
    <w:rsid w:val="003B072B"/>
    <w:rsid w:val="003B0827"/>
    <w:rsid w:val="003B0876"/>
    <w:rsid w:val="003B09DD"/>
    <w:rsid w:val="003B0AC5"/>
    <w:rsid w:val="003B0ACD"/>
    <w:rsid w:val="003B0AEF"/>
    <w:rsid w:val="003B0B27"/>
    <w:rsid w:val="003B0B3E"/>
    <w:rsid w:val="003B0BDC"/>
    <w:rsid w:val="003B0D11"/>
    <w:rsid w:val="003B0D16"/>
    <w:rsid w:val="003B1062"/>
    <w:rsid w:val="003B10D8"/>
    <w:rsid w:val="003B1188"/>
    <w:rsid w:val="003B1266"/>
    <w:rsid w:val="003B1302"/>
    <w:rsid w:val="003B15F5"/>
    <w:rsid w:val="003B1686"/>
    <w:rsid w:val="003B1698"/>
    <w:rsid w:val="003B1791"/>
    <w:rsid w:val="003B17EE"/>
    <w:rsid w:val="003B1848"/>
    <w:rsid w:val="003B185D"/>
    <w:rsid w:val="003B18A4"/>
    <w:rsid w:val="003B18BC"/>
    <w:rsid w:val="003B195B"/>
    <w:rsid w:val="003B19A5"/>
    <w:rsid w:val="003B19BA"/>
    <w:rsid w:val="003B19FC"/>
    <w:rsid w:val="003B1B63"/>
    <w:rsid w:val="003B1B65"/>
    <w:rsid w:val="003B1BD2"/>
    <w:rsid w:val="003B1C5B"/>
    <w:rsid w:val="003B1D95"/>
    <w:rsid w:val="003B1DCE"/>
    <w:rsid w:val="003B1E45"/>
    <w:rsid w:val="003B1EF0"/>
    <w:rsid w:val="003B1F90"/>
    <w:rsid w:val="003B1FD4"/>
    <w:rsid w:val="003B20CD"/>
    <w:rsid w:val="003B219A"/>
    <w:rsid w:val="003B22AD"/>
    <w:rsid w:val="003B231E"/>
    <w:rsid w:val="003B243F"/>
    <w:rsid w:val="003B24B8"/>
    <w:rsid w:val="003B25A5"/>
    <w:rsid w:val="003B25C5"/>
    <w:rsid w:val="003B2663"/>
    <w:rsid w:val="003B26B7"/>
    <w:rsid w:val="003B271F"/>
    <w:rsid w:val="003B27DA"/>
    <w:rsid w:val="003B28A3"/>
    <w:rsid w:val="003B28ED"/>
    <w:rsid w:val="003B2969"/>
    <w:rsid w:val="003B29D7"/>
    <w:rsid w:val="003B2A82"/>
    <w:rsid w:val="003B2B03"/>
    <w:rsid w:val="003B2D03"/>
    <w:rsid w:val="003B2D5C"/>
    <w:rsid w:val="003B2F42"/>
    <w:rsid w:val="003B2F76"/>
    <w:rsid w:val="003B3048"/>
    <w:rsid w:val="003B310A"/>
    <w:rsid w:val="003B3168"/>
    <w:rsid w:val="003B3193"/>
    <w:rsid w:val="003B31E2"/>
    <w:rsid w:val="003B32A0"/>
    <w:rsid w:val="003B3494"/>
    <w:rsid w:val="003B36A0"/>
    <w:rsid w:val="003B36BD"/>
    <w:rsid w:val="003B36D0"/>
    <w:rsid w:val="003B38EF"/>
    <w:rsid w:val="003B39CA"/>
    <w:rsid w:val="003B39E3"/>
    <w:rsid w:val="003B3BC7"/>
    <w:rsid w:val="003B3D3A"/>
    <w:rsid w:val="003B3DDF"/>
    <w:rsid w:val="003B444F"/>
    <w:rsid w:val="003B44B5"/>
    <w:rsid w:val="003B44F1"/>
    <w:rsid w:val="003B45F6"/>
    <w:rsid w:val="003B4828"/>
    <w:rsid w:val="003B4905"/>
    <w:rsid w:val="003B49A7"/>
    <w:rsid w:val="003B4A50"/>
    <w:rsid w:val="003B4AB5"/>
    <w:rsid w:val="003B4AC5"/>
    <w:rsid w:val="003B4B06"/>
    <w:rsid w:val="003B4C8A"/>
    <w:rsid w:val="003B4CE7"/>
    <w:rsid w:val="003B4D63"/>
    <w:rsid w:val="003B4DDE"/>
    <w:rsid w:val="003B4DFA"/>
    <w:rsid w:val="003B4E13"/>
    <w:rsid w:val="003B4F44"/>
    <w:rsid w:val="003B4F5E"/>
    <w:rsid w:val="003B4FFF"/>
    <w:rsid w:val="003B5024"/>
    <w:rsid w:val="003B50A1"/>
    <w:rsid w:val="003B50B9"/>
    <w:rsid w:val="003B50F7"/>
    <w:rsid w:val="003B5132"/>
    <w:rsid w:val="003B5172"/>
    <w:rsid w:val="003B51BF"/>
    <w:rsid w:val="003B5221"/>
    <w:rsid w:val="003B525E"/>
    <w:rsid w:val="003B53D1"/>
    <w:rsid w:val="003B5512"/>
    <w:rsid w:val="003B55BE"/>
    <w:rsid w:val="003B575E"/>
    <w:rsid w:val="003B5874"/>
    <w:rsid w:val="003B58E8"/>
    <w:rsid w:val="003B5A37"/>
    <w:rsid w:val="003B5B42"/>
    <w:rsid w:val="003B5D9E"/>
    <w:rsid w:val="003B5E71"/>
    <w:rsid w:val="003B5E7E"/>
    <w:rsid w:val="003B60CB"/>
    <w:rsid w:val="003B644A"/>
    <w:rsid w:val="003B66D8"/>
    <w:rsid w:val="003B66F1"/>
    <w:rsid w:val="003B6726"/>
    <w:rsid w:val="003B6800"/>
    <w:rsid w:val="003B6914"/>
    <w:rsid w:val="003B69CD"/>
    <w:rsid w:val="003B6ADC"/>
    <w:rsid w:val="003B6B2D"/>
    <w:rsid w:val="003B6DBE"/>
    <w:rsid w:val="003B6EA0"/>
    <w:rsid w:val="003B7124"/>
    <w:rsid w:val="003B7142"/>
    <w:rsid w:val="003B716E"/>
    <w:rsid w:val="003B7270"/>
    <w:rsid w:val="003B7298"/>
    <w:rsid w:val="003B72A8"/>
    <w:rsid w:val="003B72E6"/>
    <w:rsid w:val="003B735D"/>
    <w:rsid w:val="003B748A"/>
    <w:rsid w:val="003B7494"/>
    <w:rsid w:val="003B75BE"/>
    <w:rsid w:val="003B776C"/>
    <w:rsid w:val="003B777C"/>
    <w:rsid w:val="003B77F7"/>
    <w:rsid w:val="003B78DE"/>
    <w:rsid w:val="003B78EF"/>
    <w:rsid w:val="003B790D"/>
    <w:rsid w:val="003B7964"/>
    <w:rsid w:val="003B7A43"/>
    <w:rsid w:val="003B7B70"/>
    <w:rsid w:val="003B7D01"/>
    <w:rsid w:val="003B7D53"/>
    <w:rsid w:val="003B7E7C"/>
    <w:rsid w:val="003B7F9C"/>
    <w:rsid w:val="003C0009"/>
    <w:rsid w:val="003C01D8"/>
    <w:rsid w:val="003C01DF"/>
    <w:rsid w:val="003C02EB"/>
    <w:rsid w:val="003C0497"/>
    <w:rsid w:val="003C06FA"/>
    <w:rsid w:val="003C087B"/>
    <w:rsid w:val="003C0916"/>
    <w:rsid w:val="003C0B7F"/>
    <w:rsid w:val="003C0C05"/>
    <w:rsid w:val="003C0F57"/>
    <w:rsid w:val="003C10B9"/>
    <w:rsid w:val="003C10CE"/>
    <w:rsid w:val="003C10E5"/>
    <w:rsid w:val="003C10E9"/>
    <w:rsid w:val="003C1245"/>
    <w:rsid w:val="003C1623"/>
    <w:rsid w:val="003C1679"/>
    <w:rsid w:val="003C1A8E"/>
    <w:rsid w:val="003C1AE4"/>
    <w:rsid w:val="003C1BFB"/>
    <w:rsid w:val="003C1D38"/>
    <w:rsid w:val="003C1D4B"/>
    <w:rsid w:val="003C1D54"/>
    <w:rsid w:val="003C1D9B"/>
    <w:rsid w:val="003C1EEF"/>
    <w:rsid w:val="003C1EF0"/>
    <w:rsid w:val="003C1FC2"/>
    <w:rsid w:val="003C2066"/>
    <w:rsid w:val="003C20E6"/>
    <w:rsid w:val="003C2106"/>
    <w:rsid w:val="003C218B"/>
    <w:rsid w:val="003C2193"/>
    <w:rsid w:val="003C2325"/>
    <w:rsid w:val="003C23A4"/>
    <w:rsid w:val="003C25F6"/>
    <w:rsid w:val="003C2600"/>
    <w:rsid w:val="003C2670"/>
    <w:rsid w:val="003C28CD"/>
    <w:rsid w:val="003C2939"/>
    <w:rsid w:val="003C29FC"/>
    <w:rsid w:val="003C2AFC"/>
    <w:rsid w:val="003C2CA0"/>
    <w:rsid w:val="003C2D05"/>
    <w:rsid w:val="003C2DB8"/>
    <w:rsid w:val="003C2F6D"/>
    <w:rsid w:val="003C3167"/>
    <w:rsid w:val="003C3282"/>
    <w:rsid w:val="003C3294"/>
    <w:rsid w:val="003C3347"/>
    <w:rsid w:val="003C3394"/>
    <w:rsid w:val="003C3461"/>
    <w:rsid w:val="003C365B"/>
    <w:rsid w:val="003C380E"/>
    <w:rsid w:val="003C3A8B"/>
    <w:rsid w:val="003C3AE3"/>
    <w:rsid w:val="003C3B79"/>
    <w:rsid w:val="003C3B7A"/>
    <w:rsid w:val="003C3C45"/>
    <w:rsid w:val="003C3C47"/>
    <w:rsid w:val="003C3F5B"/>
    <w:rsid w:val="003C41F6"/>
    <w:rsid w:val="003C442C"/>
    <w:rsid w:val="003C4438"/>
    <w:rsid w:val="003C456D"/>
    <w:rsid w:val="003C45DC"/>
    <w:rsid w:val="003C46ED"/>
    <w:rsid w:val="003C4735"/>
    <w:rsid w:val="003C4786"/>
    <w:rsid w:val="003C491A"/>
    <w:rsid w:val="003C4974"/>
    <w:rsid w:val="003C4AD6"/>
    <w:rsid w:val="003C4B54"/>
    <w:rsid w:val="003C4C21"/>
    <w:rsid w:val="003C4C4F"/>
    <w:rsid w:val="003C4CEC"/>
    <w:rsid w:val="003C4D2F"/>
    <w:rsid w:val="003C4D99"/>
    <w:rsid w:val="003C4ED9"/>
    <w:rsid w:val="003C4F77"/>
    <w:rsid w:val="003C4F9F"/>
    <w:rsid w:val="003C5225"/>
    <w:rsid w:val="003C52CD"/>
    <w:rsid w:val="003C52FD"/>
    <w:rsid w:val="003C5312"/>
    <w:rsid w:val="003C534C"/>
    <w:rsid w:val="003C53A8"/>
    <w:rsid w:val="003C54E9"/>
    <w:rsid w:val="003C553B"/>
    <w:rsid w:val="003C57DA"/>
    <w:rsid w:val="003C582E"/>
    <w:rsid w:val="003C5ACD"/>
    <w:rsid w:val="003C5C34"/>
    <w:rsid w:val="003C5C3A"/>
    <w:rsid w:val="003C5C52"/>
    <w:rsid w:val="003C5DC3"/>
    <w:rsid w:val="003C60EF"/>
    <w:rsid w:val="003C619C"/>
    <w:rsid w:val="003C6394"/>
    <w:rsid w:val="003C66A4"/>
    <w:rsid w:val="003C6889"/>
    <w:rsid w:val="003C68A3"/>
    <w:rsid w:val="003C68AB"/>
    <w:rsid w:val="003C68E1"/>
    <w:rsid w:val="003C6A64"/>
    <w:rsid w:val="003C6B4E"/>
    <w:rsid w:val="003C6BC3"/>
    <w:rsid w:val="003C6C5A"/>
    <w:rsid w:val="003C6C61"/>
    <w:rsid w:val="003C6D14"/>
    <w:rsid w:val="003C6D3D"/>
    <w:rsid w:val="003C6DB7"/>
    <w:rsid w:val="003C6F11"/>
    <w:rsid w:val="003C7057"/>
    <w:rsid w:val="003C709C"/>
    <w:rsid w:val="003C723F"/>
    <w:rsid w:val="003C7243"/>
    <w:rsid w:val="003C725C"/>
    <w:rsid w:val="003C72B1"/>
    <w:rsid w:val="003C72D2"/>
    <w:rsid w:val="003C7319"/>
    <w:rsid w:val="003C7348"/>
    <w:rsid w:val="003C7428"/>
    <w:rsid w:val="003C7445"/>
    <w:rsid w:val="003C74EE"/>
    <w:rsid w:val="003C7532"/>
    <w:rsid w:val="003C75C1"/>
    <w:rsid w:val="003C761A"/>
    <w:rsid w:val="003C764E"/>
    <w:rsid w:val="003C78BA"/>
    <w:rsid w:val="003C79E1"/>
    <w:rsid w:val="003C7A7D"/>
    <w:rsid w:val="003C7E72"/>
    <w:rsid w:val="003D004D"/>
    <w:rsid w:val="003D019D"/>
    <w:rsid w:val="003D04CC"/>
    <w:rsid w:val="003D0501"/>
    <w:rsid w:val="003D0678"/>
    <w:rsid w:val="003D0925"/>
    <w:rsid w:val="003D094B"/>
    <w:rsid w:val="003D09EF"/>
    <w:rsid w:val="003D0A5F"/>
    <w:rsid w:val="003D0AE7"/>
    <w:rsid w:val="003D0B1C"/>
    <w:rsid w:val="003D0B5A"/>
    <w:rsid w:val="003D0B5C"/>
    <w:rsid w:val="003D0C80"/>
    <w:rsid w:val="003D0F0B"/>
    <w:rsid w:val="003D0F4B"/>
    <w:rsid w:val="003D0FF9"/>
    <w:rsid w:val="003D1090"/>
    <w:rsid w:val="003D10AA"/>
    <w:rsid w:val="003D11E3"/>
    <w:rsid w:val="003D122D"/>
    <w:rsid w:val="003D1256"/>
    <w:rsid w:val="003D125E"/>
    <w:rsid w:val="003D138E"/>
    <w:rsid w:val="003D1414"/>
    <w:rsid w:val="003D1635"/>
    <w:rsid w:val="003D16C0"/>
    <w:rsid w:val="003D1777"/>
    <w:rsid w:val="003D1778"/>
    <w:rsid w:val="003D17D7"/>
    <w:rsid w:val="003D1804"/>
    <w:rsid w:val="003D1A5A"/>
    <w:rsid w:val="003D1B5B"/>
    <w:rsid w:val="003D1C2D"/>
    <w:rsid w:val="003D1C3E"/>
    <w:rsid w:val="003D1F18"/>
    <w:rsid w:val="003D206C"/>
    <w:rsid w:val="003D21E4"/>
    <w:rsid w:val="003D2224"/>
    <w:rsid w:val="003D22E2"/>
    <w:rsid w:val="003D22F8"/>
    <w:rsid w:val="003D2453"/>
    <w:rsid w:val="003D2583"/>
    <w:rsid w:val="003D2755"/>
    <w:rsid w:val="003D2931"/>
    <w:rsid w:val="003D2A0D"/>
    <w:rsid w:val="003D2B10"/>
    <w:rsid w:val="003D2B90"/>
    <w:rsid w:val="003D2B91"/>
    <w:rsid w:val="003D2C2C"/>
    <w:rsid w:val="003D2CF1"/>
    <w:rsid w:val="003D2D0B"/>
    <w:rsid w:val="003D2D50"/>
    <w:rsid w:val="003D2D79"/>
    <w:rsid w:val="003D2DCD"/>
    <w:rsid w:val="003D2EC7"/>
    <w:rsid w:val="003D300F"/>
    <w:rsid w:val="003D3046"/>
    <w:rsid w:val="003D3060"/>
    <w:rsid w:val="003D31BF"/>
    <w:rsid w:val="003D31CF"/>
    <w:rsid w:val="003D32D6"/>
    <w:rsid w:val="003D34D3"/>
    <w:rsid w:val="003D377A"/>
    <w:rsid w:val="003D389A"/>
    <w:rsid w:val="003D38EC"/>
    <w:rsid w:val="003D39E4"/>
    <w:rsid w:val="003D3A3A"/>
    <w:rsid w:val="003D3A45"/>
    <w:rsid w:val="003D3CA0"/>
    <w:rsid w:val="003D40C0"/>
    <w:rsid w:val="003D411F"/>
    <w:rsid w:val="003D4199"/>
    <w:rsid w:val="003D41C8"/>
    <w:rsid w:val="003D41EA"/>
    <w:rsid w:val="003D42CE"/>
    <w:rsid w:val="003D4332"/>
    <w:rsid w:val="003D4394"/>
    <w:rsid w:val="003D44CE"/>
    <w:rsid w:val="003D481F"/>
    <w:rsid w:val="003D4908"/>
    <w:rsid w:val="003D4C90"/>
    <w:rsid w:val="003D4D66"/>
    <w:rsid w:val="003D4F58"/>
    <w:rsid w:val="003D50ED"/>
    <w:rsid w:val="003D516E"/>
    <w:rsid w:val="003D53DD"/>
    <w:rsid w:val="003D56F7"/>
    <w:rsid w:val="003D5C2E"/>
    <w:rsid w:val="003D5CA8"/>
    <w:rsid w:val="003D5E61"/>
    <w:rsid w:val="003D5F29"/>
    <w:rsid w:val="003D5F39"/>
    <w:rsid w:val="003D5F6E"/>
    <w:rsid w:val="003D5F94"/>
    <w:rsid w:val="003D5FB0"/>
    <w:rsid w:val="003D608C"/>
    <w:rsid w:val="003D60B7"/>
    <w:rsid w:val="003D6196"/>
    <w:rsid w:val="003D62AE"/>
    <w:rsid w:val="003D641D"/>
    <w:rsid w:val="003D6504"/>
    <w:rsid w:val="003D6521"/>
    <w:rsid w:val="003D6593"/>
    <w:rsid w:val="003D6613"/>
    <w:rsid w:val="003D667B"/>
    <w:rsid w:val="003D66CE"/>
    <w:rsid w:val="003D6782"/>
    <w:rsid w:val="003D69A2"/>
    <w:rsid w:val="003D6AC4"/>
    <w:rsid w:val="003D6ADA"/>
    <w:rsid w:val="003D6FE8"/>
    <w:rsid w:val="003D736E"/>
    <w:rsid w:val="003D74F6"/>
    <w:rsid w:val="003D752A"/>
    <w:rsid w:val="003D77CC"/>
    <w:rsid w:val="003D77E2"/>
    <w:rsid w:val="003D78EB"/>
    <w:rsid w:val="003D7994"/>
    <w:rsid w:val="003D79FD"/>
    <w:rsid w:val="003D7C0D"/>
    <w:rsid w:val="003D7CBE"/>
    <w:rsid w:val="003D7D1D"/>
    <w:rsid w:val="003D7D4C"/>
    <w:rsid w:val="003D7DF2"/>
    <w:rsid w:val="003D7E70"/>
    <w:rsid w:val="003D7F3E"/>
    <w:rsid w:val="003D7F6F"/>
    <w:rsid w:val="003D7FE7"/>
    <w:rsid w:val="003E0067"/>
    <w:rsid w:val="003E0132"/>
    <w:rsid w:val="003E0181"/>
    <w:rsid w:val="003E0206"/>
    <w:rsid w:val="003E022D"/>
    <w:rsid w:val="003E035E"/>
    <w:rsid w:val="003E037D"/>
    <w:rsid w:val="003E0416"/>
    <w:rsid w:val="003E0471"/>
    <w:rsid w:val="003E05A6"/>
    <w:rsid w:val="003E05A8"/>
    <w:rsid w:val="003E07BC"/>
    <w:rsid w:val="003E0882"/>
    <w:rsid w:val="003E0B6B"/>
    <w:rsid w:val="003E0C13"/>
    <w:rsid w:val="003E0C2E"/>
    <w:rsid w:val="003E0C3F"/>
    <w:rsid w:val="003E0C6A"/>
    <w:rsid w:val="003E0CBE"/>
    <w:rsid w:val="003E0DBE"/>
    <w:rsid w:val="003E0DFD"/>
    <w:rsid w:val="003E0E6D"/>
    <w:rsid w:val="003E0E80"/>
    <w:rsid w:val="003E12F2"/>
    <w:rsid w:val="003E13EB"/>
    <w:rsid w:val="003E1476"/>
    <w:rsid w:val="003E14F3"/>
    <w:rsid w:val="003E157E"/>
    <w:rsid w:val="003E16D1"/>
    <w:rsid w:val="003E16E3"/>
    <w:rsid w:val="003E1847"/>
    <w:rsid w:val="003E18A7"/>
    <w:rsid w:val="003E194A"/>
    <w:rsid w:val="003E1B2F"/>
    <w:rsid w:val="003E1B30"/>
    <w:rsid w:val="003E1BB9"/>
    <w:rsid w:val="003E1C1A"/>
    <w:rsid w:val="003E1C72"/>
    <w:rsid w:val="003E1D36"/>
    <w:rsid w:val="003E1DEF"/>
    <w:rsid w:val="003E1EE9"/>
    <w:rsid w:val="003E1F65"/>
    <w:rsid w:val="003E200C"/>
    <w:rsid w:val="003E2040"/>
    <w:rsid w:val="003E222D"/>
    <w:rsid w:val="003E237F"/>
    <w:rsid w:val="003E23FC"/>
    <w:rsid w:val="003E253C"/>
    <w:rsid w:val="003E2996"/>
    <w:rsid w:val="003E2A3A"/>
    <w:rsid w:val="003E2E49"/>
    <w:rsid w:val="003E2E85"/>
    <w:rsid w:val="003E2E8A"/>
    <w:rsid w:val="003E2EEE"/>
    <w:rsid w:val="003E2FB0"/>
    <w:rsid w:val="003E2FC2"/>
    <w:rsid w:val="003E3018"/>
    <w:rsid w:val="003E3089"/>
    <w:rsid w:val="003E30CA"/>
    <w:rsid w:val="003E3201"/>
    <w:rsid w:val="003E3232"/>
    <w:rsid w:val="003E324E"/>
    <w:rsid w:val="003E34D6"/>
    <w:rsid w:val="003E35C8"/>
    <w:rsid w:val="003E371D"/>
    <w:rsid w:val="003E37CB"/>
    <w:rsid w:val="003E380B"/>
    <w:rsid w:val="003E381A"/>
    <w:rsid w:val="003E3849"/>
    <w:rsid w:val="003E3881"/>
    <w:rsid w:val="003E38CB"/>
    <w:rsid w:val="003E397A"/>
    <w:rsid w:val="003E3A35"/>
    <w:rsid w:val="003E3B12"/>
    <w:rsid w:val="003E3FB5"/>
    <w:rsid w:val="003E40E3"/>
    <w:rsid w:val="003E4132"/>
    <w:rsid w:val="003E4137"/>
    <w:rsid w:val="003E41EB"/>
    <w:rsid w:val="003E433B"/>
    <w:rsid w:val="003E43C2"/>
    <w:rsid w:val="003E43C3"/>
    <w:rsid w:val="003E4422"/>
    <w:rsid w:val="003E4428"/>
    <w:rsid w:val="003E4483"/>
    <w:rsid w:val="003E44F8"/>
    <w:rsid w:val="003E4596"/>
    <w:rsid w:val="003E46D4"/>
    <w:rsid w:val="003E474D"/>
    <w:rsid w:val="003E49C8"/>
    <w:rsid w:val="003E4A40"/>
    <w:rsid w:val="003E4C39"/>
    <w:rsid w:val="003E4FC1"/>
    <w:rsid w:val="003E503B"/>
    <w:rsid w:val="003E5145"/>
    <w:rsid w:val="003E53EC"/>
    <w:rsid w:val="003E5422"/>
    <w:rsid w:val="003E542B"/>
    <w:rsid w:val="003E5598"/>
    <w:rsid w:val="003E5620"/>
    <w:rsid w:val="003E56ED"/>
    <w:rsid w:val="003E574A"/>
    <w:rsid w:val="003E58C1"/>
    <w:rsid w:val="003E5933"/>
    <w:rsid w:val="003E5959"/>
    <w:rsid w:val="003E59EC"/>
    <w:rsid w:val="003E59F4"/>
    <w:rsid w:val="003E5A44"/>
    <w:rsid w:val="003E5A58"/>
    <w:rsid w:val="003E5B1B"/>
    <w:rsid w:val="003E5D1D"/>
    <w:rsid w:val="003E5D41"/>
    <w:rsid w:val="003E5D4D"/>
    <w:rsid w:val="003E5EBA"/>
    <w:rsid w:val="003E5FD0"/>
    <w:rsid w:val="003E6048"/>
    <w:rsid w:val="003E6083"/>
    <w:rsid w:val="003E60EE"/>
    <w:rsid w:val="003E618A"/>
    <w:rsid w:val="003E6464"/>
    <w:rsid w:val="003E6515"/>
    <w:rsid w:val="003E6539"/>
    <w:rsid w:val="003E6969"/>
    <w:rsid w:val="003E6A9C"/>
    <w:rsid w:val="003E6C57"/>
    <w:rsid w:val="003E6E1A"/>
    <w:rsid w:val="003E6E4A"/>
    <w:rsid w:val="003E6F4F"/>
    <w:rsid w:val="003E702C"/>
    <w:rsid w:val="003E7083"/>
    <w:rsid w:val="003E728B"/>
    <w:rsid w:val="003E73CF"/>
    <w:rsid w:val="003E73D7"/>
    <w:rsid w:val="003E741C"/>
    <w:rsid w:val="003E7571"/>
    <w:rsid w:val="003E758D"/>
    <w:rsid w:val="003E75CB"/>
    <w:rsid w:val="003E75DC"/>
    <w:rsid w:val="003E7899"/>
    <w:rsid w:val="003E794B"/>
    <w:rsid w:val="003E7A41"/>
    <w:rsid w:val="003E7B25"/>
    <w:rsid w:val="003E7C3F"/>
    <w:rsid w:val="003E7D65"/>
    <w:rsid w:val="003E7F3D"/>
    <w:rsid w:val="003F000A"/>
    <w:rsid w:val="003F00A2"/>
    <w:rsid w:val="003F0126"/>
    <w:rsid w:val="003F02F2"/>
    <w:rsid w:val="003F04CF"/>
    <w:rsid w:val="003F0882"/>
    <w:rsid w:val="003F0913"/>
    <w:rsid w:val="003F0926"/>
    <w:rsid w:val="003F094F"/>
    <w:rsid w:val="003F0A17"/>
    <w:rsid w:val="003F0BC8"/>
    <w:rsid w:val="003F0C44"/>
    <w:rsid w:val="003F0CD0"/>
    <w:rsid w:val="003F0E0B"/>
    <w:rsid w:val="003F0FC0"/>
    <w:rsid w:val="003F10E3"/>
    <w:rsid w:val="003F12DA"/>
    <w:rsid w:val="003F12F7"/>
    <w:rsid w:val="003F1305"/>
    <w:rsid w:val="003F139B"/>
    <w:rsid w:val="003F13BB"/>
    <w:rsid w:val="003F15D4"/>
    <w:rsid w:val="003F160C"/>
    <w:rsid w:val="003F1698"/>
    <w:rsid w:val="003F17E6"/>
    <w:rsid w:val="003F1885"/>
    <w:rsid w:val="003F18A9"/>
    <w:rsid w:val="003F18D7"/>
    <w:rsid w:val="003F1AF7"/>
    <w:rsid w:val="003F1D17"/>
    <w:rsid w:val="003F1D75"/>
    <w:rsid w:val="003F1D9F"/>
    <w:rsid w:val="003F1E5B"/>
    <w:rsid w:val="003F1E71"/>
    <w:rsid w:val="003F1EA9"/>
    <w:rsid w:val="003F1F27"/>
    <w:rsid w:val="003F1F2E"/>
    <w:rsid w:val="003F1F63"/>
    <w:rsid w:val="003F2073"/>
    <w:rsid w:val="003F2108"/>
    <w:rsid w:val="003F22C4"/>
    <w:rsid w:val="003F2326"/>
    <w:rsid w:val="003F2412"/>
    <w:rsid w:val="003F2546"/>
    <w:rsid w:val="003F254E"/>
    <w:rsid w:val="003F264C"/>
    <w:rsid w:val="003F27D4"/>
    <w:rsid w:val="003F28FF"/>
    <w:rsid w:val="003F29DE"/>
    <w:rsid w:val="003F29F6"/>
    <w:rsid w:val="003F2B02"/>
    <w:rsid w:val="003F2BAA"/>
    <w:rsid w:val="003F2CC7"/>
    <w:rsid w:val="003F2FCD"/>
    <w:rsid w:val="003F31F6"/>
    <w:rsid w:val="003F323E"/>
    <w:rsid w:val="003F33AA"/>
    <w:rsid w:val="003F349D"/>
    <w:rsid w:val="003F353B"/>
    <w:rsid w:val="003F36C4"/>
    <w:rsid w:val="003F3722"/>
    <w:rsid w:val="003F38EB"/>
    <w:rsid w:val="003F394A"/>
    <w:rsid w:val="003F3A95"/>
    <w:rsid w:val="003F3AC9"/>
    <w:rsid w:val="003F3B90"/>
    <w:rsid w:val="003F3BBA"/>
    <w:rsid w:val="003F3C29"/>
    <w:rsid w:val="003F3C3F"/>
    <w:rsid w:val="003F3D5B"/>
    <w:rsid w:val="003F3D64"/>
    <w:rsid w:val="003F3DCD"/>
    <w:rsid w:val="003F3E1F"/>
    <w:rsid w:val="003F3E9D"/>
    <w:rsid w:val="003F4005"/>
    <w:rsid w:val="003F405F"/>
    <w:rsid w:val="003F421B"/>
    <w:rsid w:val="003F427D"/>
    <w:rsid w:val="003F4432"/>
    <w:rsid w:val="003F46D2"/>
    <w:rsid w:val="003F4758"/>
    <w:rsid w:val="003F47BE"/>
    <w:rsid w:val="003F47CE"/>
    <w:rsid w:val="003F4874"/>
    <w:rsid w:val="003F49C2"/>
    <w:rsid w:val="003F4B2D"/>
    <w:rsid w:val="003F4BDC"/>
    <w:rsid w:val="003F4C4F"/>
    <w:rsid w:val="003F4D8D"/>
    <w:rsid w:val="003F4DB8"/>
    <w:rsid w:val="003F4FE7"/>
    <w:rsid w:val="003F5265"/>
    <w:rsid w:val="003F5286"/>
    <w:rsid w:val="003F52DD"/>
    <w:rsid w:val="003F5320"/>
    <w:rsid w:val="003F5372"/>
    <w:rsid w:val="003F5655"/>
    <w:rsid w:val="003F56A7"/>
    <w:rsid w:val="003F5995"/>
    <w:rsid w:val="003F59D0"/>
    <w:rsid w:val="003F59E0"/>
    <w:rsid w:val="003F5A3C"/>
    <w:rsid w:val="003F5B2D"/>
    <w:rsid w:val="003F5BEE"/>
    <w:rsid w:val="003F5C5B"/>
    <w:rsid w:val="003F5CE9"/>
    <w:rsid w:val="003F5D56"/>
    <w:rsid w:val="003F5DC5"/>
    <w:rsid w:val="003F5FC2"/>
    <w:rsid w:val="003F605A"/>
    <w:rsid w:val="003F61C6"/>
    <w:rsid w:val="003F61C7"/>
    <w:rsid w:val="003F6226"/>
    <w:rsid w:val="003F623E"/>
    <w:rsid w:val="003F624A"/>
    <w:rsid w:val="003F6299"/>
    <w:rsid w:val="003F6459"/>
    <w:rsid w:val="003F64FF"/>
    <w:rsid w:val="003F6648"/>
    <w:rsid w:val="003F6737"/>
    <w:rsid w:val="003F6846"/>
    <w:rsid w:val="003F6919"/>
    <w:rsid w:val="003F69A4"/>
    <w:rsid w:val="003F6A50"/>
    <w:rsid w:val="003F6ACA"/>
    <w:rsid w:val="003F6B17"/>
    <w:rsid w:val="003F6C21"/>
    <w:rsid w:val="003F6C3C"/>
    <w:rsid w:val="003F6C4E"/>
    <w:rsid w:val="003F6C7F"/>
    <w:rsid w:val="003F6D63"/>
    <w:rsid w:val="003F6E44"/>
    <w:rsid w:val="003F6EDE"/>
    <w:rsid w:val="003F6EE2"/>
    <w:rsid w:val="003F6F15"/>
    <w:rsid w:val="003F6F64"/>
    <w:rsid w:val="003F7088"/>
    <w:rsid w:val="003F7089"/>
    <w:rsid w:val="003F70BE"/>
    <w:rsid w:val="003F718E"/>
    <w:rsid w:val="003F72C0"/>
    <w:rsid w:val="003F7463"/>
    <w:rsid w:val="003F766F"/>
    <w:rsid w:val="003F76A3"/>
    <w:rsid w:val="003F77B3"/>
    <w:rsid w:val="003F7819"/>
    <w:rsid w:val="003F788D"/>
    <w:rsid w:val="003F7898"/>
    <w:rsid w:val="003F7A3D"/>
    <w:rsid w:val="003F7A42"/>
    <w:rsid w:val="003F7A4F"/>
    <w:rsid w:val="003F7BCC"/>
    <w:rsid w:val="003F7DC5"/>
    <w:rsid w:val="003F7E15"/>
    <w:rsid w:val="0040006B"/>
    <w:rsid w:val="004000B9"/>
    <w:rsid w:val="004000C0"/>
    <w:rsid w:val="00400192"/>
    <w:rsid w:val="004003C0"/>
    <w:rsid w:val="00400421"/>
    <w:rsid w:val="00400451"/>
    <w:rsid w:val="00400522"/>
    <w:rsid w:val="00400704"/>
    <w:rsid w:val="00400708"/>
    <w:rsid w:val="00400781"/>
    <w:rsid w:val="0040088D"/>
    <w:rsid w:val="004008D3"/>
    <w:rsid w:val="00400988"/>
    <w:rsid w:val="00400B89"/>
    <w:rsid w:val="00400E2A"/>
    <w:rsid w:val="00400EFC"/>
    <w:rsid w:val="00400F71"/>
    <w:rsid w:val="00401045"/>
    <w:rsid w:val="004010B6"/>
    <w:rsid w:val="00401108"/>
    <w:rsid w:val="00401120"/>
    <w:rsid w:val="004011F5"/>
    <w:rsid w:val="00401296"/>
    <w:rsid w:val="0040133F"/>
    <w:rsid w:val="00401561"/>
    <w:rsid w:val="0040165B"/>
    <w:rsid w:val="004017BC"/>
    <w:rsid w:val="00401915"/>
    <w:rsid w:val="004019A9"/>
    <w:rsid w:val="00401A01"/>
    <w:rsid w:val="00401B06"/>
    <w:rsid w:val="00401C00"/>
    <w:rsid w:val="00401D35"/>
    <w:rsid w:val="00401DF6"/>
    <w:rsid w:val="00401E7E"/>
    <w:rsid w:val="00402026"/>
    <w:rsid w:val="0040217B"/>
    <w:rsid w:val="004021B6"/>
    <w:rsid w:val="004022E8"/>
    <w:rsid w:val="0040242B"/>
    <w:rsid w:val="0040242F"/>
    <w:rsid w:val="00402472"/>
    <w:rsid w:val="00402617"/>
    <w:rsid w:val="00402699"/>
    <w:rsid w:val="004028C6"/>
    <w:rsid w:val="004028CD"/>
    <w:rsid w:val="0040297D"/>
    <w:rsid w:val="00402AB3"/>
    <w:rsid w:val="00402B11"/>
    <w:rsid w:val="00402B2B"/>
    <w:rsid w:val="00402BB2"/>
    <w:rsid w:val="0040305D"/>
    <w:rsid w:val="00403102"/>
    <w:rsid w:val="00403273"/>
    <w:rsid w:val="004033DC"/>
    <w:rsid w:val="004033F7"/>
    <w:rsid w:val="00403432"/>
    <w:rsid w:val="00403572"/>
    <w:rsid w:val="004035AF"/>
    <w:rsid w:val="0040368F"/>
    <w:rsid w:val="00403769"/>
    <w:rsid w:val="0040376E"/>
    <w:rsid w:val="004037EB"/>
    <w:rsid w:val="004038FA"/>
    <w:rsid w:val="0040394F"/>
    <w:rsid w:val="00403A61"/>
    <w:rsid w:val="00403A95"/>
    <w:rsid w:val="00403C42"/>
    <w:rsid w:val="00403CAB"/>
    <w:rsid w:val="00403DD4"/>
    <w:rsid w:val="00403EFA"/>
    <w:rsid w:val="00403F4C"/>
    <w:rsid w:val="00404006"/>
    <w:rsid w:val="00404117"/>
    <w:rsid w:val="004041AA"/>
    <w:rsid w:val="004041ED"/>
    <w:rsid w:val="0040422A"/>
    <w:rsid w:val="0040423B"/>
    <w:rsid w:val="0040424A"/>
    <w:rsid w:val="00404262"/>
    <w:rsid w:val="004042A1"/>
    <w:rsid w:val="004042CE"/>
    <w:rsid w:val="00404436"/>
    <w:rsid w:val="004044AC"/>
    <w:rsid w:val="004044B7"/>
    <w:rsid w:val="00404503"/>
    <w:rsid w:val="0040451B"/>
    <w:rsid w:val="004045C6"/>
    <w:rsid w:val="00404750"/>
    <w:rsid w:val="004047A0"/>
    <w:rsid w:val="004047B0"/>
    <w:rsid w:val="004047D5"/>
    <w:rsid w:val="00404833"/>
    <w:rsid w:val="004048E7"/>
    <w:rsid w:val="00404998"/>
    <w:rsid w:val="00404A64"/>
    <w:rsid w:val="00404CFA"/>
    <w:rsid w:val="00404CFB"/>
    <w:rsid w:val="00404E57"/>
    <w:rsid w:val="00404F8B"/>
    <w:rsid w:val="00404FB1"/>
    <w:rsid w:val="00404FCF"/>
    <w:rsid w:val="004050E0"/>
    <w:rsid w:val="0040534B"/>
    <w:rsid w:val="0040535F"/>
    <w:rsid w:val="0040541D"/>
    <w:rsid w:val="004054A4"/>
    <w:rsid w:val="004054FC"/>
    <w:rsid w:val="00405572"/>
    <w:rsid w:val="004055DE"/>
    <w:rsid w:val="0040569E"/>
    <w:rsid w:val="0040571C"/>
    <w:rsid w:val="004057A9"/>
    <w:rsid w:val="00405C0B"/>
    <w:rsid w:val="00405CAA"/>
    <w:rsid w:val="00405F24"/>
    <w:rsid w:val="004063D8"/>
    <w:rsid w:val="00406411"/>
    <w:rsid w:val="00406428"/>
    <w:rsid w:val="004065AD"/>
    <w:rsid w:val="00406793"/>
    <w:rsid w:val="004067AC"/>
    <w:rsid w:val="004067D8"/>
    <w:rsid w:val="004068B9"/>
    <w:rsid w:val="00406AB1"/>
    <w:rsid w:val="00406ABB"/>
    <w:rsid w:val="00406B48"/>
    <w:rsid w:val="00406C60"/>
    <w:rsid w:val="00406CD0"/>
    <w:rsid w:val="00406D5A"/>
    <w:rsid w:val="00406DFA"/>
    <w:rsid w:val="00406E96"/>
    <w:rsid w:val="00406F23"/>
    <w:rsid w:val="00406FB7"/>
    <w:rsid w:val="00407048"/>
    <w:rsid w:val="0040712E"/>
    <w:rsid w:val="004071EF"/>
    <w:rsid w:val="00407263"/>
    <w:rsid w:val="00407275"/>
    <w:rsid w:val="0040728E"/>
    <w:rsid w:val="004073B4"/>
    <w:rsid w:val="004074CE"/>
    <w:rsid w:val="00407638"/>
    <w:rsid w:val="0040791C"/>
    <w:rsid w:val="004079E2"/>
    <w:rsid w:val="00407A81"/>
    <w:rsid w:val="00407A8C"/>
    <w:rsid w:val="00407AB2"/>
    <w:rsid w:val="00407B06"/>
    <w:rsid w:val="00407B8B"/>
    <w:rsid w:val="00407CCC"/>
    <w:rsid w:val="00407D3B"/>
    <w:rsid w:val="00407F0C"/>
    <w:rsid w:val="004100B4"/>
    <w:rsid w:val="004100EC"/>
    <w:rsid w:val="004101A3"/>
    <w:rsid w:val="0041020E"/>
    <w:rsid w:val="00410341"/>
    <w:rsid w:val="00410356"/>
    <w:rsid w:val="00410481"/>
    <w:rsid w:val="004106A6"/>
    <w:rsid w:val="004109A7"/>
    <w:rsid w:val="00410B10"/>
    <w:rsid w:val="00410BB8"/>
    <w:rsid w:val="00410C4E"/>
    <w:rsid w:val="00410CC6"/>
    <w:rsid w:val="00410E46"/>
    <w:rsid w:val="00410EF3"/>
    <w:rsid w:val="00411004"/>
    <w:rsid w:val="004111B5"/>
    <w:rsid w:val="004111B6"/>
    <w:rsid w:val="004112A4"/>
    <w:rsid w:val="004112C1"/>
    <w:rsid w:val="00411420"/>
    <w:rsid w:val="00411589"/>
    <w:rsid w:val="004115DF"/>
    <w:rsid w:val="004116CC"/>
    <w:rsid w:val="004116EE"/>
    <w:rsid w:val="00411788"/>
    <w:rsid w:val="00411930"/>
    <w:rsid w:val="00411E22"/>
    <w:rsid w:val="00411E24"/>
    <w:rsid w:val="00411E98"/>
    <w:rsid w:val="00411F60"/>
    <w:rsid w:val="00412033"/>
    <w:rsid w:val="0041211E"/>
    <w:rsid w:val="004121E2"/>
    <w:rsid w:val="004123F9"/>
    <w:rsid w:val="004125DF"/>
    <w:rsid w:val="00412615"/>
    <w:rsid w:val="004127A1"/>
    <w:rsid w:val="004128CB"/>
    <w:rsid w:val="00412906"/>
    <w:rsid w:val="00412A93"/>
    <w:rsid w:val="00412B69"/>
    <w:rsid w:val="00412DBC"/>
    <w:rsid w:val="00412F81"/>
    <w:rsid w:val="00413013"/>
    <w:rsid w:val="00413116"/>
    <w:rsid w:val="00413274"/>
    <w:rsid w:val="004133C9"/>
    <w:rsid w:val="004135E4"/>
    <w:rsid w:val="00413631"/>
    <w:rsid w:val="00413670"/>
    <w:rsid w:val="004136F5"/>
    <w:rsid w:val="00413B75"/>
    <w:rsid w:val="00413C1E"/>
    <w:rsid w:val="00413D97"/>
    <w:rsid w:val="00414025"/>
    <w:rsid w:val="0041419B"/>
    <w:rsid w:val="0041419F"/>
    <w:rsid w:val="00414221"/>
    <w:rsid w:val="00414268"/>
    <w:rsid w:val="0041467A"/>
    <w:rsid w:val="00414693"/>
    <w:rsid w:val="0041477B"/>
    <w:rsid w:val="00414786"/>
    <w:rsid w:val="004147BF"/>
    <w:rsid w:val="0041486F"/>
    <w:rsid w:val="00414995"/>
    <w:rsid w:val="00414A59"/>
    <w:rsid w:val="00414BC5"/>
    <w:rsid w:val="00414C64"/>
    <w:rsid w:val="00414C89"/>
    <w:rsid w:val="00414DD0"/>
    <w:rsid w:val="00414E16"/>
    <w:rsid w:val="00414E92"/>
    <w:rsid w:val="00414EAF"/>
    <w:rsid w:val="0041504E"/>
    <w:rsid w:val="0041506E"/>
    <w:rsid w:val="0041517E"/>
    <w:rsid w:val="004151E4"/>
    <w:rsid w:val="0041530D"/>
    <w:rsid w:val="0041552F"/>
    <w:rsid w:val="00415556"/>
    <w:rsid w:val="00415657"/>
    <w:rsid w:val="0041567F"/>
    <w:rsid w:val="004156E1"/>
    <w:rsid w:val="004157D5"/>
    <w:rsid w:val="004157FD"/>
    <w:rsid w:val="004158DE"/>
    <w:rsid w:val="004159B6"/>
    <w:rsid w:val="00415A93"/>
    <w:rsid w:val="00415C3B"/>
    <w:rsid w:val="00415DEF"/>
    <w:rsid w:val="00416004"/>
    <w:rsid w:val="004160A7"/>
    <w:rsid w:val="00416108"/>
    <w:rsid w:val="0041610E"/>
    <w:rsid w:val="0041611E"/>
    <w:rsid w:val="00416154"/>
    <w:rsid w:val="00416184"/>
    <w:rsid w:val="004161BB"/>
    <w:rsid w:val="004161D8"/>
    <w:rsid w:val="0041620C"/>
    <w:rsid w:val="0041626B"/>
    <w:rsid w:val="0041628B"/>
    <w:rsid w:val="004162AB"/>
    <w:rsid w:val="00416382"/>
    <w:rsid w:val="004163A2"/>
    <w:rsid w:val="00416413"/>
    <w:rsid w:val="004165C9"/>
    <w:rsid w:val="0041662B"/>
    <w:rsid w:val="004166A8"/>
    <w:rsid w:val="004167C1"/>
    <w:rsid w:val="00416AA0"/>
    <w:rsid w:val="00416AF0"/>
    <w:rsid w:val="00416B1B"/>
    <w:rsid w:val="00416C25"/>
    <w:rsid w:val="00416C7B"/>
    <w:rsid w:val="00416CF3"/>
    <w:rsid w:val="00416CF5"/>
    <w:rsid w:val="00416D1D"/>
    <w:rsid w:val="00416DF8"/>
    <w:rsid w:val="00416E89"/>
    <w:rsid w:val="00416F02"/>
    <w:rsid w:val="00417087"/>
    <w:rsid w:val="0041709D"/>
    <w:rsid w:val="004170A9"/>
    <w:rsid w:val="004171E1"/>
    <w:rsid w:val="0041727D"/>
    <w:rsid w:val="004172C4"/>
    <w:rsid w:val="00417307"/>
    <w:rsid w:val="004173D8"/>
    <w:rsid w:val="004174C8"/>
    <w:rsid w:val="0041754E"/>
    <w:rsid w:val="00417626"/>
    <w:rsid w:val="00417744"/>
    <w:rsid w:val="004178AE"/>
    <w:rsid w:val="004178B6"/>
    <w:rsid w:val="00417924"/>
    <w:rsid w:val="00417966"/>
    <w:rsid w:val="00417A43"/>
    <w:rsid w:val="00417A4C"/>
    <w:rsid w:val="00417D79"/>
    <w:rsid w:val="00417E2E"/>
    <w:rsid w:val="00417FE0"/>
    <w:rsid w:val="00420233"/>
    <w:rsid w:val="0042049E"/>
    <w:rsid w:val="00420644"/>
    <w:rsid w:val="0042074E"/>
    <w:rsid w:val="0042077F"/>
    <w:rsid w:val="004209A2"/>
    <w:rsid w:val="004209FD"/>
    <w:rsid w:val="00420BC3"/>
    <w:rsid w:val="00420C20"/>
    <w:rsid w:val="00420D24"/>
    <w:rsid w:val="00420FDF"/>
    <w:rsid w:val="004210CD"/>
    <w:rsid w:val="00421160"/>
    <w:rsid w:val="004211B2"/>
    <w:rsid w:val="0042124F"/>
    <w:rsid w:val="00421253"/>
    <w:rsid w:val="004212FB"/>
    <w:rsid w:val="00421343"/>
    <w:rsid w:val="00421506"/>
    <w:rsid w:val="0042150D"/>
    <w:rsid w:val="0042153F"/>
    <w:rsid w:val="00421626"/>
    <w:rsid w:val="00421712"/>
    <w:rsid w:val="004217F7"/>
    <w:rsid w:val="004218A1"/>
    <w:rsid w:val="00421911"/>
    <w:rsid w:val="00421A80"/>
    <w:rsid w:val="00421C91"/>
    <w:rsid w:val="00421DCD"/>
    <w:rsid w:val="00422053"/>
    <w:rsid w:val="004221C3"/>
    <w:rsid w:val="0042223E"/>
    <w:rsid w:val="0042228E"/>
    <w:rsid w:val="0042239E"/>
    <w:rsid w:val="00422473"/>
    <w:rsid w:val="004224F6"/>
    <w:rsid w:val="00422559"/>
    <w:rsid w:val="0042255C"/>
    <w:rsid w:val="0042258C"/>
    <w:rsid w:val="0042267D"/>
    <w:rsid w:val="004227F6"/>
    <w:rsid w:val="004228E7"/>
    <w:rsid w:val="00422A53"/>
    <w:rsid w:val="00422B57"/>
    <w:rsid w:val="00422C2B"/>
    <w:rsid w:val="00422F31"/>
    <w:rsid w:val="00422F8B"/>
    <w:rsid w:val="00422F9D"/>
    <w:rsid w:val="00423084"/>
    <w:rsid w:val="00423160"/>
    <w:rsid w:val="0042335A"/>
    <w:rsid w:val="00423380"/>
    <w:rsid w:val="00423389"/>
    <w:rsid w:val="00423550"/>
    <w:rsid w:val="0042369D"/>
    <w:rsid w:val="004236A3"/>
    <w:rsid w:val="004238CF"/>
    <w:rsid w:val="00423941"/>
    <w:rsid w:val="00423A49"/>
    <w:rsid w:val="00423A58"/>
    <w:rsid w:val="00423ADD"/>
    <w:rsid w:val="00423E7F"/>
    <w:rsid w:val="00423ED3"/>
    <w:rsid w:val="004240F2"/>
    <w:rsid w:val="0042427D"/>
    <w:rsid w:val="00424714"/>
    <w:rsid w:val="0042479B"/>
    <w:rsid w:val="004247EA"/>
    <w:rsid w:val="004247EC"/>
    <w:rsid w:val="004249DD"/>
    <w:rsid w:val="00424A24"/>
    <w:rsid w:val="00424A8C"/>
    <w:rsid w:val="00424DCA"/>
    <w:rsid w:val="00424E40"/>
    <w:rsid w:val="00425269"/>
    <w:rsid w:val="00425345"/>
    <w:rsid w:val="0042536C"/>
    <w:rsid w:val="00425453"/>
    <w:rsid w:val="004254B7"/>
    <w:rsid w:val="004254DC"/>
    <w:rsid w:val="00425535"/>
    <w:rsid w:val="00425707"/>
    <w:rsid w:val="004258E7"/>
    <w:rsid w:val="0042595B"/>
    <w:rsid w:val="00425AF7"/>
    <w:rsid w:val="00425AFA"/>
    <w:rsid w:val="00425B5D"/>
    <w:rsid w:val="00425B87"/>
    <w:rsid w:val="00425C76"/>
    <w:rsid w:val="00425CB9"/>
    <w:rsid w:val="00425D14"/>
    <w:rsid w:val="00425DE1"/>
    <w:rsid w:val="00425DE4"/>
    <w:rsid w:val="00425EC1"/>
    <w:rsid w:val="00426076"/>
    <w:rsid w:val="0042611F"/>
    <w:rsid w:val="004261BB"/>
    <w:rsid w:val="004263E4"/>
    <w:rsid w:val="00426414"/>
    <w:rsid w:val="004265C0"/>
    <w:rsid w:val="00426650"/>
    <w:rsid w:val="004266A1"/>
    <w:rsid w:val="0042672A"/>
    <w:rsid w:val="00426873"/>
    <w:rsid w:val="00426891"/>
    <w:rsid w:val="004268F7"/>
    <w:rsid w:val="00426927"/>
    <w:rsid w:val="00426C06"/>
    <w:rsid w:val="00426D59"/>
    <w:rsid w:val="00426D82"/>
    <w:rsid w:val="00426E51"/>
    <w:rsid w:val="00426EDB"/>
    <w:rsid w:val="00426F28"/>
    <w:rsid w:val="00426F98"/>
    <w:rsid w:val="004271FE"/>
    <w:rsid w:val="0042722A"/>
    <w:rsid w:val="0042724E"/>
    <w:rsid w:val="0042732E"/>
    <w:rsid w:val="00427330"/>
    <w:rsid w:val="0042733C"/>
    <w:rsid w:val="004274D2"/>
    <w:rsid w:val="00427553"/>
    <w:rsid w:val="00427663"/>
    <w:rsid w:val="00427795"/>
    <w:rsid w:val="004278DE"/>
    <w:rsid w:val="00427976"/>
    <w:rsid w:val="00427AA6"/>
    <w:rsid w:val="00427C16"/>
    <w:rsid w:val="00427C9B"/>
    <w:rsid w:val="00427F50"/>
    <w:rsid w:val="00427FAA"/>
    <w:rsid w:val="00427FAB"/>
    <w:rsid w:val="0043006C"/>
    <w:rsid w:val="00430140"/>
    <w:rsid w:val="00430151"/>
    <w:rsid w:val="004301DC"/>
    <w:rsid w:val="0043020D"/>
    <w:rsid w:val="00430281"/>
    <w:rsid w:val="004302C2"/>
    <w:rsid w:val="00430333"/>
    <w:rsid w:val="004303D6"/>
    <w:rsid w:val="004303FB"/>
    <w:rsid w:val="0043043B"/>
    <w:rsid w:val="00430550"/>
    <w:rsid w:val="004305E9"/>
    <w:rsid w:val="00430636"/>
    <w:rsid w:val="004306D0"/>
    <w:rsid w:val="004307C4"/>
    <w:rsid w:val="004308B2"/>
    <w:rsid w:val="00430CA7"/>
    <w:rsid w:val="00430D14"/>
    <w:rsid w:val="00430EA3"/>
    <w:rsid w:val="00430F08"/>
    <w:rsid w:val="00431031"/>
    <w:rsid w:val="0043109E"/>
    <w:rsid w:val="004310B5"/>
    <w:rsid w:val="0043118F"/>
    <w:rsid w:val="004311F4"/>
    <w:rsid w:val="00431312"/>
    <w:rsid w:val="004313F7"/>
    <w:rsid w:val="00431615"/>
    <w:rsid w:val="00431898"/>
    <w:rsid w:val="004318D0"/>
    <w:rsid w:val="0043195C"/>
    <w:rsid w:val="004319CB"/>
    <w:rsid w:val="004319E0"/>
    <w:rsid w:val="00431D7B"/>
    <w:rsid w:val="00431DE2"/>
    <w:rsid w:val="00431E07"/>
    <w:rsid w:val="00431FAF"/>
    <w:rsid w:val="00432008"/>
    <w:rsid w:val="0043204D"/>
    <w:rsid w:val="0043206C"/>
    <w:rsid w:val="00432434"/>
    <w:rsid w:val="004324F2"/>
    <w:rsid w:val="004325C5"/>
    <w:rsid w:val="004325D3"/>
    <w:rsid w:val="00432658"/>
    <w:rsid w:val="0043265C"/>
    <w:rsid w:val="00432668"/>
    <w:rsid w:val="004328FF"/>
    <w:rsid w:val="004329BE"/>
    <w:rsid w:val="004329D3"/>
    <w:rsid w:val="004329EC"/>
    <w:rsid w:val="00432ACF"/>
    <w:rsid w:val="00432C0F"/>
    <w:rsid w:val="00432D3C"/>
    <w:rsid w:val="00432D5E"/>
    <w:rsid w:val="00432FB0"/>
    <w:rsid w:val="00432FB1"/>
    <w:rsid w:val="0043305C"/>
    <w:rsid w:val="0043308F"/>
    <w:rsid w:val="0043313F"/>
    <w:rsid w:val="0043314C"/>
    <w:rsid w:val="004332AF"/>
    <w:rsid w:val="00433323"/>
    <w:rsid w:val="0043339C"/>
    <w:rsid w:val="004334A3"/>
    <w:rsid w:val="004334EA"/>
    <w:rsid w:val="004335D4"/>
    <w:rsid w:val="00433801"/>
    <w:rsid w:val="004339BB"/>
    <w:rsid w:val="00433A3B"/>
    <w:rsid w:val="00433A57"/>
    <w:rsid w:val="00433B13"/>
    <w:rsid w:val="00433BE7"/>
    <w:rsid w:val="00433CE3"/>
    <w:rsid w:val="00433D14"/>
    <w:rsid w:val="00433F4E"/>
    <w:rsid w:val="004340AB"/>
    <w:rsid w:val="0043410A"/>
    <w:rsid w:val="004341FE"/>
    <w:rsid w:val="0043423C"/>
    <w:rsid w:val="0043423F"/>
    <w:rsid w:val="00434245"/>
    <w:rsid w:val="00434297"/>
    <w:rsid w:val="004343D6"/>
    <w:rsid w:val="00434492"/>
    <w:rsid w:val="004345DD"/>
    <w:rsid w:val="0043472F"/>
    <w:rsid w:val="00434745"/>
    <w:rsid w:val="004349AD"/>
    <w:rsid w:val="00434ABB"/>
    <w:rsid w:val="00434B11"/>
    <w:rsid w:val="00434B55"/>
    <w:rsid w:val="00434CE3"/>
    <w:rsid w:val="00434EDB"/>
    <w:rsid w:val="00434F41"/>
    <w:rsid w:val="00434FF9"/>
    <w:rsid w:val="00435082"/>
    <w:rsid w:val="0043534F"/>
    <w:rsid w:val="00435385"/>
    <w:rsid w:val="0043545C"/>
    <w:rsid w:val="004354FE"/>
    <w:rsid w:val="00435502"/>
    <w:rsid w:val="00435619"/>
    <w:rsid w:val="00435733"/>
    <w:rsid w:val="0043586A"/>
    <w:rsid w:val="004358B5"/>
    <w:rsid w:val="004358CA"/>
    <w:rsid w:val="004358FD"/>
    <w:rsid w:val="00435A86"/>
    <w:rsid w:val="00435B16"/>
    <w:rsid w:val="00435C12"/>
    <w:rsid w:val="00435C8D"/>
    <w:rsid w:val="00435CBE"/>
    <w:rsid w:val="00435DC6"/>
    <w:rsid w:val="00435EA9"/>
    <w:rsid w:val="00435F18"/>
    <w:rsid w:val="00435F6E"/>
    <w:rsid w:val="00435F95"/>
    <w:rsid w:val="00435FDD"/>
    <w:rsid w:val="00435FF6"/>
    <w:rsid w:val="00436465"/>
    <w:rsid w:val="00436777"/>
    <w:rsid w:val="004369B6"/>
    <w:rsid w:val="00436BF9"/>
    <w:rsid w:val="00436E4E"/>
    <w:rsid w:val="00436F4B"/>
    <w:rsid w:val="00436F7C"/>
    <w:rsid w:val="0043700A"/>
    <w:rsid w:val="004370D5"/>
    <w:rsid w:val="004371D3"/>
    <w:rsid w:val="00437298"/>
    <w:rsid w:val="00437359"/>
    <w:rsid w:val="00437403"/>
    <w:rsid w:val="004375DC"/>
    <w:rsid w:val="00437638"/>
    <w:rsid w:val="004376B5"/>
    <w:rsid w:val="0043776B"/>
    <w:rsid w:val="004377A7"/>
    <w:rsid w:val="0043785C"/>
    <w:rsid w:val="00437922"/>
    <w:rsid w:val="00437979"/>
    <w:rsid w:val="00437AE5"/>
    <w:rsid w:val="00437CDC"/>
    <w:rsid w:val="00437D6A"/>
    <w:rsid w:val="00437DAC"/>
    <w:rsid w:val="00437E86"/>
    <w:rsid w:val="00440064"/>
    <w:rsid w:val="00440209"/>
    <w:rsid w:val="004403B5"/>
    <w:rsid w:val="00440462"/>
    <w:rsid w:val="00440499"/>
    <w:rsid w:val="0044065A"/>
    <w:rsid w:val="00440708"/>
    <w:rsid w:val="004407AC"/>
    <w:rsid w:val="00440816"/>
    <w:rsid w:val="0044088A"/>
    <w:rsid w:val="0044088C"/>
    <w:rsid w:val="00440A64"/>
    <w:rsid w:val="00440ACE"/>
    <w:rsid w:val="00440AD9"/>
    <w:rsid w:val="00440BB0"/>
    <w:rsid w:val="00440C00"/>
    <w:rsid w:val="00440D47"/>
    <w:rsid w:val="00440E2E"/>
    <w:rsid w:val="00440EEA"/>
    <w:rsid w:val="004410DB"/>
    <w:rsid w:val="004412BA"/>
    <w:rsid w:val="0044133C"/>
    <w:rsid w:val="00441465"/>
    <w:rsid w:val="004414C4"/>
    <w:rsid w:val="004414D7"/>
    <w:rsid w:val="004414ED"/>
    <w:rsid w:val="004414EE"/>
    <w:rsid w:val="004415C0"/>
    <w:rsid w:val="0044163D"/>
    <w:rsid w:val="00441661"/>
    <w:rsid w:val="004416AA"/>
    <w:rsid w:val="004417DD"/>
    <w:rsid w:val="00441A46"/>
    <w:rsid w:val="00441A99"/>
    <w:rsid w:val="00441B5E"/>
    <w:rsid w:val="00441C09"/>
    <w:rsid w:val="00441CFE"/>
    <w:rsid w:val="00441FF2"/>
    <w:rsid w:val="0044202D"/>
    <w:rsid w:val="0044222F"/>
    <w:rsid w:val="004422DB"/>
    <w:rsid w:val="0044244B"/>
    <w:rsid w:val="00442688"/>
    <w:rsid w:val="00442700"/>
    <w:rsid w:val="00442724"/>
    <w:rsid w:val="004427CF"/>
    <w:rsid w:val="004427F6"/>
    <w:rsid w:val="004428AB"/>
    <w:rsid w:val="00442AD0"/>
    <w:rsid w:val="00442BD0"/>
    <w:rsid w:val="00442CF1"/>
    <w:rsid w:val="00442D36"/>
    <w:rsid w:val="00442DF6"/>
    <w:rsid w:val="00442E11"/>
    <w:rsid w:val="00442F1B"/>
    <w:rsid w:val="00442FF1"/>
    <w:rsid w:val="0044307B"/>
    <w:rsid w:val="004432AB"/>
    <w:rsid w:val="00443376"/>
    <w:rsid w:val="004433F3"/>
    <w:rsid w:val="004434E7"/>
    <w:rsid w:val="004435E7"/>
    <w:rsid w:val="00443741"/>
    <w:rsid w:val="0044379F"/>
    <w:rsid w:val="00443A4A"/>
    <w:rsid w:val="00443A82"/>
    <w:rsid w:val="00443AFD"/>
    <w:rsid w:val="00443D96"/>
    <w:rsid w:val="00443E41"/>
    <w:rsid w:val="00443EF6"/>
    <w:rsid w:val="00443FE5"/>
    <w:rsid w:val="00444018"/>
    <w:rsid w:val="0044409B"/>
    <w:rsid w:val="0044418D"/>
    <w:rsid w:val="004441B2"/>
    <w:rsid w:val="00444234"/>
    <w:rsid w:val="00444277"/>
    <w:rsid w:val="004442CA"/>
    <w:rsid w:val="004442DC"/>
    <w:rsid w:val="00444460"/>
    <w:rsid w:val="0044451D"/>
    <w:rsid w:val="004446DB"/>
    <w:rsid w:val="004447AE"/>
    <w:rsid w:val="004448F9"/>
    <w:rsid w:val="004448FD"/>
    <w:rsid w:val="00444998"/>
    <w:rsid w:val="004449CE"/>
    <w:rsid w:val="00444A65"/>
    <w:rsid w:val="00444AF7"/>
    <w:rsid w:val="00444AFB"/>
    <w:rsid w:val="00444BB5"/>
    <w:rsid w:val="00444C9A"/>
    <w:rsid w:val="00444CA0"/>
    <w:rsid w:val="00444CA4"/>
    <w:rsid w:val="00444D5E"/>
    <w:rsid w:val="00444DA2"/>
    <w:rsid w:val="00444EF2"/>
    <w:rsid w:val="00444F70"/>
    <w:rsid w:val="00444FC3"/>
    <w:rsid w:val="00445010"/>
    <w:rsid w:val="0044513F"/>
    <w:rsid w:val="00445363"/>
    <w:rsid w:val="004453F4"/>
    <w:rsid w:val="00445483"/>
    <w:rsid w:val="004454EA"/>
    <w:rsid w:val="004455B5"/>
    <w:rsid w:val="004455BC"/>
    <w:rsid w:val="004456A5"/>
    <w:rsid w:val="004458A2"/>
    <w:rsid w:val="004459D6"/>
    <w:rsid w:val="004459E7"/>
    <w:rsid w:val="00445AD1"/>
    <w:rsid w:val="00445B56"/>
    <w:rsid w:val="00445C29"/>
    <w:rsid w:val="00445F4E"/>
    <w:rsid w:val="00445F9E"/>
    <w:rsid w:val="00446334"/>
    <w:rsid w:val="004463C5"/>
    <w:rsid w:val="0044647F"/>
    <w:rsid w:val="00446492"/>
    <w:rsid w:val="0044656F"/>
    <w:rsid w:val="00446679"/>
    <w:rsid w:val="004466BB"/>
    <w:rsid w:val="004466C3"/>
    <w:rsid w:val="00446810"/>
    <w:rsid w:val="0044691F"/>
    <w:rsid w:val="00446924"/>
    <w:rsid w:val="004469B2"/>
    <w:rsid w:val="00446A67"/>
    <w:rsid w:val="00446B81"/>
    <w:rsid w:val="00446B88"/>
    <w:rsid w:val="00446D24"/>
    <w:rsid w:val="00446D79"/>
    <w:rsid w:val="00446DB0"/>
    <w:rsid w:val="00446E14"/>
    <w:rsid w:val="00446ECD"/>
    <w:rsid w:val="00446EFC"/>
    <w:rsid w:val="00446F03"/>
    <w:rsid w:val="00446F80"/>
    <w:rsid w:val="00447026"/>
    <w:rsid w:val="00447117"/>
    <w:rsid w:val="0044712E"/>
    <w:rsid w:val="0044723F"/>
    <w:rsid w:val="004472AD"/>
    <w:rsid w:val="00447337"/>
    <w:rsid w:val="004474C5"/>
    <w:rsid w:val="004477AB"/>
    <w:rsid w:val="0044782E"/>
    <w:rsid w:val="00447A7B"/>
    <w:rsid w:val="00447D23"/>
    <w:rsid w:val="00447E59"/>
    <w:rsid w:val="004500EC"/>
    <w:rsid w:val="004503AF"/>
    <w:rsid w:val="004504BD"/>
    <w:rsid w:val="004504BF"/>
    <w:rsid w:val="004504FD"/>
    <w:rsid w:val="00450693"/>
    <w:rsid w:val="00450729"/>
    <w:rsid w:val="004507C9"/>
    <w:rsid w:val="004509D0"/>
    <w:rsid w:val="00450B70"/>
    <w:rsid w:val="00450BBA"/>
    <w:rsid w:val="00450C62"/>
    <w:rsid w:val="00450E0B"/>
    <w:rsid w:val="00450F29"/>
    <w:rsid w:val="00450F41"/>
    <w:rsid w:val="004510D1"/>
    <w:rsid w:val="0045116A"/>
    <w:rsid w:val="004511D8"/>
    <w:rsid w:val="004513A1"/>
    <w:rsid w:val="004516B9"/>
    <w:rsid w:val="00451761"/>
    <w:rsid w:val="0045179D"/>
    <w:rsid w:val="0045185C"/>
    <w:rsid w:val="00451891"/>
    <w:rsid w:val="00451BBE"/>
    <w:rsid w:val="00451E7F"/>
    <w:rsid w:val="00451E8D"/>
    <w:rsid w:val="00451F37"/>
    <w:rsid w:val="00451F91"/>
    <w:rsid w:val="004520EA"/>
    <w:rsid w:val="004523AF"/>
    <w:rsid w:val="004523D9"/>
    <w:rsid w:val="004524B0"/>
    <w:rsid w:val="004525D5"/>
    <w:rsid w:val="004526A5"/>
    <w:rsid w:val="004529E4"/>
    <w:rsid w:val="00452A52"/>
    <w:rsid w:val="00452A8C"/>
    <w:rsid w:val="00452C11"/>
    <w:rsid w:val="00452D9B"/>
    <w:rsid w:val="00452DF2"/>
    <w:rsid w:val="00452E45"/>
    <w:rsid w:val="00452F53"/>
    <w:rsid w:val="00452F54"/>
    <w:rsid w:val="004532EC"/>
    <w:rsid w:val="004533EB"/>
    <w:rsid w:val="0045340A"/>
    <w:rsid w:val="004534E7"/>
    <w:rsid w:val="00453558"/>
    <w:rsid w:val="00453583"/>
    <w:rsid w:val="00453639"/>
    <w:rsid w:val="00453643"/>
    <w:rsid w:val="00453799"/>
    <w:rsid w:val="004537B3"/>
    <w:rsid w:val="0045383E"/>
    <w:rsid w:val="004538E6"/>
    <w:rsid w:val="004539A5"/>
    <w:rsid w:val="004539B4"/>
    <w:rsid w:val="004539C2"/>
    <w:rsid w:val="00453A3A"/>
    <w:rsid w:val="00453A43"/>
    <w:rsid w:val="00453C06"/>
    <w:rsid w:val="00453C19"/>
    <w:rsid w:val="00453E7B"/>
    <w:rsid w:val="00453FAE"/>
    <w:rsid w:val="00454159"/>
    <w:rsid w:val="00454166"/>
    <w:rsid w:val="0045424C"/>
    <w:rsid w:val="00454554"/>
    <w:rsid w:val="00454815"/>
    <w:rsid w:val="004548BB"/>
    <w:rsid w:val="0045492C"/>
    <w:rsid w:val="00454960"/>
    <w:rsid w:val="0045496C"/>
    <w:rsid w:val="00454AA3"/>
    <w:rsid w:val="00454B5F"/>
    <w:rsid w:val="00454BB9"/>
    <w:rsid w:val="00454BEA"/>
    <w:rsid w:val="00454C9C"/>
    <w:rsid w:val="00454CC1"/>
    <w:rsid w:val="00454CDB"/>
    <w:rsid w:val="00454D00"/>
    <w:rsid w:val="00454E4F"/>
    <w:rsid w:val="00454EBF"/>
    <w:rsid w:val="00454F1A"/>
    <w:rsid w:val="00454F6A"/>
    <w:rsid w:val="00454F6E"/>
    <w:rsid w:val="00455077"/>
    <w:rsid w:val="004552F0"/>
    <w:rsid w:val="00455307"/>
    <w:rsid w:val="0045540E"/>
    <w:rsid w:val="00455430"/>
    <w:rsid w:val="00455460"/>
    <w:rsid w:val="0045546F"/>
    <w:rsid w:val="00455751"/>
    <w:rsid w:val="00455A78"/>
    <w:rsid w:val="00455AB7"/>
    <w:rsid w:val="00455B9C"/>
    <w:rsid w:val="00455C7A"/>
    <w:rsid w:val="00455D3C"/>
    <w:rsid w:val="00455EFD"/>
    <w:rsid w:val="00455F11"/>
    <w:rsid w:val="004561BB"/>
    <w:rsid w:val="00456257"/>
    <w:rsid w:val="004562C0"/>
    <w:rsid w:val="004562D4"/>
    <w:rsid w:val="004563BC"/>
    <w:rsid w:val="004563F8"/>
    <w:rsid w:val="00456418"/>
    <w:rsid w:val="004565B0"/>
    <w:rsid w:val="004565D8"/>
    <w:rsid w:val="00456656"/>
    <w:rsid w:val="00456835"/>
    <w:rsid w:val="00456852"/>
    <w:rsid w:val="004568BF"/>
    <w:rsid w:val="004569E1"/>
    <w:rsid w:val="00456AE8"/>
    <w:rsid w:val="00456C44"/>
    <w:rsid w:val="00456CE1"/>
    <w:rsid w:val="00456D8E"/>
    <w:rsid w:val="00456F0C"/>
    <w:rsid w:val="00456F56"/>
    <w:rsid w:val="0045700E"/>
    <w:rsid w:val="00457041"/>
    <w:rsid w:val="0045706E"/>
    <w:rsid w:val="004572ED"/>
    <w:rsid w:val="004572F9"/>
    <w:rsid w:val="004572FE"/>
    <w:rsid w:val="00457418"/>
    <w:rsid w:val="00457448"/>
    <w:rsid w:val="004574FA"/>
    <w:rsid w:val="004576BE"/>
    <w:rsid w:val="004576EE"/>
    <w:rsid w:val="004578C2"/>
    <w:rsid w:val="00457A75"/>
    <w:rsid w:val="00457AE0"/>
    <w:rsid w:val="00457C5C"/>
    <w:rsid w:val="00457C70"/>
    <w:rsid w:val="00457CBA"/>
    <w:rsid w:val="00457CE1"/>
    <w:rsid w:val="00457DD9"/>
    <w:rsid w:val="00460128"/>
    <w:rsid w:val="004601C9"/>
    <w:rsid w:val="004604A0"/>
    <w:rsid w:val="004606C3"/>
    <w:rsid w:val="004606ED"/>
    <w:rsid w:val="00460754"/>
    <w:rsid w:val="004608AC"/>
    <w:rsid w:val="0046091B"/>
    <w:rsid w:val="004609A7"/>
    <w:rsid w:val="00460B29"/>
    <w:rsid w:val="00460B7F"/>
    <w:rsid w:val="00460D75"/>
    <w:rsid w:val="00460DC2"/>
    <w:rsid w:val="00460E12"/>
    <w:rsid w:val="00460E16"/>
    <w:rsid w:val="00460E7A"/>
    <w:rsid w:val="00460F02"/>
    <w:rsid w:val="00461043"/>
    <w:rsid w:val="0046109C"/>
    <w:rsid w:val="00461251"/>
    <w:rsid w:val="004612B9"/>
    <w:rsid w:val="004613C7"/>
    <w:rsid w:val="0046152A"/>
    <w:rsid w:val="00461536"/>
    <w:rsid w:val="004615C9"/>
    <w:rsid w:val="0046167F"/>
    <w:rsid w:val="004616C7"/>
    <w:rsid w:val="0046189A"/>
    <w:rsid w:val="004618F8"/>
    <w:rsid w:val="0046197F"/>
    <w:rsid w:val="00461D58"/>
    <w:rsid w:val="00461DE9"/>
    <w:rsid w:val="00461F6E"/>
    <w:rsid w:val="0046225D"/>
    <w:rsid w:val="004622BD"/>
    <w:rsid w:val="004623E7"/>
    <w:rsid w:val="00462460"/>
    <w:rsid w:val="004624BF"/>
    <w:rsid w:val="00462592"/>
    <w:rsid w:val="00462635"/>
    <w:rsid w:val="00462680"/>
    <w:rsid w:val="0046282C"/>
    <w:rsid w:val="004628DE"/>
    <w:rsid w:val="00462C5A"/>
    <w:rsid w:val="00462D77"/>
    <w:rsid w:val="00462FF4"/>
    <w:rsid w:val="00463173"/>
    <w:rsid w:val="004631C4"/>
    <w:rsid w:val="00463333"/>
    <w:rsid w:val="0046334E"/>
    <w:rsid w:val="00463693"/>
    <w:rsid w:val="004638F7"/>
    <w:rsid w:val="00463925"/>
    <w:rsid w:val="00463AA5"/>
    <w:rsid w:val="00463AB3"/>
    <w:rsid w:val="00463ADA"/>
    <w:rsid w:val="00463BEE"/>
    <w:rsid w:val="00463CB3"/>
    <w:rsid w:val="00463CFA"/>
    <w:rsid w:val="00463F97"/>
    <w:rsid w:val="0046405D"/>
    <w:rsid w:val="004640B9"/>
    <w:rsid w:val="00464147"/>
    <w:rsid w:val="0046430E"/>
    <w:rsid w:val="00464343"/>
    <w:rsid w:val="004643D8"/>
    <w:rsid w:val="004644E9"/>
    <w:rsid w:val="0046469E"/>
    <w:rsid w:val="004646C4"/>
    <w:rsid w:val="004647C4"/>
    <w:rsid w:val="0046484D"/>
    <w:rsid w:val="00464983"/>
    <w:rsid w:val="00464994"/>
    <w:rsid w:val="00464ADA"/>
    <w:rsid w:val="00464CC3"/>
    <w:rsid w:val="00464DF2"/>
    <w:rsid w:val="00464F81"/>
    <w:rsid w:val="00464FD6"/>
    <w:rsid w:val="0046507D"/>
    <w:rsid w:val="00465093"/>
    <w:rsid w:val="004651FF"/>
    <w:rsid w:val="004652BC"/>
    <w:rsid w:val="004652EC"/>
    <w:rsid w:val="004653E6"/>
    <w:rsid w:val="004654CF"/>
    <w:rsid w:val="004655A7"/>
    <w:rsid w:val="004658F1"/>
    <w:rsid w:val="00465931"/>
    <w:rsid w:val="00465B3B"/>
    <w:rsid w:val="00465B81"/>
    <w:rsid w:val="00465D34"/>
    <w:rsid w:val="00465D44"/>
    <w:rsid w:val="00465D4E"/>
    <w:rsid w:val="00465D72"/>
    <w:rsid w:val="00465FCF"/>
    <w:rsid w:val="00465FEC"/>
    <w:rsid w:val="00466132"/>
    <w:rsid w:val="0046616D"/>
    <w:rsid w:val="004661DC"/>
    <w:rsid w:val="0046650A"/>
    <w:rsid w:val="00466688"/>
    <w:rsid w:val="004666C4"/>
    <w:rsid w:val="004666F5"/>
    <w:rsid w:val="00466731"/>
    <w:rsid w:val="00466771"/>
    <w:rsid w:val="004667EA"/>
    <w:rsid w:val="004668F8"/>
    <w:rsid w:val="004668FD"/>
    <w:rsid w:val="004669F2"/>
    <w:rsid w:val="00466A44"/>
    <w:rsid w:val="00466B77"/>
    <w:rsid w:val="00466C92"/>
    <w:rsid w:val="00466CD0"/>
    <w:rsid w:val="00466CE9"/>
    <w:rsid w:val="00466F33"/>
    <w:rsid w:val="004671D5"/>
    <w:rsid w:val="00467283"/>
    <w:rsid w:val="00467293"/>
    <w:rsid w:val="0046739C"/>
    <w:rsid w:val="00467602"/>
    <w:rsid w:val="004676BD"/>
    <w:rsid w:val="00467889"/>
    <w:rsid w:val="00467926"/>
    <w:rsid w:val="004679BE"/>
    <w:rsid w:val="00467B0E"/>
    <w:rsid w:val="00467C1F"/>
    <w:rsid w:val="00467CE5"/>
    <w:rsid w:val="00467E35"/>
    <w:rsid w:val="004701B6"/>
    <w:rsid w:val="0047022F"/>
    <w:rsid w:val="00470232"/>
    <w:rsid w:val="00470320"/>
    <w:rsid w:val="00470351"/>
    <w:rsid w:val="0047040E"/>
    <w:rsid w:val="0047055F"/>
    <w:rsid w:val="004705E9"/>
    <w:rsid w:val="00470878"/>
    <w:rsid w:val="00470A3D"/>
    <w:rsid w:val="00470C4D"/>
    <w:rsid w:val="00470CAA"/>
    <w:rsid w:val="00470CB4"/>
    <w:rsid w:val="00470E0C"/>
    <w:rsid w:val="00470EC6"/>
    <w:rsid w:val="00470F56"/>
    <w:rsid w:val="00470F65"/>
    <w:rsid w:val="00471029"/>
    <w:rsid w:val="004711E0"/>
    <w:rsid w:val="0047122A"/>
    <w:rsid w:val="0047141E"/>
    <w:rsid w:val="00471592"/>
    <w:rsid w:val="00471641"/>
    <w:rsid w:val="004716F0"/>
    <w:rsid w:val="004716F1"/>
    <w:rsid w:val="00471706"/>
    <w:rsid w:val="004717FE"/>
    <w:rsid w:val="00471A66"/>
    <w:rsid w:val="00471B6F"/>
    <w:rsid w:val="00471BF5"/>
    <w:rsid w:val="00471CC9"/>
    <w:rsid w:val="00471D05"/>
    <w:rsid w:val="00471D0B"/>
    <w:rsid w:val="00471D2C"/>
    <w:rsid w:val="00471DD8"/>
    <w:rsid w:val="00471E09"/>
    <w:rsid w:val="00471E32"/>
    <w:rsid w:val="00471EEC"/>
    <w:rsid w:val="00471F2B"/>
    <w:rsid w:val="00472175"/>
    <w:rsid w:val="004721A8"/>
    <w:rsid w:val="004722BA"/>
    <w:rsid w:val="00472405"/>
    <w:rsid w:val="004724FD"/>
    <w:rsid w:val="00472510"/>
    <w:rsid w:val="0047251F"/>
    <w:rsid w:val="004726AE"/>
    <w:rsid w:val="0047270D"/>
    <w:rsid w:val="0047272E"/>
    <w:rsid w:val="004727E6"/>
    <w:rsid w:val="00472831"/>
    <w:rsid w:val="0047292E"/>
    <w:rsid w:val="004729AA"/>
    <w:rsid w:val="004729AF"/>
    <w:rsid w:val="00472A8C"/>
    <w:rsid w:val="00472A8E"/>
    <w:rsid w:val="00472D47"/>
    <w:rsid w:val="00472D53"/>
    <w:rsid w:val="00472E23"/>
    <w:rsid w:val="00472E2D"/>
    <w:rsid w:val="00472ED9"/>
    <w:rsid w:val="0047305E"/>
    <w:rsid w:val="004730CB"/>
    <w:rsid w:val="004730F3"/>
    <w:rsid w:val="0047311A"/>
    <w:rsid w:val="0047314B"/>
    <w:rsid w:val="004731AA"/>
    <w:rsid w:val="00473200"/>
    <w:rsid w:val="00473312"/>
    <w:rsid w:val="004733A0"/>
    <w:rsid w:val="00473440"/>
    <w:rsid w:val="00473477"/>
    <w:rsid w:val="00473510"/>
    <w:rsid w:val="0047351A"/>
    <w:rsid w:val="0047368A"/>
    <w:rsid w:val="0047369A"/>
    <w:rsid w:val="00473706"/>
    <w:rsid w:val="00473827"/>
    <w:rsid w:val="004739AE"/>
    <w:rsid w:val="00473AAF"/>
    <w:rsid w:val="00473B9B"/>
    <w:rsid w:val="00473C82"/>
    <w:rsid w:val="00473CC7"/>
    <w:rsid w:val="00473D06"/>
    <w:rsid w:val="00473D14"/>
    <w:rsid w:val="00473D47"/>
    <w:rsid w:val="00473D4C"/>
    <w:rsid w:val="00473DCE"/>
    <w:rsid w:val="00473E04"/>
    <w:rsid w:val="00473E1F"/>
    <w:rsid w:val="00473E3D"/>
    <w:rsid w:val="00473E45"/>
    <w:rsid w:val="004740B9"/>
    <w:rsid w:val="004740CD"/>
    <w:rsid w:val="00474159"/>
    <w:rsid w:val="00474220"/>
    <w:rsid w:val="004742F8"/>
    <w:rsid w:val="004744D9"/>
    <w:rsid w:val="0047462F"/>
    <w:rsid w:val="0047478B"/>
    <w:rsid w:val="004748F5"/>
    <w:rsid w:val="00474B1B"/>
    <w:rsid w:val="00474B6A"/>
    <w:rsid w:val="00474BB6"/>
    <w:rsid w:val="00474D36"/>
    <w:rsid w:val="00474D67"/>
    <w:rsid w:val="00474DFA"/>
    <w:rsid w:val="00474E11"/>
    <w:rsid w:val="00474EE0"/>
    <w:rsid w:val="00474F42"/>
    <w:rsid w:val="00474F76"/>
    <w:rsid w:val="0047507F"/>
    <w:rsid w:val="0047519D"/>
    <w:rsid w:val="004751BA"/>
    <w:rsid w:val="004751FD"/>
    <w:rsid w:val="0047523E"/>
    <w:rsid w:val="00475277"/>
    <w:rsid w:val="004752DE"/>
    <w:rsid w:val="00475300"/>
    <w:rsid w:val="0047539F"/>
    <w:rsid w:val="004753CB"/>
    <w:rsid w:val="00475496"/>
    <w:rsid w:val="0047556D"/>
    <w:rsid w:val="00475931"/>
    <w:rsid w:val="00475C07"/>
    <w:rsid w:val="00475D04"/>
    <w:rsid w:val="00475E03"/>
    <w:rsid w:val="004760A0"/>
    <w:rsid w:val="00476143"/>
    <w:rsid w:val="0047655A"/>
    <w:rsid w:val="0047669E"/>
    <w:rsid w:val="004766A7"/>
    <w:rsid w:val="00476960"/>
    <w:rsid w:val="0047698D"/>
    <w:rsid w:val="00476A60"/>
    <w:rsid w:val="00476C0B"/>
    <w:rsid w:val="00476D9B"/>
    <w:rsid w:val="00477144"/>
    <w:rsid w:val="0047734C"/>
    <w:rsid w:val="0047735B"/>
    <w:rsid w:val="0047773D"/>
    <w:rsid w:val="00477759"/>
    <w:rsid w:val="00477824"/>
    <w:rsid w:val="004778A6"/>
    <w:rsid w:val="00477B6F"/>
    <w:rsid w:val="00477BF2"/>
    <w:rsid w:val="00477C4C"/>
    <w:rsid w:val="00477C7D"/>
    <w:rsid w:val="00477DB3"/>
    <w:rsid w:val="00477EF9"/>
    <w:rsid w:val="00477F0F"/>
    <w:rsid w:val="00480049"/>
    <w:rsid w:val="00480076"/>
    <w:rsid w:val="0048053B"/>
    <w:rsid w:val="004805F2"/>
    <w:rsid w:val="00480666"/>
    <w:rsid w:val="004806CB"/>
    <w:rsid w:val="004806FB"/>
    <w:rsid w:val="004806FE"/>
    <w:rsid w:val="004808AD"/>
    <w:rsid w:val="00480AA4"/>
    <w:rsid w:val="00480ADC"/>
    <w:rsid w:val="00480B48"/>
    <w:rsid w:val="00480CF5"/>
    <w:rsid w:val="00480D6B"/>
    <w:rsid w:val="00480D88"/>
    <w:rsid w:val="00481195"/>
    <w:rsid w:val="00481475"/>
    <w:rsid w:val="004817AF"/>
    <w:rsid w:val="004817B3"/>
    <w:rsid w:val="0048197B"/>
    <w:rsid w:val="00481A2D"/>
    <w:rsid w:val="00481B1D"/>
    <w:rsid w:val="00481B59"/>
    <w:rsid w:val="00481EF6"/>
    <w:rsid w:val="00481F8F"/>
    <w:rsid w:val="00482037"/>
    <w:rsid w:val="00482111"/>
    <w:rsid w:val="00482248"/>
    <w:rsid w:val="0048243F"/>
    <w:rsid w:val="004825CA"/>
    <w:rsid w:val="0048271C"/>
    <w:rsid w:val="00482743"/>
    <w:rsid w:val="00482840"/>
    <w:rsid w:val="0048292E"/>
    <w:rsid w:val="004829A6"/>
    <w:rsid w:val="004829FF"/>
    <w:rsid w:val="00482A48"/>
    <w:rsid w:val="00482CC9"/>
    <w:rsid w:val="00482CFD"/>
    <w:rsid w:val="00482DE9"/>
    <w:rsid w:val="00482FC8"/>
    <w:rsid w:val="00483000"/>
    <w:rsid w:val="00483189"/>
    <w:rsid w:val="004831A0"/>
    <w:rsid w:val="0048323E"/>
    <w:rsid w:val="00483399"/>
    <w:rsid w:val="004833F9"/>
    <w:rsid w:val="0048342A"/>
    <w:rsid w:val="004835BA"/>
    <w:rsid w:val="00483678"/>
    <w:rsid w:val="00483694"/>
    <w:rsid w:val="004836A1"/>
    <w:rsid w:val="00483802"/>
    <w:rsid w:val="00483A04"/>
    <w:rsid w:val="00483BDB"/>
    <w:rsid w:val="00483C43"/>
    <w:rsid w:val="00483CD3"/>
    <w:rsid w:val="00483D8B"/>
    <w:rsid w:val="00483EA4"/>
    <w:rsid w:val="00483ECA"/>
    <w:rsid w:val="00483F9F"/>
    <w:rsid w:val="004840A5"/>
    <w:rsid w:val="0048413D"/>
    <w:rsid w:val="004841A6"/>
    <w:rsid w:val="0048420C"/>
    <w:rsid w:val="004842FD"/>
    <w:rsid w:val="0048431A"/>
    <w:rsid w:val="00484554"/>
    <w:rsid w:val="00484566"/>
    <w:rsid w:val="004845D3"/>
    <w:rsid w:val="00484629"/>
    <w:rsid w:val="0048466B"/>
    <w:rsid w:val="00484693"/>
    <w:rsid w:val="004846F3"/>
    <w:rsid w:val="00484763"/>
    <w:rsid w:val="00484795"/>
    <w:rsid w:val="004848E6"/>
    <w:rsid w:val="00484AAE"/>
    <w:rsid w:val="00484ACB"/>
    <w:rsid w:val="00484B2F"/>
    <w:rsid w:val="00484C0A"/>
    <w:rsid w:val="00484F77"/>
    <w:rsid w:val="00484F92"/>
    <w:rsid w:val="0048500D"/>
    <w:rsid w:val="00485070"/>
    <w:rsid w:val="004850BF"/>
    <w:rsid w:val="004851AE"/>
    <w:rsid w:val="0048523C"/>
    <w:rsid w:val="00485244"/>
    <w:rsid w:val="004852CC"/>
    <w:rsid w:val="0048539E"/>
    <w:rsid w:val="004853B4"/>
    <w:rsid w:val="004853B5"/>
    <w:rsid w:val="004854E7"/>
    <w:rsid w:val="004856BF"/>
    <w:rsid w:val="004857D3"/>
    <w:rsid w:val="00485911"/>
    <w:rsid w:val="00485963"/>
    <w:rsid w:val="00485AEF"/>
    <w:rsid w:val="00485B5D"/>
    <w:rsid w:val="00485C47"/>
    <w:rsid w:val="00485F7A"/>
    <w:rsid w:val="00486096"/>
    <w:rsid w:val="00486159"/>
    <w:rsid w:val="00486188"/>
    <w:rsid w:val="004861F8"/>
    <w:rsid w:val="0048624D"/>
    <w:rsid w:val="00486291"/>
    <w:rsid w:val="004862F7"/>
    <w:rsid w:val="00486328"/>
    <w:rsid w:val="00486374"/>
    <w:rsid w:val="004863F0"/>
    <w:rsid w:val="00486408"/>
    <w:rsid w:val="00486453"/>
    <w:rsid w:val="00486566"/>
    <w:rsid w:val="004866A5"/>
    <w:rsid w:val="00486726"/>
    <w:rsid w:val="00486757"/>
    <w:rsid w:val="00486782"/>
    <w:rsid w:val="00486912"/>
    <w:rsid w:val="004869E6"/>
    <w:rsid w:val="00486AB7"/>
    <w:rsid w:val="00486B8F"/>
    <w:rsid w:val="00486C03"/>
    <w:rsid w:val="00486CFD"/>
    <w:rsid w:val="00486E08"/>
    <w:rsid w:val="00486E71"/>
    <w:rsid w:val="00486E86"/>
    <w:rsid w:val="00486EDB"/>
    <w:rsid w:val="0048700D"/>
    <w:rsid w:val="004870B9"/>
    <w:rsid w:val="004870FD"/>
    <w:rsid w:val="00487249"/>
    <w:rsid w:val="004872E4"/>
    <w:rsid w:val="0048737B"/>
    <w:rsid w:val="0048755F"/>
    <w:rsid w:val="0048756C"/>
    <w:rsid w:val="004875B6"/>
    <w:rsid w:val="004877DB"/>
    <w:rsid w:val="004878ED"/>
    <w:rsid w:val="0048792A"/>
    <w:rsid w:val="00487AE9"/>
    <w:rsid w:val="00487C25"/>
    <w:rsid w:val="00487D9E"/>
    <w:rsid w:val="00487DEC"/>
    <w:rsid w:val="00487DFD"/>
    <w:rsid w:val="00487E6D"/>
    <w:rsid w:val="00487FDA"/>
    <w:rsid w:val="0049002C"/>
    <w:rsid w:val="00490043"/>
    <w:rsid w:val="004900CB"/>
    <w:rsid w:val="00490122"/>
    <w:rsid w:val="00490201"/>
    <w:rsid w:val="0049025A"/>
    <w:rsid w:val="0049029A"/>
    <w:rsid w:val="004902BF"/>
    <w:rsid w:val="004902C3"/>
    <w:rsid w:val="00490351"/>
    <w:rsid w:val="00490357"/>
    <w:rsid w:val="004903A1"/>
    <w:rsid w:val="004903A9"/>
    <w:rsid w:val="0049040A"/>
    <w:rsid w:val="00490424"/>
    <w:rsid w:val="00490496"/>
    <w:rsid w:val="004904C5"/>
    <w:rsid w:val="004906E4"/>
    <w:rsid w:val="00490994"/>
    <w:rsid w:val="004909E7"/>
    <w:rsid w:val="00490D67"/>
    <w:rsid w:val="00491083"/>
    <w:rsid w:val="00491092"/>
    <w:rsid w:val="004910A3"/>
    <w:rsid w:val="004910D5"/>
    <w:rsid w:val="0049115C"/>
    <w:rsid w:val="004911D9"/>
    <w:rsid w:val="004912DB"/>
    <w:rsid w:val="00491320"/>
    <w:rsid w:val="0049133A"/>
    <w:rsid w:val="004914F9"/>
    <w:rsid w:val="00491707"/>
    <w:rsid w:val="00491849"/>
    <w:rsid w:val="004918D5"/>
    <w:rsid w:val="0049198E"/>
    <w:rsid w:val="004919A9"/>
    <w:rsid w:val="00491B5C"/>
    <w:rsid w:val="00491C31"/>
    <w:rsid w:val="00491C6A"/>
    <w:rsid w:val="00491D1F"/>
    <w:rsid w:val="00491E84"/>
    <w:rsid w:val="00491EAC"/>
    <w:rsid w:val="00491F33"/>
    <w:rsid w:val="00491F4A"/>
    <w:rsid w:val="00491FB7"/>
    <w:rsid w:val="00491FDD"/>
    <w:rsid w:val="004921E7"/>
    <w:rsid w:val="00492222"/>
    <w:rsid w:val="004922BA"/>
    <w:rsid w:val="004922F8"/>
    <w:rsid w:val="00492306"/>
    <w:rsid w:val="00492313"/>
    <w:rsid w:val="00492466"/>
    <w:rsid w:val="00492776"/>
    <w:rsid w:val="00492846"/>
    <w:rsid w:val="00492874"/>
    <w:rsid w:val="0049293B"/>
    <w:rsid w:val="00492AAE"/>
    <w:rsid w:val="00492C68"/>
    <w:rsid w:val="00492D60"/>
    <w:rsid w:val="00492EF7"/>
    <w:rsid w:val="00492FB7"/>
    <w:rsid w:val="00493034"/>
    <w:rsid w:val="0049304B"/>
    <w:rsid w:val="00493109"/>
    <w:rsid w:val="0049313E"/>
    <w:rsid w:val="004935C4"/>
    <w:rsid w:val="00493669"/>
    <w:rsid w:val="004936A6"/>
    <w:rsid w:val="004936D3"/>
    <w:rsid w:val="004937C1"/>
    <w:rsid w:val="00493819"/>
    <w:rsid w:val="004938BC"/>
    <w:rsid w:val="00493AE5"/>
    <w:rsid w:val="00493BFD"/>
    <w:rsid w:val="00493C40"/>
    <w:rsid w:val="00493C42"/>
    <w:rsid w:val="00493C6E"/>
    <w:rsid w:val="00493E6B"/>
    <w:rsid w:val="00493EE5"/>
    <w:rsid w:val="00493FF0"/>
    <w:rsid w:val="00493FF9"/>
    <w:rsid w:val="00494044"/>
    <w:rsid w:val="00494382"/>
    <w:rsid w:val="00494435"/>
    <w:rsid w:val="0049462D"/>
    <w:rsid w:val="004946A3"/>
    <w:rsid w:val="0049484B"/>
    <w:rsid w:val="004948D1"/>
    <w:rsid w:val="00494AB2"/>
    <w:rsid w:val="00494B96"/>
    <w:rsid w:val="00494D9B"/>
    <w:rsid w:val="00494E99"/>
    <w:rsid w:val="00494FEB"/>
    <w:rsid w:val="00495256"/>
    <w:rsid w:val="0049529D"/>
    <w:rsid w:val="0049548F"/>
    <w:rsid w:val="004954C2"/>
    <w:rsid w:val="004955DA"/>
    <w:rsid w:val="004957AA"/>
    <w:rsid w:val="0049584C"/>
    <w:rsid w:val="0049589B"/>
    <w:rsid w:val="004958AD"/>
    <w:rsid w:val="004958B2"/>
    <w:rsid w:val="004958DF"/>
    <w:rsid w:val="004959BC"/>
    <w:rsid w:val="00495A8C"/>
    <w:rsid w:val="00495B6F"/>
    <w:rsid w:val="00495C6E"/>
    <w:rsid w:val="00495C83"/>
    <w:rsid w:val="00495CA8"/>
    <w:rsid w:val="00495D16"/>
    <w:rsid w:val="00495F3E"/>
    <w:rsid w:val="004960E1"/>
    <w:rsid w:val="0049639B"/>
    <w:rsid w:val="004963BC"/>
    <w:rsid w:val="00496695"/>
    <w:rsid w:val="00496725"/>
    <w:rsid w:val="00496782"/>
    <w:rsid w:val="00496789"/>
    <w:rsid w:val="004968B3"/>
    <w:rsid w:val="004968EE"/>
    <w:rsid w:val="00496903"/>
    <w:rsid w:val="0049693F"/>
    <w:rsid w:val="004969CC"/>
    <w:rsid w:val="00496BB3"/>
    <w:rsid w:val="00496CA1"/>
    <w:rsid w:val="00496CF2"/>
    <w:rsid w:val="00496D0C"/>
    <w:rsid w:val="00496DF5"/>
    <w:rsid w:val="00496EE6"/>
    <w:rsid w:val="00496F48"/>
    <w:rsid w:val="00496F91"/>
    <w:rsid w:val="004970FD"/>
    <w:rsid w:val="00497112"/>
    <w:rsid w:val="004971F1"/>
    <w:rsid w:val="00497226"/>
    <w:rsid w:val="00497267"/>
    <w:rsid w:val="00497490"/>
    <w:rsid w:val="004974C5"/>
    <w:rsid w:val="004974FC"/>
    <w:rsid w:val="004975E0"/>
    <w:rsid w:val="00497791"/>
    <w:rsid w:val="0049791A"/>
    <w:rsid w:val="004979B3"/>
    <w:rsid w:val="004979FB"/>
    <w:rsid w:val="00497A81"/>
    <w:rsid w:val="00497AA5"/>
    <w:rsid w:val="00497B39"/>
    <w:rsid w:val="00497B56"/>
    <w:rsid w:val="00497DB5"/>
    <w:rsid w:val="004A005C"/>
    <w:rsid w:val="004A00A1"/>
    <w:rsid w:val="004A00FB"/>
    <w:rsid w:val="004A0103"/>
    <w:rsid w:val="004A017D"/>
    <w:rsid w:val="004A01A8"/>
    <w:rsid w:val="004A03BF"/>
    <w:rsid w:val="004A0817"/>
    <w:rsid w:val="004A0928"/>
    <w:rsid w:val="004A0AA1"/>
    <w:rsid w:val="004A0B46"/>
    <w:rsid w:val="004A0B5F"/>
    <w:rsid w:val="004A0DDA"/>
    <w:rsid w:val="004A0E0C"/>
    <w:rsid w:val="004A10BC"/>
    <w:rsid w:val="004A10FA"/>
    <w:rsid w:val="004A1195"/>
    <w:rsid w:val="004A14AA"/>
    <w:rsid w:val="004A1574"/>
    <w:rsid w:val="004A18EF"/>
    <w:rsid w:val="004A1911"/>
    <w:rsid w:val="004A19B1"/>
    <w:rsid w:val="004A1A42"/>
    <w:rsid w:val="004A1B66"/>
    <w:rsid w:val="004A1CB9"/>
    <w:rsid w:val="004A1D69"/>
    <w:rsid w:val="004A1DA2"/>
    <w:rsid w:val="004A1DC9"/>
    <w:rsid w:val="004A20B6"/>
    <w:rsid w:val="004A220A"/>
    <w:rsid w:val="004A2284"/>
    <w:rsid w:val="004A22A5"/>
    <w:rsid w:val="004A23FE"/>
    <w:rsid w:val="004A249F"/>
    <w:rsid w:val="004A256D"/>
    <w:rsid w:val="004A273B"/>
    <w:rsid w:val="004A281F"/>
    <w:rsid w:val="004A290C"/>
    <w:rsid w:val="004A297F"/>
    <w:rsid w:val="004A2993"/>
    <w:rsid w:val="004A2A2E"/>
    <w:rsid w:val="004A2AF9"/>
    <w:rsid w:val="004A2B2D"/>
    <w:rsid w:val="004A2B3A"/>
    <w:rsid w:val="004A2CF4"/>
    <w:rsid w:val="004A2D40"/>
    <w:rsid w:val="004A2D74"/>
    <w:rsid w:val="004A2DB7"/>
    <w:rsid w:val="004A2E5B"/>
    <w:rsid w:val="004A3098"/>
    <w:rsid w:val="004A30FF"/>
    <w:rsid w:val="004A35EE"/>
    <w:rsid w:val="004A368F"/>
    <w:rsid w:val="004A3780"/>
    <w:rsid w:val="004A37F7"/>
    <w:rsid w:val="004A38D0"/>
    <w:rsid w:val="004A3971"/>
    <w:rsid w:val="004A3DA9"/>
    <w:rsid w:val="004A3E7F"/>
    <w:rsid w:val="004A3FBA"/>
    <w:rsid w:val="004A400E"/>
    <w:rsid w:val="004A403D"/>
    <w:rsid w:val="004A409D"/>
    <w:rsid w:val="004A41BF"/>
    <w:rsid w:val="004A41DD"/>
    <w:rsid w:val="004A4231"/>
    <w:rsid w:val="004A448B"/>
    <w:rsid w:val="004A452C"/>
    <w:rsid w:val="004A456C"/>
    <w:rsid w:val="004A4628"/>
    <w:rsid w:val="004A46B0"/>
    <w:rsid w:val="004A46D7"/>
    <w:rsid w:val="004A474B"/>
    <w:rsid w:val="004A4765"/>
    <w:rsid w:val="004A4861"/>
    <w:rsid w:val="004A4B0F"/>
    <w:rsid w:val="004A4C4C"/>
    <w:rsid w:val="004A4D3B"/>
    <w:rsid w:val="004A5251"/>
    <w:rsid w:val="004A545E"/>
    <w:rsid w:val="004A5499"/>
    <w:rsid w:val="004A54F0"/>
    <w:rsid w:val="004A5517"/>
    <w:rsid w:val="004A5723"/>
    <w:rsid w:val="004A573D"/>
    <w:rsid w:val="004A57C5"/>
    <w:rsid w:val="004A5A5B"/>
    <w:rsid w:val="004A5B30"/>
    <w:rsid w:val="004A5B33"/>
    <w:rsid w:val="004A5CDF"/>
    <w:rsid w:val="004A5D24"/>
    <w:rsid w:val="004A5D3B"/>
    <w:rsid w:val="004A5D44"/>
    <w:rsid w:val="004A5D79"/>
    <w:rsid w:val="004A5F48"/>
    <w:rsid w:val="004A6101"/>
    <w:rsid w:val="004A6167"/>
    <w:rsid w:val="004A61AF"/>
    <w:rsid w:val="004A61D4"/>
    <w:rsid w:val="004A6412"/>
    <w:rsid w:val="004A64B9"/>
    <w:rsid w:val="004A652E"/>
    <w:rsid w:val="004A65A2"/>
    <w:rsid w:val="004A65D3"/>
    <w:rsid w:val="004A6627"/>
    <w:rsid w:val="004A682C"/>
    <w:rsid w:val="004A6AD4"/>
    <w:rsid w:val="004A6BA4"/>
    <w:rsid w:val="004A6CC1"/>
    <w:rsid w:val="004A6D18"/>
    <w:rsid w:val="004A6D7C"/>
    <w:rsid w:val="004A6E75"/>
    <w:rsid w:val="004A6FE6"/>
    <w:rsid w:val="004A70CD"/>
    <w:rsid w:val="004A716B"/>
    <w:rsid w:val="004A7224"/>
    <w:rsid w:val="004A7273"/>
    <w:rsid w:val="004A73CC"/>
    <w:rsid w:val="004A74C4"/>
    <w:rsid w:val="004A752B"/>
    <w:rsid w:val="004A75CA"/>
    <w:rsid w:val="004A767A"/>
    <w:rsid w:val="004A7726"/>
    <w:rsid w:val="004A77A0"/>
    <w:rsid w:val="004A77D0"/>
    <w:rsid w:val="004A79DF"/>
    <w:rsid w:val="004A79F5"/>
    <w:rsid w:val="004A7BE7"/>
    <w:rsid w:val="004A7C55"/>
    <w:rsid w:val="004A7C96"/>
    <w:rsid w:val="004A7CB2"/>
    <w:rsid w:val="004A7DCB"/>
    <w:rsid w:val="004A7F41"/>
    <w:rsid w:val="004A7FF4"/>
    <w:rsid w:val="004B0077"/>
    <w:rsid w:val="004B00C8"/>
    <w:rsid w:val="004B0168"/>
    <w:rsid w:val="004B0308"/>
    <w:rsid w:val="004B0317"/>
    <w:rsid w:val="004B0435"/>
    <w:rsid w:val="004B049C"/>
    <w:rsid w:val="004B0577"/>
    <w:rsid w:val="004B0656"/>
    <w:rsid w:val="004B085C"/>
    <w:rsid w:val="004B0891"/>
    <w:rsid w:val="004B0942"/>
    <w:rsid w:val="004B0946"/>
    <w:rsid w:val="004B09EC"/>
    <w:rsid w:val="004B0AB4"/>
    <w:rsid w:val="004B0B5E"/>
    <w:rsid w:val="004B0B98"/>
    <w:rsid w:val="004B0BA7"/>
    <w:rsid w:val="004B0BF3"/>
    <w:rsid w:val="004B0CDF"/>
    <w:rsid w:val="004B0CEF"/>
    <w:rsid w:val="004B0E12"/>
    <w:rsid w:val="004B0E41"/>
    <w:rsid w:val="004B0E8F"/>
    <w:rsid w:val="004B1050"/>
    <w:rsid w:val="004B11E2"/>
    <w:rsid w:val="004B12BE"/>
    <w:rsid w:val="004B1400"/>
    <w:rsid w:val="004B1415"/>
    <w:rsid w:val="004B1542"/>
    <w:rsid w:val="004B1565"/>
    <w:rsid w:val="004B176D"/>
    <w:rsid w:val="004B1E61"/>
    <w:rsid w:val="004B1F9E"/>
    <w:rsid w:val="004B202C"/>
    <w:rsid w:val="004B2032"/>
    <w:rsid w:val="004B2169"/>
    <w:rsid w:val="004B2233"/>
    <w:rsid w:val="004B22A7"/>
    <w:rsid w:val="004B22EB"/>
    <w:rsid w:val="004B23B1"/>
    <w:rsid w:val="004B2544"/>
    <w:rsid w:val="004B26A1"/>
    <w:rsid w:val="004B2731"/>
    <w:rsid w:val="004B27DE"/>
    <w:rsid w:val="004B28F3"/>
    <w:rsid w:val="004B2979"/>
    <w:rsid w:val="004B2A91"/>
    <w:rsid w:val="004B2AA7"/>
    <w:rsid w:val="004B2D2F"/>
    <w:rsid w:val="004B2EAF"/>
    <w:rsid w:val="004B2EBC"/>
    <w:rsid w:val="004B2EC8"/>
    <w:rsid w:val="004B2F08"/>
    <w:rsid w:val="004B2F23"/>
    <w:rsid w:val="004B3055"/>
    <w:rsid w:val="004B306B"/>
    <w:rsid w:val="004B30AA"/>
    <w:rsid w:val="004B30D2"/>
    <w:rsid w:val="004B317E"/>
    <w:rsid w:val="004B319F"/>
    <w:rsid w:val="004B34A3"/>
    <w:rsid w:val="004B34C8"/>
    <w:rsid w:val="004B350A"/>
    <w:rsid w:val="004B3547"/>
    <w:rsid w:val="004B3563"/>
    <w:rsid w:val="004B35D1"/>
    <w:rsid w:val="004B3609"/>
    <w:rsid w:val="004B36D3"/>
    <w:rsid w:val="004B37A3"/>
    <w:rsid w:val="004B3894"/>
    <w:rsid w:val="004B390C"/>
    <w:rsid w:val="004B3A49"/>
    <w:rsid w:val="004B3A51"/>
    <w:rsid w:val="004B3A56"/>
    <w:rsid w:val="004B3B7D"/>
    <w:rsid w:val="004B3C0A"/>
    <w:rsid w:val="004B3C60"/>
    <w:rsid w:val="004B3CEF"/>
    <w:rsid w:val="004B3DC7"/>
    <w:rsid w:val="004B3EDD"/>
    <w:rsid w:val="004B3FAC"/>
    <w:rsid w:val="004B40A0"/>
    <w:rsid w:val="004B40D9"/>
    <w:rsid w:val="004B40EF"/>
    <w:rsid w:val="004B4123"/>
    <w:rsid w:val="004B4179"/>
    <w:rsid w:val="004B4184"/>
    <w:rsid w:val="004B4225"/>
    <w:rsid w:val="004B435C"/>
    <w:rsid w:val="004B4440"/>
    <w:rsid w:val="004B44FB"/>
    <w:rsid w:val="004B4566"/>
    <w:rsid w:val="004B4607"/>
    <w:rsid w:val="004B4780"/>
    <w:rsid w:val="004B4811"/>
    <w:rsid w:val="004B483B"/>
    <w:rsid w:val="004B497A"/>
    <w:rsid w:val="004B4ACD"/>
    <w:rsid w:val="004B4B51"/>
    <w:rsid w:val="004B4B68"/>
    <w:rsid w:val="004B4C05"/>
    <w:rsid w:val="004B4C53"/>
    <w:rsid w:val="004B4CDB"/>
    <w:rsid w:val="004B4F74"/>
    <w:rsid w:val="004B5027"/>
    <w:rsid w:val="004B50F1"/>
    <w:rsid w:val="004B530C"/>
    <w:rsid w:val="004B537D"/>
    <w:rsid w:val="004B5412"/>
    <w:rsid w:val="004B5484"/>
    <w:rsid w:val="004B54B6"/>
    <w:rsid w:val="004B553C"/>
    <w:rsid w:val="004B55CB"/>
    <w:rsid w:val="004B5609"/>
    <w:rsid w:val="004B560F"/>
    <w:rsid w:val="004B5678"/>
    <w:rsid w:val="004B56C0"/>
    <w:rsid w:val="004B57CE"/>
    <w:rsid w:val="004B5981"/>
    <w:rsid w:val="004B5ACA"/>
    <w:rsid w:val="004B5AE2"/>
    <w:rsid w:val="004B5B65"/>
    <w:rsid w:val="004B5BC1"/>
    <w:rsid w:val="004B5CD1"/>
    <w:rsid w:val="004B5D5F"/>
    <w:rsid w:val="004B5DE7"/>
    <w:rsid w:val="004B61B3"/>
    <w:rsid w:val="004B6206"/>
    <w:rsid w:val="004B6451"/>
    <w:rsid w:val="004B6655"/>
    <w:rsid w:val="004B6755"/>
    <w:rsid w:val="004B67AB"/>
    <w:rsid w:val="004B67FF"/>
    <w:rsid w:val="004B68D1"/>
    <w:rsid w:val="004B691A"/>
    <w:rsid w:val="004B69E8"/>
    <w:rsid w:val="004B6AF6"/>
    <w:rsid w:val="004B6B72"/>
    <w:rsid w:val="004B6CF4"/>
    <w:rsid w:val="004B6DD5"/>
    <w:rsid w:val="004B6DE4"/>
    <w:rsid w:val="004B6E2C"/>
    <w:rsid w:val="004B6F0B"/>
    <w:rsid w:val="004B6FD3"/>
    <w:rsid w:val="004B70AD"/>
    <w:rsid w:val="004B7211"/>
    <w:rsid w:val="004B7268"/>
    <w:rsid w:val="004B734D"/>
    <w:rsid w:val="004B749F"/>
    <w:rsid w:val="004B7555"/>
    <w:rsid w:val="004B75B8"/>
    <w:rsid w:val="004B75C7"/>
    <w:rsid w:val="004B77DF"/>
    <w:rsid w:val="004B7849"/>
    <w:rsid w:val="004B78A6"/>
    <w:rsid w:val="004B79BF"/>
    <w:rsid w:val="004B7A70"/>
    <w:rsid w:val="004B7BCD"/>
    <w:rsid w:val="004B7CD0"/>
    <w:rsid w:val="004B7EAC"/>
    <w:rsid w:val="004B87D9"/>
    <w:rsid w:val="004C0080"/>
    <w:rsid w:val="004C00A5"/>
    <w:rsid w:val="004C0122"/>
    <w:rsid w:val="004C0402"/>
    <w:rsid w:val="004C062E"/>
    <w:rsid w:val="004C0815"/>
    <w:rsid w:val="004C0989"/>
    <w:rsid w:val="004C0C54"/>
    <w:rsid w:val="004C0C7E"/>
    <w:rsid w:val="004C0D89"/>
    <w:rsid w:val="004C0FEB"/>
    <w:rsid w:val="004C1041"/>
    <w:rsid w:val="004C1151"/>
    <w:rsid w:val="004C1190"/>
    <w:rsid w:val="004C11A4"/>
    <w:rsid w:val="004C11CB"/>
    <w:rsid w:val="004C1333"/>
    <w:rsid w:val="004C1345"/>
    <w:rsid w:val="004C14CF"/>
    <w:rsid w:val="004C1860"/>
    <w:rsid w:val="004C188B"/>
    <w:rsid w:val="004C18CB"/>
    <w:rsid w:val="004C19C3"/>
    <w:rsid w:val="004C1A26"/>
    <w:rsid w:val="004C1A36"/>
    <w:rsid w:val="004C1ADD"/>
    <w:rsid w:val="004C1BC9"/>
    <w:rsid w:val="004C1BDA"/>
    <w:rsid w:val="004C1C11"/>
    <w:rsid w:val="004C1C4E"/>
    <w:rsid w:val="004C1CB1"/>
    <w:rsid w:val="004C1DA6"/>
    <w:rsid w:val="004C1E07"/>
    <w:rsid w:val="004C1E7F"/>
    <w:rsid w:val="004C201B"/>
    <w:rsid w:val="004C2032"/>
    <w:rsid w:val="004C20C0"/>
    <w:rsid w:val="004C210B"/>
    <w:rsid w:val="004C2133"/>
    <w:rsid w:val="004C2191"/>
    <w:rsid w:val="004C231F"/>
    <w:rsid w:val="004C2348"/>
    <w:rsid w:val="004C2417"/>
    <w:rsid w:val="004C2773"/>
    <w:rsid w:val="004C27A3"/>
    <w:rsid w:val="004C28F1"/>
    <w:rsid w:val="004C2948"/>
    <w:rsid w:val="004C2A31"/>
    <w:rsid w:val="004C2A32"/>
    <w:rsid w:val="004C2AE1"/>
    <w:rsid w:val="004C2B3D"/>
    <w:rsid w:val="004C302B"/>
    <w:rsid w:val="004C3073"/>
    <w:rsid w:val="004C30CA"/>
    <w:rsid w:val="004C3131"/>
    <w:rsid w:val="004C32C2"/>
    <w:rsid w:val="004C32F7"/>
    <w:rsid w:val="004C3385"/>
    <w:rsid w:val="004C34A1"/>
    <w:rsid w:val="004C34A6"/>
    <w:rsid w:val="004C36EC"/>
    <w:rsid w:val="004C37E5"/>
    <w:rsid w:val="004C39CA"/>
    <w:rsid w:val="004C39FE"/>
    <w:rsid w:val="004C3A01"/>
    <w:rsid w:val="004C3A99"/>
    <w:rsid w:val="004C3B20"/>
    <w:rsid w:val="004C3D31"/>
    <w:rsid w:val="004C3D38"/>
    <w:rsid w:val="004C3D76"/>
    <w:rsid w:val="004C3E66"/>
    <w:rsid w:val="004C3FDE"/>
    <w:rsid w:val="004C439D"/>
    <w:rsid w:val="004C43DC"/>
    <w:rsid w:val="004C449E"/>
    <w:rsid w:val="004C44E8"/>
    <w:rsid w:val="004C473B"/>
    <w:rsid w:val="004C488D"/>
    <w:rsid w:val="004C4ACB"/>
    <w:rsid w:val="004C4AF7"/>
    <w:rsid w:val="004C4CAB"/>
    <w:rsid w:val="004C4DBE"/>
    <w:rsid w:val="004C4E6E"/>
    <w:rsid w:val="004C4F51"/>
    <w:rsid w:val="004C4F70"/>
    <w:rsid w:val="004C4FF4"/>
    <w:rsid w:val="004C51F0"/>
    <w:rsid w:val="004C5253"/>
    <w:rsid w:val="004C5255"/>
    <w:rsid w:val="004C5269"/>
    <w:rsid w:val="004C52C7"/>
    <w:rsid w:val="004C52CB"/>
    <w:rsid w:val="004C52D3"/>
    <w:rsid w:val="004C5357"/>
    <w:rsid w:val="004C53CD"/>
    <w:rsid w:val="004C5435"/>
    <w:rsid w:val="004C5467"/>
    <w:rsid w:val="004C54BF"/>
    <w:rsid w:val="004C54C2"/>
    <w:rsid w:val="004C5526"/>
    <w:rsid w:val="004C55C3"/>
    <w:rsid w:val="004C5740"/>
    <w:rsid w:val="004C584E"/>
    <w:rsid w:val="004C5A37"/>
    <w:rsid w:val="004C5AF3"/>
    <w:rsid w:val="004C5AF4"/>
    <w:rsid w:val="004C5C7A"/>
    <w:rsid w:val="004C5CBE"/>
    <w:rsid w:val="004C5DCF"/>
    <w:rsid w:val="004C5F86"/>
    <w:rsid w:val="004C605E"/>
    <w:rsid w:val="004C608B"/>
    <w:rsid w:val="004C6328"/>
    <w:rsid w:val="004C6383"/>
    <w:rsid w:val="004C6445"/>
    <w:rsid w:val="004C64B8"/>
    <w:rsid w:val="004C6525"/>
    <w:rsid w:val="004C66C2"/>
    <w:rsid w:val="004C66C5"/>
    <w:rsid w:val="004C6889"/>
    <w:rsid w:val="004C691C"/>
    <w:rsid w:val="004C6947"/>
    <w:rsid w:val="004C6B90"/>
    <w:rsid w:val="004C6BC6"/>
    <w:rsid w:val="004C6C3C"/>
    <w:rsid w:val="004C6E3A"/>
    <w:rsid w:val="004C6FA4"/>
    <w:rsid w:val="004C70A7"/>
    <w:rsid w:val="004C70AC"/>
    <w:rsid w:val="004C7105"/>
    <w:rsid w:val="004C71A3"/>
    <w:rsid w:val="004C71D6"/>
    <w:rsid w:val="004C723D"/>
    <w:rsid w:val="004C7395"/>
    <w:rsid w:val="004C73F1"/>
    <w:rsid w:val="004C7416"/>
    <w:rsid w:val="004C74A3"/>
    <w:rsid w:val="004C752D"/>
    <w:rsid w:val="004C7626"/>
    <w:rsid w:val="004C789D"/>
    <w:rsid w:val="004C78C3"/>
    <w:rsid w:val="004C78DC"/>
    <w:rsid w:val="004C7997"/>
    <w:rsid w:val="004C7AE1"/>
    <w:rsid w:val="004C7B3C"/>
    <w:rsid w:val="004C7B79"/>
    <w:rsid w:val="004C7BF5"/>
    <w:rsid w:val="004C7C45"/>
    <w:rsid w:val="004C7CB8"/>
    <w:rsid w:val="004D009C"/>
    <w:rsid w:val="004D0281"/>
    <w:rsid w:val="004D035B"/>
    <w:rsid w:val="004D03A6"/>
    <w:rsid w:val="004D05F2"/>
    <w:rsid w:val="004D0688"/>
    <w:rsid w:val="004D0798"/>
    <w:rsid w:val="004D07EE"/>
    <w:rsid w:val="004D0877"/>
    <w:rsid w:val="004D0976"/>
    <w:rsid w:val="004D0BD2"/>
    <w:rsid w:val="004D0C00"/>
    <w:rsid w:val="004D0C91"/>
    <w:rsid w:val="004D0D1F"/>
    <w:rsid w:val="004D0F29"/>
    <w:rsid w:val="004D0FC4"/>
    <w:rsid w:val="004D0FE9"/>
    <w:rsid w:val="004D1101"/>
    <w:rsid w:val="004D110A"/>
    <w:rsid w:val="004D1156"/>
    <w:rsid w:val="004D1313"/>
    <w:rsid w:val="004D133F"/>
    <w:rsid w:val="004D143F"/>
    <w:rsid w:val="004D1484"/>
    <w:rsid w:val="004D1542"/>
    <w:rsid w:val="004D1547"/>
    <w:rsid w:val="004D1565"/>
    <w:rsid w:val="004D15E9"/>
    <w:rsid w:val="004D1624"/>
    <w:rsid w:val="004D166E"/>
    <w:rsid w:val="004D1690"/>
    <w:rsid w:val="004D16D1"/>
    <w:rsid w:val="004D1842"/>
    <w:rsid w:val="004D1E74"/>
    <w:rsid w:val="004D1F53"/>
    <w:rsid w:val="004D1FED"/>
    <w:rsid w:val="004D2012"/>
    <w:rsid w:val="004D2238"/>
    <w:rsid w:val="004D2262"/>
    <w:rsid w:val="004D23BA"/>
    <w:rsid w:val="004D2431"/>
    <w:rsid w:val="004D2472"/>
    <w:rsid w:val="004D2483"/>
    <w:rsid w:val="004D2532"/>
    <w:rsid w:val="004D271D"/>
    <w:rsid w:val="004D2788"/>
    <w:rsid w:val="004D278D"/>
    <w:rsid w:val="004D28C7"/>
    <w:rsid w:val="004D28CC"/>
    <w:rsid w:val="004D2A2B"/>
    <w:rsid w:val="004D2B2C"/>
    <w:rsid w:val="004D2B60"/>
    <w:rsid w:val="004D2B6E"/>
    <w:rsid w:val="004D2D9C"/>
    <w:rsid w:val="004D2E7D"/>
    <w:rsid w:val="004D2F6A"/>
    <w:rsid w:val="004D2FA2"/>
    <w:rsid w:val="004D2FFF"/>
    <w:rsid w:val="004D3085"/>
    <w:rsid w:val="004D30BD"/>
    <w:rsid w:val="004D3106"/>
    <w:rsid w:val="004D3440"/>
    <w:rsid w:val="004D3507"/>
    <w:rsid w:val="004D35E7"/>
    <w:rsid w:val="004D361C"/>
    <w:rsid w:val="004D3881"/>
    <w:rsid w:val="004D391C"/>
    <w:rsid w:val="004D3A50"/>
    <w:rsid w:val="004D3A60"/>
    <w:rsid w:val="004D3AC8"/>
    <w:rsid w:val="004D3C83"/>
    <w:rsid w:val="004D3C8B"/>
    <w:rsid w:val="004D3D7E"/>
    <w:rsid w:val="004D3F9F"/>
    <w:rsid w:val="004D403C"/>
    <w:rsid w:val="004D4298"/>
    <w:rsid w:val="004D436F"/>
    <w:rsid w:val="004D4406"/>
    <w:rsid w:val="004D452B"/>
    <w:rsid w:val="004D458C"/>
    <w:rsid w:val="004D46B7"/>
    <w:rsid w:val="004D4717"/>
    <w:rsid w:val="004D47C1"/>
    <w:rsid w:val="004D47E1"/>
    <w:rsid w:val="004D4885"/>
    <w:rsid w:val="004D490C"/>
    <w:rsid w:val="004D498B"/>
    <w:rsid w:val="004D498F"/>
    <w:rsid w:val="004D4AAC"/>
    <w:rsid w:val="004D4C8F"/>
    <w:rsid w:val="004D4E46"/>
    <w:rsid w:val="004D4EB9"/>
    <w:rsid w:val="004D4F19"/>
    <w:rsid w:val="004D5129"/>
    <w:rsid w:val="004D51F7"/>
    <w:rsid w:val="004D51FB"/>
    <w:rsid w:val="004D5234"/>
    <w:rsid w:val="004D541C"/>
    <w:rsid w:val="004D541E"/>
    <w:rsid w:val="004D55BC"/>
    <w:rsid w:val="004D562C"/>
    <w:rsid w:val="004D5704"/>
    <w:rsid w:val="004D5705"/>
    <w:rsid w:val="004D5742"/>
    <w:rsid w:val="004D57C2"/>
    <w:rsid w:val="004D581B"/>
    <w:rsid w:val="004D59C1"/>
    <w:rsid w:val="004D5B98"/>
    <w:rsid w:val="004D5BB5"/>
    <w:rsid w:val="004D5CD8"/>
    <w:rsid w:val="004D5D0D"/>
    <w:rsid w:val="004D5E13"/>
    <w:rsid w:val="004D5EBB"/>
    <w:rsid w:val="004D5FC8"/>
    <w:rsid w:val="004D60EB"/>
    <w:rsid w:val="004D61BF"/>
    <w:rsid w:val="004D6200"/>
    <w:rsid w:val="004D621B"/>
    <w:rsid w:val="004D629D"/>
    <w:rsid w:val="004D630F"/>
    <w:rsid w:val="004D6369"/>
    <w:rsid w:val="004D636C"/>
    <w:rsid w:val="004D63E3"/>
    <w:rsid w:val="004D657B"/>
    <w:rsid w:val="004D672C"/>
    <w:rsid w:val="004D67E2"/>
    <w:rsid w:val="004D69D1"/>
    <w:rsid w:val="004D6B41"/>
    <w:rsid w:val="004D6DB4"/>
    <w:rsid w:val="004D73F4"/>
    <w:rsid w:val="004D75ED"/>
    <w:rsid w:val="004D77A3"/>
    <w:rsid w:val="004D77BB"/>
    <w:rsid w:val="004D77C8"/>
    <w:rsid w:val="004D78BC"/>
    <w:rsid w:val="004D795E"/>
    <w:rsid w:val="004D7D63"/>
    <w:rsid w:val="004D7D8B"/>
    <w:rsid w:val="004D7DE0"/>
    <w:rsid w:val="004D7DF0"/>
    <w:rsid w:val="004D7E48"/>
    <w:rsid w:val="004D7F12"/>
    <w:rsid w:val="004D7F21"/>
    <w:rsid w:val="004E0025"/>
    <w:rsid w:val="004E022F"/>
    <w:rsid w:val="004E028A"/>
    <w:rsid w:val="004E049C"/>
    <w:rsid w:val="004E04A2"/>
    <w:rsid w:val="004E04DB"/>
    <w:rsid w:val="004E055C"/>
    <w:rsid w:val="004E05FE"/>
    <w:rsid w:val="004E06E6"/>
    <w:rsid w:val="004E0727"/>
    <w:rsid w:val="004E0784"/>
    <w:rsid w:val="004E0820"/>
    <w:rsid w:val="004E0938"/>
    <w:rsid w:val="004E0B1B"/>
    <w:rsid w:val="004E0BB1"/>
    <w:rsid w:val="004E0C18"/>
    <w:rsid w:val="004E0DA3"/>
    <w:rsid w:val="004E0ECF"/>
    <w:rsid w:val="004E0F1E"/>
    <w:rsid w:val="004E0FE0"/>
    <w:rsid w:val="004E1395"/>
    <w:rsid w:val="004E14EF"/>
    <w:rsid w:val="004E153E"/>
    <w:rsid w:val="004E15A0"/>
    <w:rsid w:val="004E1681"/>
    <w:rsid w:val="004E1731"/>
    <w:rsid w:val="004E1CB1"/>
    <w:rsid w:val="004E1DA6"/>
    <w:rsid w:val="004E1EEE"/>
    <w:rsid w:val="004E1F18"/>
    <w:rsid w:val="004E1F65"/>
    <w:rsid w:val="004E1F7A"/>
    <w:rsid w:val="004E20E6"/>
    <w:rsid w:val="004E2135"/>
    <w:rsid w:val="004E2179"/>
    <w:rsid w:val="004E2356"/>
    <w:rsid w:val="004E239C"/>
    <w:rsid w:val="004E23AC"/>
    <w:rsid w:val="004E23C9"/>
    <w:rsid w:val="004E2432"/>
    <w:rsid w:val="004E24F8"/>
    <w:rsid w:val="004E2567"/>
    <w:rsid w:val="004E259A"/>
    <w:rsid w:val="004E25EC"/>
    <w:rsid w:val="004E25F2"/>
    <w:rsid w:val="004E2920"/>
    <w:rsid w:val="004E2ADC"/>
    <w:rsid w:val="004E2C2C"/>
    <w:rsid w:val="004E2D84"/>
    <w:rsid w:val="004E2E46"/>
    <w:rsid w:val="004E2ED6"/>
    <w:rsid w:val="004E2FF3"/>
    <w:rsid w:val="004E3075"/>
    <w:rsid w:val="004E30AE"/>
    <w:rsid w:val="004E319F"/>
    <w:rsid w:val="004E325C"/>
    <w:rsid w:val="004E3497"/>
    <w:rsid w:val="004E34BB"/>
    <w:rsid w:val="004E34E6"/>
    <w:rsid w:val="004E3849"/>
    <w:rsid w:val="004E3935"/>
    <w:rsid w:val="004E39F6"/>
    <w:rsid w:val="004E3BF1"/>
    <w:rsid w:val="004E3C77"/>
    <w:rsid w:val="004E3C84"/>
    <w:rsid w:val="004E3DB3"/>
    <w:rsid w:val="004E3FCF"/>
    <w:rsid w:val="004E4042"/>
    <w:rsid w:val="004E4150"/>
    <w:rsid w:val="004E41A8"/>
    <w:rsid w:val="004E432C"/>
    <w:rsid w:val="004E43CC"/>
    <w:rsid w:val="004E43FC"/>
    <w:rsid w:val="004E45E2"/>
    <w:rsid w:val="004E46D2"/>
    <w:rsid w:val="004E46D3"/>
    <w:rsid w:val="004E47F1"/>
    <w:rsid w:val="004E481D"/>
    <w:rsid w:val="004E4835"/>
    <w:rsid w:val="004E48BD"/>
    <w:rsid w:val="004E48EA"/>
    <w:rsid w:val="004E4950"/>
    <w:rsid w:val="004E4BBC"/>
    <w:rsid w:val="004E4C3E"/>
    <w:rsid w:val="004E4CC3"/>
    <w:rsid w:val="004E4D33"/>
    <w:rsid w:val="004E4D88"/>
    <w:rsid w:val="004E4E31"/>
    <w:rsid w:val="004E4F48"/>
    <w:rsid w:val="004E502C"/>
    <w:rsid w:val="004E5219"/>
    <w:rsid w:val="004E52ED"/>
    <w:rsid w:val="004E53C3"/>
    <w:rsid w:val="004E5767"/>
    <w:rsid w:val="004E5848"/>
    <w:rsid w:val="004E59CD"/>
    <w:rsid w:val="004E5A3B"/>
    <w:rsid w:val="004E5B81"/>
    <w:rsid w:val="004E5BB6"/>
    <w:rsid w:val="004E5C83"/>
    <w:rsid w:val="004E5ECC"/>
    <w:rsid w:val="004E5EF6"/>
    <w:rsid w:val="004E5F7E"/>
    <w:rsid w:val="004E603A"/>
    <w:rsid w:val="004E609E"/>
    <w:rsid w:val="004E60EC"/>
    <w:rsid w:val="004E6139"/>
    <w:rsid w:val="004E6225"/>
    <w:rsid w:val="004E6243"/>
    <w:rsid w:val="004E637D"/>
    <w:rsid w:val="004E6436"/>
    <w:rsid w:val="004E643F"/>
    <w:rsid w:val="004E6478"/>
    <w:rsid w:val="004E654E"/>
    <w:rsid w:val="004E6550"/>
    <w:rsid w:val="004E66F9"/>
    <w:rsid w:val="004E67C6"/>
    <w:rsid w:val="004E683B"/>
    <w:rsid w:val="004E68F6"/>
    <w:rsid w:val="004E69B8"/>
    <w:rsid w:val="004E6A73"/>
    <w:rsid w:val="004E6B0E"/>
    <w:rsid w:val="004E6B2B"/>
    <w:rsid w:val="004E6B90"/>
    <w:rsid w:val="004E6D2F"/>
    <w:rsid w:val="004E6E77"/>
    <w:rsid w:val="004E6E99"/>
    <w:rsid w:val="004E6ED5"/>
    <w:rsid w:val="004E6F60"/>
    <w:rsid w:val="004E6F9B"/>
    <w:rsid w:val="004E760F"/>
    <w:rsid w:val="004E7709"/>
    <w:rsid w:val="004E789D"/>
    <w:rsid w:val="004E78AF"/>
    <w:rsid w:val="004E78EA"/>
    <w:rsid w:val="004E7A29"/>
    <w:rsid w:val="004E7A7F"/>
    <w:rsid w:val="004E7AED"/>
    <w:rsid w:val="004E7BD9"/>
    <w:rsid w:val="004E7C32"/>
    <w:rsid w:val="004E7EF5"/>
    <w:rsid w:val="004E7F25"/>
    <w:rsid w:val="004E7F73"/>
    <w:rsid w:val="004F0012"/>
    <w:rsid w:val="004F0077"/>
    <w:rsid w:val="004F0109"/>
    <w:rsid w:val="004F0416"/>
    <w:rsid w:val="004F0559"/>
    <w:rsid w:val="004F0616"/>
    <w:rsid w:val="004F06B6"/>
    <w:rsid w:val="004F0850"/>
    <w:rsid w:val="004F0883"/>
    <w:rsid w:val="004F0906"/>
    <w:rsid w:val="004F097A"/>
    <w:rsid w:val="004F0B82"/>
    <w:rsid w:val="004F0BEF"/>
    <w:rsid w:val="004F0BF6"/>
    <w:rsid w:val="004F0C0B"/>
    <w:rsid w:val="004F0F54"/>
    <w:rsid w:val="004F1074"/>
    <w:rsid w:val="004F10CF"/>
    <w:rsid w:val="004F12D9"/>
    <w:rsid w:val="004F12E9"/>
    <w:rsid w:val="004F14F7"/>
    <w:rsid w:val="004F152A"/>
    <w:rsid w:val="004F155A"/>
    <w:rsid w:val="004F15B8"/>
    <w:rsid w:val="004F1871"/>
    <w:rsid w:val="004F1B29"/>
    <w:rsid w:val="004F1BDD"/>
    <w:rsid w:val="004F1D95"/>
    <w:rsid w:val="004F1F08"/>
    <w:rsid w:val="004F1F60"/>
    <w:rsid w:val="004F2086"/>
    <w:rsid w:val="004F20BB"/>
    <w:rsid w:val="004F20C9"/>
    <w:rsid w:val="004F227C"/>
    <w:rsid w:val="004F2468"/>
    <w:rsid w:val="004F246B"/>
    <w:rsid w:val="004F2474"/>
    <w:rsid w:val="004F24AA"/>
    <w:rsid w:val="004F24BC"/>
    <w:rsid w:val="004F2573"/>
    <w:rsid w:val="004F277D"/>
    <w:rsid w:val="004F28BA"/>
    <w:rsid w:val="004F293B"/>
    <w:rsid w:val="004F296A"/>
    <w:rsid w:val="004F29E7"/>
    <w:rsid w:val="004F2A41"/>
    <w:rsid w:val="004F2C03"/>
    <w:rsid w:val="004F2C20"/>
    <w:rsid w:val="004F2CEF"/>
    <w:rsid w:val="004F2CF8"/>
    <w:rsid w:val="004F2DF2"/>
    <w:rsid w:val="004F3038"/>
    <w:rsid w:val="004F30CE"/>
    <w:rsid w:val="004F31C1"/>
    <w:rsid w:val="004F33A7"/>
    <w:rsid w:val="004F3440"/>
    <w:rsid w:val="004F3461"/>
    <w:rsid w:val="004F36B5"/>
    <w:rsid w:val="004F3731"/>
    <w:rsid w:val="004F3786"/>
    <w:rsid w:val="004F3865"/>
    <w:rsid w:val="004F39C8"/>
    <w:rsid w:val="004F39F3"/>
    <w:rsid w:val="004F3B02"/>
    <w:rsid w:val="004F3B14"/>
    <w:rsid w:val="004F3BEE"/>
    <w:rsid w:val="004F3C36"/>
    <w:rsid w:val="004F3CF9"/>
    <w:rsid w:val="004F3DCC"/>
    <w:rsid w:val="004F3DDD"/>
    <w:rsid w:val="004F3E67"/>
    <w:rsid w:val="004F3EB6"/>
    <w:rsid w:val="004F3EB9"/>
    <w:rsid w:val="004F3ECD"/>
    <w:rsid w:val="004F3F99"/>
    <w:rsid w:val="004F3FA2"/>
    <w:rsid w:val="004F40D1"/>
    <w:rsid w:val="004F412C"/>
    <w:rsid w:val="004F414D"/>
    <w:rsid w:val="004F41FA"/>
    <w:rsid w:val="004F4337"/>
    <w:rsid w:val="004F4390"/>
    <w:rsid w:val="004F4391"/>
    <w:rsid w:val="004F4633"/>
    <w:rsid w:val="004F46A3"/>
    <w:rsid w:val="004F478F"/>
    <w:rsid w:val="004F47C1"/>
    <w:rsid w:val="004F47D0"/>
    <w:rsid w:val="004F488A"/>
    <w:rsid w:val="004F49F2"/>
    <w:rsid w:val="004F4A02"/>
    <w:rsid w:val="004F4AFF"/>
    <w:rsid w:val="004F4C14"/>
    <w:rsid w:val="004F4C67"/>
    <w:rsid w:val="004F4E08"/>
    <w:rsid w:val="004F4EA7"/>
    <w:rsid w:val="004F4F25"/>
    <w:rsid w:val="004F52D6"/>
    <w:rsid w:val="004F5456"/>
    <w:rsid w:val="004F548D"/>
    <w:rsid w:val="004F5557"/>
    <w:rsid w:val="004F55E6"/>
    <w:rsid w:val="004F5613"/>
    <w:rsid w:val="004F5663"/>
    <w:rsid w:val="004F576B"/>
    <w:rsid w:val="004F5818"/>
    <w:rsid w:val="004F5864"/>
    <w:rsid w:val="004F5891"/>
    <w:rsid w:val="004F58F2"/>
    <w:rsid w:val="004F5916"/>
    <w:rsid w:val="004F59D6"/>
    <w:rsid w:val="004F5AF9"/>
    <w:rsid w:val="004F5C39"/>
    <w:rsid w:val="004F5CCF"/>
    <w:rsid w:val="004F5DD6"/>
    <w:rsid w:val="004F5DED"/>
    <w:rsid w:val="004F5E7A"/>
    <w:rsid w:val="004F5EC0"/>
    <w:rsid w:val="004F603C"/>
    <w:rsid w:val="004F60DD"/>
    <w:rsid w:val="004F616B"/>
    <w:rsid w:val="004F6262"/>
    <w:rsid w:val="004F62AE"/>
    <w:rsid w:val="004F6312"/>
    <w:rsid w:val="004F6689"/>
    <w:rsid w:val="004F66A2"/>
    <w:rsid w:val="004F6728"/>
    <w:rsid w:val="004F6834"/>
    <w:rsid w:val="004F6970"/>
    <w:rsid w:val="004F6C23"/>
    <w:rsid w:val="004F6D99"/>
    <w:rsid w:val="004F6E66"/>
    <w:rsid w:val="004F6F62"/>
    <w:rsid w:val="004F7075"/>
    <w:rsid w:val="004F72C7"/>
    <w:rsid w:val="004F738B"/>
    <w:rsid w:val="004F73B9"/>
    <w:rsid w:val="004F7659"/>
    <w:rsid w:val="004F78F6"/>
    <w:rsid w:val="004F7B07"/>
    <w:rsid w:val="004F7E62"/>
    <w:rsid w:val="004F7FE5"/>
    <w:rsid w:val="0050008F"/>
    <w:rsid w:val="00500095"/>
    <w:rsid w:val="00500228"/>
    <w:rsid w:val="00500387"/>
    <w:rsid w:val="00500397"/>
    <w:rsid w:val="0050046C"/>
    <w:rsid w:val="005004AD"/>
    <w:rsid w:val="005004EC"/>
    <w:rsid w:val="005006EC"/>
    <w:rsid w:val="00500714"/>
    <w:rsid w:val="005007C6"/>
    <w:rsid w:val="00500809"/>
    <w:rsid w:val="0050088C"/>
    <w:rsid w:val="005008BA"/>
    <w:rsid w:val="005008ED"/>
    <w:rsid w:val="00500A65"/>
    <w:rsid w:val="00500B2E"/>
    <w:rsid w:val="00500CA2"/>
    <w:rsid w:val="00500EAC"/>
    <w:rsid w:val="00501050"/>
    <w:rsid w:val="00501088"/>
    <w:rsid w:val="005011AB"/>
    <w:rsid w:val="00501252"/>
    <w:rsid w:val="00501393"/>
    <w:rsid w:val="005014C3"/>
    <w:rsid w:val="0050158A"/>
    <w:rsid w:val="00501681"/>
    <w:rsid w:val="0050168D"/>
    <w:rsid w:val="005016EC"/>
    <w:rsid w:val="00501894"/>
    <w:rsid w:val="005019B6"/>
    <w:rsid w:val="00501A2C"/>
    <w:rsid w:val="00501B30"/>
    <w:rsid w:val="00501C15"/>
    <w:rsid w:val="00501C1C"/>
    <w:rsid w:val="00501C4C"/>
    <w:rsid w:val="00501D6F"/>
    <w:rsid w:val="00501DDE"/>
    <w:rsid w:val="00501E91"/>
    <w:rsid w:val="00501F71"/>
    <w:rsid w:val="00501FE4"/>
    <w:rsid w:val="00502011"/>
    <w:rsid w:val="005020BA"/>
    <w:rsid w:val="00502134"/>
    <w:rsid w:val="00502262"/>
    <w:rsid w:val="00502437"/>
    <w:rsid w:val="0050243D"/>
    <w:rsid w:val="0050246E"/>
    <w:rsid w:val="00502512"/>
    <w:rsid w:val="00502546"/>
    <w:rsid w:val="0050254A"/>
    <w:rsid w:val="00502605"/>
    <w:rsid w:val="00502665"/>
    <w:rsid w:val="005026F0"/>
    <w:rsid w:val="0050279F"/>
    <w:rsid w:val="00502861"/>
    <w:rsid w:val="0050287A"/>
    <w:rsid w:val="00502928"/>
    <w:rsid w:val="0050299B"/>
    <w:rsid w:val="00502B26"/>
    <w:rsid w:val="00502C8E"/>
    <w:rsid w:val="00502D34"/>
    <w:rsid w:val="00502E2A"/>
    <w:rsid w:val="00502F82"/>
    <w:rsid w:val="00503112"/>
    <w:rsid w:val="00503168"/>
    <w:rsid w:val="00503399"/>
    <w:rsid w:val="005034C2"/>
    <w:rsid w:val="00503629"/>
    <w:rsid w:val="005037BD"/>
    <w:rsid w:val="00503809"/>
    <w:rsid w:val="0050399A"/>
    <w:rsid w:val="00503A12"/>
    <w:rsid w:val="00503AFF"/>
    <w:rsid w:val="00503B8F"/>
    <w:rsid w:val="00503C18"/>
    <w:rsid w:val="00503C9E"/>
    <w:rsid w:val="00503CC1"/>
    <w:rsid w:val="00503D03"/>
    <w:rsid w:val="00503DEC"/>
    <w:rsid w:val="00503FD6"/>
    <w:rsid w:val="00503FFB"/>
    <w:rsid w:val="0050406F"/>
    <w:rsid w:val="00504070"/>
    <w:rsid w:val="0050416A"/>
    <w:rsid w:val="005041EA"/>
    <w:rsid w:val="00504258"/>
    <w:rsid w:val="0050426B"/>
    <w:rsid w:val="0050429B"/>
    <w:rsid w:val="005042B6"/>
    <w:rsid w:val="00504540"/>
    <w:rsid w:val="00504566"/>
    <w:rsid w:val="00504586"/>
    <w:rsid w:val="005045BD"/>
    <w:rsid w:val="00504614"/>
    <w:rsid w:val="00504D80"/>
    <w:rsid w:val="0050529D"/>
    <w:rsid w:val="005055D9"/>
    <w:rsid w:val="0050567E"/>
    <w:rsid w:val="00505831"/>
    <w:rsid w:val="00505862"/>
    <w:rsid w:val="005058B8"/>
    <w:rsid w:val="005058E9"/>
    <w:rsid w:val="00505913"/>
    <w:rsid w:val="0050591A"/>
    <w:rsid w:val="0050596E"/>
    <w:rsid w:val="00505D7E"/>
    <w:rsid w:val="00505DB4"/>
    <w:rsid w:val="00505E42"/>
    <w:rsid w:val="00505EC5"/>
    <w:rsid w:val="00505ED2"/>
    <w:rsid w:val="00505F57"/>
    <w:rsid w:val="00505F7F"/>
    <w:rsid w:val="005060FA"/>
    <w:rsid w:val="005062A8"/>
    <w:rsid w:val="005062D5"/>
    <w:rsid w:val="0050630D"/>
    <w:rsid w:val="0050637A"/>
    <w:rsid w:val="005063DA"/>
    <w:rsid w:val="005064AC"/>
    <w:rsid w:val="0050655B"/>
    <w:rsid w:val="00506589"/>
    <w:rsid w:val="00506701"/>
    <w:rsid w:val="00506719"/>
    <w:rsid w:val="005068B9"/>
    <w:rsid w:val="005068FE"/>
    <w:rsid w:val="00506984"/>
    <w:rsid w:val="00506AE1"/>
    <w:rsid w:val="00506AE4"/>
    <w:rsid w:val="00506B17"/>
    <w:rsid w:val="00506BD4"/>
    <w:rsid w:val="00506C34"/>
    <w:rsid w:val="00506CA8"/>
    <w:rsid w:val="00506EA0"/>
    <w:rsid w:val="0050747A"/>
    <w:rsid w:val="00507549"/>
    <w:rsid w:val="0050759F"/>
    <w:rsid w:val="005075B0"/>
    <w:rsid w:val="00507646"/>
    <w:rsid w:val="0050765A"/>
    <w:rsid w:val="005076E6"/>
    <w:rsid w:val="005078CB"/>
    <w:rsid w:val="00507ADA"/>
    <w:rsid w:val="00507C11"/>
    <w:rsid w:val="00507DB3"/>
    <w:rsid w:val="00507DF5"/>
    <w:rsid w:val="00507ED5"/>
    <w:rsid w:val="00507FED"/>
    <w:rsid w:val="00510028"/>
    <w:rsid w:val="005101BA"/>
    <w:rsid w:val="00510309"/>
    <w:rsid w:val="0051031A"/>
    <w:rsid w:val="005103C6"/>
    <w:rsid w:val="0051056A"/>
    <w:rsid w:val="00510570"/>
    <w:rsid w:val="00510597"/>
    <w:rsid w:val="005105AB"/>
    <w:rsid w:val="005105D7"/>
    <w:rsid w:val="005107B5"/>
    <w:rsid w:val="005107BB"/>
    <w:rsid w:val="00510906"/>
    <w:rsid w:val="005109B6"/>
    <w:rsid w:val="005109DC"/>
    <w:rsid w:val="005109ED"/>
    <w:rsid w:val="00510AA2"/>
    <w:rsid w:val="00510AE6"/>
    <w:rsid w:val="00510B21"/>
    <w:rsid w:val="00510C2B"/>
    <w:rsid w:val="00510C5B"/>
    <w:rsid w:val="00510CB1"/>
    <w:rsid w:val="00510CC0"/>
    <w:rsid w:val="00510DB1"/>
    <w:rsid w:val="0051101B"/>
    <w:rsid w:val="00511073"/>
    <w:rsid w:val="005110E5"/>
    <w:rsid w:val="0051137B"/>
    <w:rsid w:val="005113F3"/>
    <w:rsid w:val="0051143B"/>
    <w:rsid w:val="0051155C"/>
    <w:rsid w:val="00511581"/>
    <w:rsid w:val="0051165A"/>
    <w:rsid w:val="0051168E"/>
    <w:rsid w:val="0051169A"/>
    <w:rsid w:val="005116BF"/>
    <w:rsid w:val="00511815"/>
    <w:rsid w:val="005118AB"/>
    <w:rsid w:val="005118FB"/>
    <w:rsid w:val="00511A76"/>
    <w:rsid w:val="00511AFC"/>
    <w:rsid w:val="00511B31"/>
    <w:rsid w:val="00511B96"/>
    <w:rsid w:val="00511BD3"/>
    <w:rsid w:val="00511C17"/>
    <w:rsid w:val="00511C4E"/>
    <w:rsid w:val="00511C69"/>
    <w:rsid w:val="00511D40"/>
    <w:rsid w:val="00511D75"/>
    <w:rsid w:val="00511DA5"/>
    <w:rsid w:val="00511E52"/>
    <w:rsid w:val="00511F79"/>
    <w:rsid w:val="0051208E"/>
    <w:rsid w:val="0051218C"/>
    <w:rsid w:val="0051232A"/>
    <w:rsid w:val="00512407"/>
    <w:rsid w:val="0051256C"/>
    <w:rsid w:val="00512636"/>
    <w:rsid w:val="00512811"/>
    <w:rsid w:val="00512913"/>
    <w:rsid w:val="00512931"/>
    <w:rsid w:val="00512A5B"/>
    <w:rsid w:val="00512BA2"/>
    <w:rsid w:val="00512CCB"/>
    <w:rsid w:val="00512F6E"/>
    <w:rsid w:val="00513000"/>
    <w:rsid w:val="00513136"/>
    <w:rsid w:val="00513192"/>
    <w:rsid w:val="005131A1"/>
    <w:rsid w:val="005131BF"/>
    <w:rsid w:val="005131C4"/>
    <w:rsid w:val="0051320F"/>
    <w:rsid w:val="0051329D"/>
    <w:rsid w:val="0051337E"/>
    <w:rsid w:val="005133E4"/>
    <w:rsid w:val="005134DE"/>
    <w:rsid w:val="005135BB"/>
    <w:rsid w:val="005135FC"/>
    <w:rsid w:val="0051368C"/>
    <w:rsid w:val="00513849"/>
    <w:rsid w:val="00513850"/>
    <w:rsid w:val="00513915"/>
    <w:rsid w:val="005139BA"/>
    <w:rsid w:val="00513ADC"/>
    <w:rsid w:val="00513C77"/>
    <w:rsid w:val="00513DEF"/>
    <w:rsid w:val="00513ED3"/>
    <w:rsid w:val="00513FBE"/>
    <w:rsid w:val="00514158"/>
    <w:rsid w:val="005142DD"/>
    <w:rsid w:val="005143F2"/>
    <w:rsid w:val="005144A4"/>
    <w:rsid w:val="005144E0"/>
    <w:rsid w:val="005144E7"/>
    <w:rsid w:val="00514661"/>
    <w:rsid w:val="005147D4"/>
    <w:rsid w:val="00514826"/>
    <w:rsid w:val="00514836"/>
    <w:rsid w:val="00514839"/>
    <w:rsid w:val="00514964"/>
    <w:rsid w:val="00514A90"/>
    <w:rsid w:val="00514DF5"/>
    <w:rsid w:val="00514E1E"/>
    <w:rsid w:val="00514E63"/>
    <w:rsid w:val="00514EAE"/>
    <w:rsid w:val="005150A6"/>
    <w:rsid w:val="005150C4"/>
    <w:rsid w:val="00515106"/>
    <w:rsid w:val="00515142"/>
    <w:rsid w:val="0051526E"/>
    <w:rsid w:val="0051543A"/>
    <w:rsid w:val="0051550A"/>
    <w:rsid w:val="00515584"/>
    <w:rsid w:val="0051561B"/>
    <w:rsid w:val="00515628"/>
    <w:rsid w:val="0051569C"/>
    <w:rsid w:val="005156BE"/>
    <w:rsid w:val="0051591A"/>
    <w:rsid w:val="00515935"/>
    <w:rsid w:val="005159BC"/>
    <w:rsid w:val="00515A7C"/>
    <w:rsid w:val="00515AC1"/>
    <w:rsid w:val="00515D56"/>
    <w:rsid w:val="00515E7B"/>
    <w:rsid w:val="00515E9F"/>
    <w:rsid w:val="00515F0A"/>
    <w:rsid w:val="00515F15"/>
    <w:rsid w:val="005161F4"/>
    <w:rsid w:val="005164B0"/>
    <w:rsid w:val="005165E4"/>
    <w:rsid w:val="005167CF"/>
    <w:rsid w:val="00516865"/>
    <w:rsid w:val="0051697D"/>
    <w:rsid w:val="00516A1E"/>
    <w:rsid w:val="00516BA5"/>
    <w:rsid w:val="00516C91"/>
    <w:rsid w:val="00516CD0"/>
    <w:rsid w:val="00516D16"/>
    <w:rsid w:val="00516E4D"/>
    <w:rsid w:val="00516EB7"/>
    <w:rsid w:val="0051705F"/>
    <w:rsid w:val="00517203"/>
    <w:rsid w:val="0051720A"/>
    <w:rsid w:val="005172E6"/>
    <w:rsid w:val="00517453"/>
    <w:rsid w:val="005176A2"/>
    <w:rsid w:val="005176BA"/>
    <w:rsid w:val="0051776D"/>
    <w:rsid w:val="00517AFE"/>
    <w:rsid w:val="00517BDF"/>
    <w:rsid w:val="00517C7C"/>
    <w:rsid w:val="00517D27"/>
    <w:rsid w:val="00517DE0"/>
    <w:rsid w:val="00517DF0"/>
    <w:rsid w:val="00517F95"/>
    <w:rsid w:val="00520010"/>
    <w:rsid w:val="00520389"/>
    <w:rsid w:val="00520417"/>
    <w:rsid w:val="0052046C"/>
    <w:rsid w:val="00520571"/>
    <w:rsid w:val="005205AC"/>
    <w:rsid w:val="00520648"/>
    <w:rsid w:val="0052070F"/>
    <w:rsid w:val="00520793"/>
    <w:rsid w:val="005207D4"/>
    <w:rsid w:val="00520836"/>
    <w:rsid w:val="0052097D"/>
    <w:rsid w:val="005209FD"/>
    <w:rsid w:val="00520BBA"/>
    <w:rsid w:val="00520C6F"/>
    <w:rsid w:val="00520D74"/>
    <w:rsid w:val="00520F6D"/>
    <w:rsid w:val="0052125D"/>
    <w:rsid w:val="00521380"/>
    <w:rsid w:val="005213A7"/>
    <w:rsid w:val="0052152F"/>
    <w:rsid w:val="00521585"/>
    <w:rsid w:val="005215A4"/>
    <w:rsid w:val="00521835"/>
    <w:rsid w:val="00521907"/>
    <w:rsid w:val="00521986"/>
    <w:rsid w:val="005219CE"/>
    <w:rsid w:val="00521BD8"/>
    <w:rsid w:val="00521C10"/>
    <w:rsid w:val="00521C8A"/>
    <w:rsid w:val="00521CBC"/>
    <w:rsid w:val="00521CDD"/>
    <w:rsid w:val="00521D3C"/>
    <w:rsid w:val="00521D3D"/>
    <w:rsid w:val="00521DB6"/>
    <w:rsid w:val="00521E0B"/>
    <w:rsid w:val="00521F3A"/>
    <w:rsid w:val="00522016"/>
    <w:rsid w:val="00522317"/>
    <w:rsid w:val="005224AF"/>
    <w:rsid w:val="005224ED"/>
    <w:rsid w:val="005225F8"/>
    <w:rsid w:val="00522916"/>
    <w:rsid w:val="005229CA"/>
    <w:rsid w:val="00522B5C"/>
    <w:rsid w:val="00522CEA"/>
    <w:rsid w:val="00522D5C"/>
    <w:rsid w:val="00522D9F"/>
    <w:rsid w:val="00522DA5"/>
    <w:rsid w:val="00522DA7"/>
    <w:rsid w:val="00522E60"/>
    <w:rsid w:val="00522F6E"/>
    <w:rsid w:val="00522FA0"/>
    <w:rsid w:val="0052322A"/>
    <w:rsid w:val="00523230"/>
    <w:rsid w:val="0052326E"/>
    <w:rsid w:val="0052340C"/>
    <w:rsid w:val="005234D7"/>
    <w:rsid w:val="00523517"/>
    <w:rsid w:val="005235D6"/>
    <w:rsid w:val="00523609"/>
    <w:rsid w:val="0052366D"/>
    <w:rsid w:val="005237A4"/>
    <w:rsid w:val="005238FA"/>
    <w:rsid w:val="0052399A"/>
    <w:rsid w:val="005239AA"/>
    <w:rsid w:val="005239C8"/>
    <w:rsid w:val="00523A4B"/>
    <w:rsid w:val="00523DB6"/>
    <w:rsid w:val="00523DC9"/>
    <w:rsid w:val="00523E25"/>
    <w:rsid w:val="00523F94"/>
    <w:rsid w:val="005242CC"/>
    <w:rsid w:val="00524509"/>
    <w:rsid w:val="00524534"/>
    <w:rsid w:val="0052463D"/>
    <w:rsid w:val="005246A9"/>
    <w:rsid w:val="00524B11"/>
    <w:rsid w:val="00524B5C"/>
    <w:rsid w:val="00524BBD"/>
    <w:rsid w:val="00524CB7"/>
    <w:rsid w:val="00524D8C"/>
    <w:rsid w:val="00524E1C"/>
    <w:rsid w:val="00524E52"/>
    <w:rsid w:val="0052515C"/>
    <w:rsid w:val="00525193"/>
    <w:rsid w:val="005253D8"/>
    <w:rsid w:val="0052562B"/>
    <w:rsid w:val="00525640"/>
    <w:rsid w:val="0052565C"/>
    <w:rsid w:val="005257EE"/>
    <w:rsid w:val="00525855"/>
    <w:rsid w:val="005259EF"/>
    <w:rsid w:val="00525A8F"/>
    <w:rsid w:val="00525AC3"/>
    <w:rsid w:val="00525B9D"/>
    <w:rsid w:val="00525C62"/>
    <w:rsid w:val="00525D59"/>
    <w:rsid w:val="00525DEF"/>
    <w:rsid w:val="00525FAF"/>
    <w:rsid w:val="0052608D"/>
    <w:rsid w:val="00526115"/>
    <w:rsid w:val="0052614B"/>
    <w:rsid w:val="005263DE"/>
    <w:rsid w:val="005263F9"/>
    <w:rsid w:val="0052648F"/>
    <w:rsid w:val="0052650D"/>
    <w:rsid w:val="00526565"/>
    <w:rsid w:val="0052659A"/>
    <w:rsid w:val="005265E5"/>
    <w:rsid w:val="00526776"/>
    <w:rsid w:val="00526991"/>
    <w:rsid w:val="00526A55"/>
    <w:rsid w:val="00526D9B"/>
    <w:rsid w:val="00526DF7"/>
    <w:rsid w:val="00526E7C"/>
    <w:rsid w:val="00526FA4"/>
    <w:rsid w:val="0052721B"/>
    <w:rsid w:val="0052722E"/>
    <w:rsid w:val="0052727B"/>
    <w:rsid w:val="005273F7"/>
    <w:rsid w:val="005274E7"/>
    <w:rsid w:val="005275A4"/>
    <w:rsid w:val="005277FF"/>
    <w:rsid w:val="00527906"/>
    <w:rsid w:val="005279DD"/>
    <w:rsid w:val="00527B37"/>
    <w:rsid w:val="00527B4E"/>
    <w:rsid w:val="00527CAD"/>
    <w:rsid w:val="00527D54"/>
    <w:rsid w:val="00527F73"/>
    <w:rsid w:val="005300C5"/>
    <w:rsid w:val="005300D0"/>
    <w:rsid w:val="005301CA"/>
    <w:rsid w:val="0053033E"/>
    <w:rsid w:val="00530441"/>
    <w:rsid w:val="0053049E"/>
    <w:rsid w:val="005304BA"/>
    <w:rsid w:val="0053092D"/>
    <w:rsid w:val="00530B51"/>
    <w:rsid w:val="00530C75"/>
    <w:rsid w:val="00530D07"/>
    <w:rsid w:val="00530DA7"/>
    <w:rsid w:val="00530E9F"/>
    <w:rsid w:val="00531174"/>
    <w:rsid w:val="005311C3"/>
    <w:rsid w:val="005311DD"/>
    <w:rsid w:val="0053136A"/>
    <w:rsid w:val="00531527"/>
    <w:rsid w:val="005315D0"/>
    <w:rsid w:val="00531674"/>
    <w:rsid w:val="00531B85"/>
    <w:rsid w:val="00531C1A"/>
    <w:rsid w:val="00531D67"/>
    <w:rsid w:val="00531DFC"/>
    <w:rsid w:val="00531EB8"/>
    <w:rsid w:val="00531ECC"/>
    <w:rsid w:val="00532157"/>
    <w:rsid w:val="00532168"/>
    <w:rsid w:val="00532212"/>
    <w:rsid w:val="005322DD"/>
    <w:rsid w:val="005323F3"/>
    <w:rsid w:val="00532519"/>
    <w:rsid w:val="0053251A"/>
    <w:rsid w:val="00532580"/>
    <w:rsid w:val="005326D1"/>
    <w:rsid w:val="00532752"/>
    <w:rsid w:val="005327FD"/>
    <w:rsid w:val="00532839"/>
    <w:rsid w:val="00532891"/>
    <w:rsid w:val="00532B86"/>
    <w:rsid w:val="00532C81"/>
    <w:rsid w:val="00532EB3"/>
    <w:rsid w:val="00532F02"/>
    <w:rsid w:val="00532F37"/>
    <w:rsid w:val="00533028"/>
    <w:rsid w:val="0053305F"/>
    <w:rsid w:val="005330D1"/>
    <w:rsid w:val="0053318C"/>
    <w:rsid w:val="005332D6"/>
    <w:rsid w:val="00533309"/>
    <w:rsid w:val="005333FA"/>
    <w:rsid w:val="00533422"/>
    <w:rsid w:val="0053344A"/>
    <w:rsid w:val="0053346E"/>
    <w:rsid w:val="0053361F"/>
    <w:rsid w:val="0053366C"/>
    <w:rsid w:val="005338CA"/>
    <w:rsid w:val="005338DF"/>
    <w:rsid w:val="00533AAC"/>
    <w:rsid w:val="00533D18"/>
    <w:rsid w:val="00533D75"/>
    <w:rsid w:val="00533DF0"/>
    <w:rsid w:val="00533EB9"/>
    <w:rsid w:val="00533FE0"/>
    <w:rsid w:val="00534000"/>
    <w:rsid w:val="005341C7"/>
    <w:rsid w:val="00534342"/>
    <w:rsid w:val="00534379"/>
    <w:rsid w:val="005343D8"/>
    <w:rsid w:val="0053440F"/>
    <w:rsid w:val="0053449A"/>
    <w:rsid w:val="0053455C"/>
    <w:rsid w:val="005345A9"/>
    <w:rsid w:val="00534698"/>
    <w:rsid w:val="005346AA"/>
    <w:rsid w:val="00534737"/>
    <w:rsid w:val="00534765"/>
    <w:rsid w:val="00534862"/>
    <w:rsid w:val="005349EC"/>
    <w:rsid w:val="00534A29"/>
    <w:rsid w:val="00534AA6"/>
    <w:rsid w:val="00534BCF"/>
    <w:rsid w:val="00534C6F"/>
    <w:rsid w:val="00534DBF"/>
    <w:rsid w:val="00534E18"/>
    <w:rsid w:val="00534F0F"/>
    <w:rsid w:val="00534F21"/>
    <w:rsid w:val="00535065"/>
    <w:rsid w:val="005350D2"/>
    <w:rsid w:val="005350E0"/>
    <w:rsid w:val="00535164"/>
    <w:rsid w:val="0053533D"/>
    <w:rsid w:val="00535420"/>
    <w:rsid w:val="005355A0"/>
    <w:rsid w:val="005355F2"/>
    <w:rsid w:val="005356F0"/>
    <w:rsid w:val="00535812"/>
    <w:rsid w:val="0053592C"/>
    <w:rsid w:val="0053594D"/>
    <w:rsid w:val="005359B7"/>
    <w:rsid w:val="005359BF"/>
    <w:rsid w:val="00535A1C"/>
    <w:rsid w:val="00535AEC"/>
    <w:rsid w:val="00535BE9"/>
    <w:rsid w:val="00535DD0"/>
    <w:rsid w:val="00535E52"/>
    <w:rsid w:val="00535E95"/>
    <w:rsid w:val="00535E99"/>
    <w:rsid w:val="00535ED3"/>
    <w:rsid w:val="00535EDB"/>
    <w:rsid w:val="00535FC9"/>
    <w:rsid w:val="00536324"/>
    <w:rsid w:val="0053634A"/>
    <w:rsid w:val="00536517"/>
    <w:rsid w:val="0053651B"/>
    <w:rsid w:val="0053663B"/>
    <w:rsid w:val="0053671C"/>
    <w:rsid w:val="005367CC"/>
    <w:rsid w:val="0053682E"/>
    <w:rsid w:val="00536A0D"/>
    <w:rsid w:val="00536A12"/>
    <w:rsid w:val="00536A13"/>
    <w:rsid w:val="00536A16"/>
    <w:rsid w:val="00536A1F"/>
    <w:rsid w:val="00536BCD"/>
    <w:rsid w:val="00536DBC"/>
    <w:rsid w:val="00536DF7"/>
    <w:rsid w:val="00536F3D"/>
    <w:rsid w:val="00536F47"/>
    <w:rsid w:val="00536F63"/>
    <w:rsid w:val="005371ED"/>
    <w:rsid w:val="00537257"/>
    <w:rsid w:val="005372FA"/>
    <w:rsid w:val="0053731B"/>
    <w:rsid w:val="00537322"/>
    <w:rsid w:val="005373C1"/>
    <w:rsid w:val="005373D0"/>
    <w:rsid w:val="00537670"/>
    <w:rsid w:val="0053776F"/>
    <w:rsid w:val="0053786A"/>
    <w:rsid w:val="005378E6"/>
    <w:rsid w:val="00537968"/>
    <w:rsid w:val="00537A91"/>
    <w:rsid w:val="00537ABD"/>
    <w:rsid w:val="00537C69"/>
    <w:rsid w:val="005402BE"/>
    <w:rsid w:val="00540332"/>
    <w:rsid w:val="00540378"/>
    <w:rsid w:val="005403A2"/>
    <w:rsid w:val="0054050F"/>
    <w:rsid w:val="0054051A"/>
    <w:rsid w:val="0054066E"/>
    <w:rsid w:val="0054070E"/>
    <w:rsid w:val="00540779"/>
    <w:rsid w:val="005407B9"/>
    <w:rsid w:val="005407F4"/>
    <w:rsid w:val="00540808"/>
    <w:rsid w:val="0054083C"/>
    <w:rsid w:val="005408EF"/>
    <w:rsid w:val="005409AF"/>
    <w:rsid w:val="00540A7E"/>
    <w:rsid w:val="00540A95"/>
    <w:rsid w:val="00540CAF"/>
    <w:rsid w:val="00540E72"/>
    <w:rsid w:val="00540E8B"/>
    <w:rsid w:val="00540EDB"/>
    <w:rsid w:val="00540FE3"/>
    <w:rsid w:val="0054100A"/>
    <w:rsid w:val="0054117E"/>
    <w:rsid w:val="00541182"/>
    <w:rsid w:val="00541281"/>
    <w:rsid w:val="00541385"/>
    <w:rsid w:val="00541416"/>
    <w:rsid w:val="00541454"/>
    <w:rsid w:val="0054157C"/>
    <w:rsid w:val="00541585"/>
    <w:rsid w:val="005415D6"/>
    <w:rsid w:val="00541727"/>
    <w:rsid w:val="00541867"/>
    <w:rsid w:val="00541904"/>
    <w:rsid w:val="00541920"/>
    <w:rsid w:val="00541944"/>
    <w:rsid w:val="00541AD3"/>
    <w:rsid w:val="00541B7B"/>
    <w:rsid w:val="00541C0F"/>
    <w:rsid w:val="00541D0F"/>
    <w:rsid w:val="00541D4A"/>
    <w:rsid w:val="00541E8A"/>
    <w:rsid w:val="00542163"/>
    <w:rsid w:val="00542187"/>
    <w:rsid w:val="005423AC"/>
    <w:rsid w:val="005423F9"/>
    <w:rsid w:val="0054250D"/>
    <w:rsid w:val="005425F9"/>
    <w:rsid w:val="00542732"/>
    <w:rsid w:val="005427C8"/>
    <w:rsid w:val="00542974"/>
    <w:rsid w:val="00542995"/>
    <w:rsid w:val="005429B8"/>
    <w:rsid w:val="00542A9E"/>
    <w:rsid w:val="00542AE7"/>
    <w:rsid w:val="00542AF6"/>
    <w:rsid w:val="00542BAF"/>
    <w:rsid w:val="00542D0F"/>
    <w:rsid w:val="00542E4C"/>
    <w:rsid w:val="00542F59"/>
    <w:rsid w:val="00543043"/>
    <w:rsid w:val="00543101"/>
    <w:rsid w:val="00543109"/>
    <w:rsid w:val="0054310D"/>
    <w:rsid w:val="005431B7"/>
    <w:rsid w:val="00543355"/>
    <w:rsid w:val="00543423"/>
    <w:rsid w:val="00543589"/>
    <w:rsid w:val="0054360E"/>
    <w:rsid w:val="00543800"/>
    <w:rsid w:val="0054380A"/>
    <w:rsid w:val="0054388A"/>
    <w:rsid w:val="0054392F"/>
    <w:rsid w:val="00543945"/>
    <w:rsid w:val="00543AA6"/>
    <w:rsid w:val="00543AFE"/>
    <w:rsid w:val="00543B37"/>
    <w:rsid w:val="00543B55"/>
    <w:rsid w:val="00543D07"/>
    <w:rsid w:val="00543E13"/>
    <w:rsid w:val="00543F48"/>
    <w:rsid w:val="00543F75"/>
    <w:rsid w:val="00544016"/>
    <w:rsid w:val="005442F1"/>
    <w:rsid w:val="005443DF"/>
    <w:rsid w:val="0054441E"/>
    <w:rsid w:val="005444E2"/>
    <w:rsid w:val="00544531"/>
    <w:rsid w:val="0054459B"/>
    <w:rsid w:val="005446C8"/>
    <w:rsid w:val="005447AE"/>
    <w:rsid w:val="005448F5"/>
    <w:rsid w:val="00544999"/>
    <w:rsid w:val="00544AD5"/>
    <w:rsid w:val="00544B57"/>
    <w:rsid w:val="00544CEA"/>
    <w:rsid w:val="00544D80"/>
    <w:rsid w:val="00544DA3"/>
    <w:rsid w:val="00544DDD"/>
    <w:rsid w:val="00544E1B"/>
    <w:rsid w:val="00544E1E"/>
    <w:rsid w:val="00544E7E"/>
    <w:rsid w:val="00544E84"/>
    <w:rsid w:val="00544EE2"/>
    <w:rsid w:val="00544EF7"/>
    <w:rsid w:val="00544F44"/>
    <w:rsid w:val="00544F69"/>
    <w:rsid w:val="00544F7C"/>
    <w:rsid w:val="00545013"/>
    <w:rsid w:val="00545066"/>
    <w:rsid w:val="005450E9"/>
    <w:rsid w:val="00545199"/>
    <w:rsid w:val="0054519A"/>
    <w:rsid w:val="005452D4"/>
    <w:rsid w:val="00545344"/>
    <w:rsid w:val="0054534E"/>
    <w:rsid w:val="005453EF"/>
    <w:rsid w:val="005453FC"/>
    <w:rsid w:val="005457FF"/>
    <w:rsid w:val="00545814"/>
    <w:rsid w:val="0054589C"/>
    <w:rsid w:val="0054589E"/>
    <w:rsid w:val="00545A55"/>
    <w:rsid w:val="00545BFA"/>
    <w:rsid w:val="00545C8C"/>
    <w:rsid w:val="00545D21"/>
    <w:rsid w:val="00545E1C"/>
    <w:rsid w:val="00545EC1"/>
    <w:rsid w:val="00546172"/>
    <w:rsid w:val="0054632A"/>
    <w:rsid w:val="00546424"/>
    <w:rsid w:val="00546529"/>
    <w:rsid w:val="00546578"/>
    <w:rsid w:val="0054666E"/>
    <w:rsid w:val="00546670"/>
    <w:rsid w:val="005467A4"/>
    <w:rsid w:val="005468B0"/>
    <w:rsid w:val="0054697B"/>
    <w:rsid w:val="00546A22"/>
    <w:rsid w:val="00546AE1"/>
    <w:rsid w:val="00546BD4"/>
    <w:rsid w:val="00546C18"/>
    <w:rsid w:val="00546C53"/>
    <w:rsid w:val="00546D3F"/>
    <w:rsid w:val="00546D99"/>
    <w:rsid w:val="00546E7D"/>
    <w:rsid w:val="00546EB0"/>
    <w:rsid w:val="00546F0D"/>
    <w:rsid w:val="00547199"/>
    <w:rsid w:val="005472CF"/>
    <w:rsid w:val="00547542"/>
    <w:rsid w:val="005475AE"/>
    <w:rsid w:val="00547646"/>
    <w:rsid w:val="0054765A"/>
    <w:rsid w:val="005477F0"/>
    <w:rsid w:val="00547919"/>
    <w:rsid w:val="00547B29"/>
    <w:rsid w:val="00547D13"/>
    <w:rsid w:val="00547E45"/>
    <w:rsid w:val="00550122"/>
    <w:rsid w:val="00550140"/>
    <w:rsid w:val="0055027A"/>
    <w:rsid w:val="00550430"/>
    <w:rsid w:val="0055044A"/>
    <w:rsid w:val="005509A0"/>
    <w:rsid w:val="00550B5B"/>
    <w:rsid w:val="00550D9C"/>
    <w:rsid w:val="00550FAE"/>
    <w:rsid w:val="00551088"/>
    <w:rsid w:val="00551102"/>
    <w:rsid w:val="0055145A"/>
    <w:rsid w:val="0055147B"/>
    <w:rsid w:val="0055156E"/>
    <w:rsid w:val="005515B9"/>
    <w:rsid w:val="0055162B"/>
    <w:rsid w:val="005516C5"/>
    <w:rsid w:val="00551743"/>
    <w:rsid w:val="005517A6"/>
    <w:rsid w:val="0055198B"/>
    <w:rsid w:val="00551E22"/>
    <w:rsid w:val="00551E41"/>
    <w:rsid w:val="00551F9C"/>
    <w:rsid w:val="00551FE7"/>
    <w:rsid w:val="005520D2"/>
    <w:rsid w:val="00552189"/>
    <w:rsid w:val="005523D2"/>
    <w:rsid w:val="00552516"/>
    <w:rsid w:val="0055252F"/>
    <w:rsid w:val="005526C2"/>
    <w:rsid w:val="005526CB"/>
    <w:rsid w:val="005526E9"/>
    <w:rsid w:val="005527F4"/>
    <w:rsid w:val="00552847"/>
    <w:rsid w:val="00552854"/>
    <w:rsid w:val="005528EF"/>
    <w:rsid w:val="00552A4D"/>
    <w:rsid w:val="00552A8B"/>
    <w:rsid w:val="00552DF2"/>
    <w:rsid w:val="00552E06"/>
    <w:rsid w:val="00553077"/>
    <w:rsid w:val="005531A5"/>
    <w:rsid w:val="00553286"/>
    <w:rsid w:val="005532B3"/>
    <w:rsid w:val="005534AD"/>
    <w:rsid w:val="00553681"/>
    <w:rsid w:val="00553703"/>
    <w:rsid w:val="005537E3"/>
    <w:rsid w:val="00553848"/>
    <w:rsid w:val="00553931"/>
    <w:rsid w:val="0055396F"/>
    <w:rsid w:val="0055398F"/>
    <w:rsid w:val="00553A2B"/>
    <w:rsid w:val="00553B2B"/>
    <w:rsid w:val="00553CD0"/>
    <w:rsid w:val="00553DB1"/>
    <w:rsid w:val="00553F21"/>
    <w:rsid w:val="00553F28"/>
    <w:rsid w:val="005540DB"/>
    <w:rsid w:val="00554228"/>
    <w:rsid w:val="00554231"/>
    <w:rsid w:val="00554512"/>
    <w:rsid w:val="00554546"/>
    <w:rsid w:val="0055458D"/>
    <w:rsid w:val="0055496A"/>
    <w:rsid w:val="00554A65"/>
    <w:rsid w:val="00554A80"/>
    <w:rsid w:val="00554C79"/>
    <w:rsid w:val="00554CC9"/>
    <w:rsid w:val="00554D0B"/>
    <w:rsid w:val="00554D3B"/>
    <w:rsid w:val="00554F98"/>
    <w:rsid w:val="005550CA"/>
    <w:rsid w:val="00555262"/>
    <w:rsid w:val="005552F7"/>
    <w:rsid w:val="00555319"/>
    <w:rsid w:val="0055558F"/>
    <w:rsid w:val="005557FE"/>
    <w:rsid w:val="005558AD"/>
    <w:rsid w:val="0055591A"/>
    <w:rsid w:val="00555AEC"/>
    <w:rsid w:val="00555B75"/>
    <w:rsid w:val="00555BA2"/>
    <w:rsid w:val="00555C69"/>
    <w:rsid w:val="00555C8B"/>
    <w:rsid w:val="00555CC3"/>
    <w:rsid w:val="00555F6E"/>
    <w:rsid w:val="00555FA1"/>
    <w:rsid w:val="0055605D"/>
    <w:rsid w:val="005560A4"/>
    <w:rsid w:val="00556126"/>
    <w:rsid w:val="0055613E"/>
    <w:rsid w:val="0055619E"/>
    <w:rsid w:val="005561B4"/>
    <w:rsid w:val="0055620C"/>
    <w:rsid w:val="00556252"/>
    <w:rsid w:val="005562FA"/>
    <w:rsid w:val="005564DD"/>
    <w:rsid w:val="00556553"/>
    <w:rsid w:val="00556688"/>
    <w:rsid w:val="00556689"/>
    <w:rsid w:val="00556701"/>
    <w:rsid w:val="00556728"/>
    <w:rsid w:val="0055684C"/>
    <w:rsid w:val="00556874"/>
    <w:rsid w:val="00556889"/>
    <w:rsid w:val="005568F2"/>
    <w:rsid w:val="00556A2D"/>
    <w:rsid w:val="00556AE4"/>
    <w:rsid w:val="00556B61"/>
    <w:rsid w:val="00556C80"/>
    <w:rsid w:val="00556D4D"/>
    <w:rsid w:val="00556D5D"/>
    <w:rsid w:val="00556E46"/>
    <w:rsid w:val="00556E62"/>
    <w:rsid w:val="00556F4C"/>
    <w:rsid w:val="00556F57"/>
    <w:rsid w:val="0055717A"/>
    <w:rsid w:val="005571F0"/>
    <w:rsid w:val="00557358"/>
    <w:rsid w:val="00557376"/>
    <w:rsid w:val="005575F8"/>
    <w:rsid w:val="005576FA"/>
    <w:rsid w:val="00557744"/>
    <w:rsid w:val="005577F6"/>
    <w:rsid w:val="00557802"/>
    <w:rsid w:val="005578D4"/>
    <w:rsid w:val="00557959"/>
    <w:rsid w:val="005579B5"/>
    <w:rsid w:val="00557AC7"/>
    <w:rsid w:val="00557ACA"/>
    <w:rsid w:val="00557BE1"/>
    <w:rsid w:val="00557CAD"/>
    <w:rsid w:val="00557CB7"/>
    <w:rsid w:val="00557DE7"/>
    <w:rsid w:val="00557E80"/>
    <w:rsid w:val="00557EE6"/>
    <w:rsid w:val="00560239"/>
    <w:rsid w:val="005602AD"/>
    <w:rsid w:val="00560337"/>
    <w:rsid w:val="0056036D"/>
    <w:rsid w:val="005603DC"/>
    <w:rsid w:val="0056051D"/>
    <w:rsid w:val="0056058C"/>
    <w:rsid w:val="00560886"/>
    <w:rsid w:val="005608F2"/>
    <w:rsid w:val="00560C34"/>
    <w:rsid w:val="00560CCB"/>
    <w:rsid w:val="00560D2C"/>
    <w:rsid w:val="00560D91"/>
    <w:rsid w:val="00561183"/>
    <w:rsid w:val="005611FF"/>
    <w:rsid w:val="00561293"/>
    <w:rsid w:val="00561308"/>
    <w:rsid w:val="00561447"/>
    <w:rsid w:val="0056156E"/>
    <w:rsid w:val="0056170A"/>
    <w:rsid w:val="00561757"/>
    <w:rsid w:val="00561835"/>
    <w:rsid w:val="005619CC"/>
    <w:rsid w:val="00561A15"/>
    <w:rsid w:val="00561A1A"/>
    <w:rsid w:val="00561D1D"/>
    <w:rsid w:val="00561DD0"/>
    <w:rsid w:val="00561E72"/>
    <w:rsid w:val="00561EED"/>
    <w:rsid w:val="00561F84"/>
    <w:rsid w:val="00561FA8"/>
    <w:rsid w:val="0056200B"/>
    <w:rsid w:val="00562073"/>
    <w:rsid w:val="005621E0"/>
    <w:rsid w:val="00562221"/>
    <w:rsid w:val="0056234A"/>
    <w:rsid w:val="00562507"/>
    <w:rsid w:val="005627EE"/>
    <w:rsid w:val="00562927"/>
    <w:rsid w:val="0056292D"/>
    <w:rsid w:val="005629D7"/>
    <w:rsid w:val="00562D76"/>
    <w:rsid w:val="00562E56"/>
    <w:rsid w:val="00562FC1"/>
    <w:rsid w:val="00563192"/>
    <w:rsid w:val="005632F3"/>
    <w:rsid w:val="0056355B"/>
    <w:rsid w:val="005635D4"/>
    <w:rsid w:val="005638AD"/>
    <w:rsid w:val="005639D8"/>
    <w:rsid w:val="00563A94"/>
    <w:rsid w:val="00563B40"/>
    <w:rsid w:val="00563C18"/>
    <w:rsid w:val="00563C7D"/>
    <w:rsid w:val="00563D9E"/>
    <w:rsid w:val="00563E17"/>
    <w:rsid w:val="00563ECF"/>
    <w:rsid w:val="00563FE4"/>
    <w:rsid w:val="00563FE9"/>
    <w:rsid w:val="005640F4"/>
    <w:rsid w:val="00564198"/>
    <w:rsid w:val="005641FA"/>
    <w:rsid w:val="00564270"/>
    <w:rsid w:val="005642BE"/>
    <w:rsid w:val="0056434A"/>
    <w:rsid w:val="00564399"/>
    <w:rsid w:val="005643D2"/>
    <w:rsid w:val="00564422"/>
    <w:rsid w:val="0056453E"/>
    <w:rsid w:val="00564806"/>
    <w:rsid w:val="0056480A"/>
    <w:rsid w:val="005648BA"/>
    <w:rsid w:val="005648F2"/>
    <w:rsid w:val="00564938"/>
    <w:rsid w:val="005649B2"/>
    <w:rsid w:val="00564A1A"/>
    <w:rsid w:val="00564ABA"/>
    <w:rsid w:val="00564AE5"/>
    <w:rsid w:val="00564B3F"/>
    <w:rsid w:val="00564C94"/>
    <w:rsid w:val="00564F93"/>
    <w:rsid w:val="00565049"/>
    <w:rsid w:val="005655BC"/>
    <w:rsid w:val="00565811"/>
    <w:rsid w:val="00565A41"/>
    <w:rsid w:val="00565AE9"/>
    <w:rsid w:val="00565BCE"/>
    <w:rsid w:val="00565C21"/>
    <w:rsid w:val="00565C9D"/>
    <w:rsid w:val="00565CA8"/>
    <w:rsid w:val="00565D42"/>
    <w:rsid w:val="00565D99"/>
    <w:rsid w:val="00565E4C"/>
    <w:rsid w:val="00565F2E"/>
    <w:rsid w:val="00566073"/>
    <w:rsid w:val="005660CD"/>
    <w:rsid w:val="005661A8"/>
    <w:rsid w:val="00566246"/>
    <w:rsid w:val="005665F6"/>
    <w:rsid w:val="0056677F"/>
    <w:rsid w:val="005667EF"/>
    <w:rsid w:val="00566A29"/>
    <w:rsid w:val="00566A34"/>
    <w:rsid w:val="00566CF1"/>
    <w:rsid w:val="00566FAF"/>
    <w:rsid w:val="005670BC"/>
    <w:rsid w:val="005670C7"/>
    <w:rsid w:val="00567167"/>
    <w:rsid w:val="00567182"/>
    <w:rsid w:val="005671E9"/>
    <w:rsid w:val="0056722C"/>
    <w:rsid w:val="0056724D"/>
    <w:rsid w:val="005672A8"/>
    <w:rsid w:val="00567334"/>
    <w:rsid w:val="00567415"/>
    <w:rsid w:val="00567478"/>
    <w:rsid w:val="00567549"/>
    <w:rsid w:val="005675B8"/>
    <w:rsid w:val="0056764C"/>
    <w:rsid w:val="00567665"/>
    <w:rsid w:val="005676EC"/>
    <w:rsid w:val="0056771F"/>
    <w:rsid w:val="0056789B"/>
    <w:rsid w:val="005679F8"/>
    <w:rsid w:val="00567B04"/>
    <w:rsid w:val="00567C05"/>
    <w:rsid w:val="00567C5F"/>
    <w:rsid w:val="00567DFB"/>
    <w:rsid w:val="00567F5B"/>
    <w:rsid w:val="00567FF1"/>
    <w:rsid w:val="00570140"/>
    <w:rsid w:val="0057034D"/>
    <w:rsid w:val="0057042A"/>
    <w:rsid w:val="0057048D"/>
    <w:rsid w:val="005704B1"/>
    <w:rsid w:val="0057055C"/>
    <w:rsid w:val="00570636"/>
    <w:rsid w:val="0057063C"/>
    <w:rsid w:val="005706E0"/>
    <w:rsid w:val="00570702"/>
    <w:rsid w:val="0057072B"/>
    <w:rsid w:val="0057089F"/>
    <w:rsid w:val="005708BC"/>
    <w:rsid w:val="00570A98"/>
    <w:rsid w:val="00570B58"/>
    <w:rsid w:val="00570B6C"/>
    <w:rsid w:val="00570C4C"/>
    <w:rsid w:val="00570E1E"/>
    <w:rsid w:val="00570E91"/>
    <w:rsid w:val="00570F23"/>
    <w:rsid w:val="00570FF4"/>
    <w:rsid w:val="00571186"/>
    <w:rsid w:val="005713BB"/>
    <w:rsid w:val="00571571"/>
    <w:rsid w:val="00571648"/>
    <w:rsid w:val="00571744"/>
    <w:rsid w:val="0057174B"/>
    <w:rsid w:val="00571788"/>
    <w:rsid w:val="00571B3B"/>
    <w:rsid w:val="00571BAF"/>
    <w:rsid w:val="00571DB5"/>
    <w:rsid w:val="00571DB7"/>
    <w:rsid w:val="00571E8F"/>
    <w:rsid w:val="00571EAA"/>
    <w:rsid w:val="00571EC5"/>
    <w:rsid w:val="00571EF0"/>
    <w:rsid w:val="00571F46"/>
    <w:rsid w:val="0057211E"/>
    <w:rsid w:val="005722C3"/>
    <w:rsid w:val="005724C6"/>
    <w:rsid w:val="00572801"/>
    <w:rsid w:val="00572818"/>
    <w:rsid w:val="00572829"/>
    <w:rsid w:val="005728EE"/>
    <w:rsid w:val="00572B20"/>
    <w:rsid w:val="00572D07"/>
    <w:rsid w:val="005730DC"/>
    <w:rsid w:val="00573190"/>
    <w:rsid w:val="00573237"/>
    <w:rsid w:val="005732F6"/>
    <w:rsid w:val="005733A2"/>
    <w:rsid w:val="005734B0"/>
    <w:rsid w:val="005734B4"/>
    <w:rsid w:val="00573658"/>
    <w:rsid w:val="0057378B"/>
    <w:rsid w:val="00573807"/>
    <w:rsid w:val="005739F6"/>
    <w:rsid w:val="00573A02"/>
    <w:rsid w:val="00573D2F"/>
    <w:rsid w:val="0057405C"/>
    <w:rsid w:val="0057418A"/>
    <w:rsid w:val="0057433A"/>
    <w:rsid w:val="00574394"/>
    <w:rsid w:val="00574498"/>
    <w:rsid w:val="0057452A"/>
    <w:rsid w:val="00574542"/>
    <w:rsid w:val="00574741"/>
    <w:rsid w:val="00574886"/>
    <w:rsid w:val="005748D2"/>
    <w:rsid w:val="00574ADE"/>
    <w:rsid w:val="00574B26"/>
    <w:rsid w:val="00574BC4"/>
    <w:rsid w:val="00574C28"/>
    <w:rsid w:val="00574CCE"/>
    <w:rsid w:val="00574D3F"/>
    <w:rsid w:val="00574D96"/>
    <w:rsid w:val="00574E94"/>
    <w:rsid w:val="00574FBE"/>
    <w:rsid w:val="005750B6"/>
    <w:rsid w:val="00575150"/>
    <w:rsid w:val="0057515C"/>
    <w:rsid w:val="0057531E"/>
    <w:rsid w:val="005754B2"/>
    <w:rsid w:val="0057576D"/>
    <w:rsid w:val="00575791"/>
    <w:rsid w:val="005757EC"/>
    <w:rsid w:val="00575907"/>
    <w:rsid w:val="00575A07"/>
    <w:rsid w:val="00575BBC"/>
    <w:rsid w:val="00575E0A"/>
    <w:rsid w:val="00575EA0"/>
    <w:rsid w:val="00575FD7"/>
    <w:rsid w:val="00575FE7"/>
    <w:rsid w:val="0057604D"/>
    <w:rsid w:val="0057623E"/>
    <w:rsid w:val="00576408"/>
    <w:rsid w:val="00576441"/>
    <w:rsid w:val="0057657F"/>
    <w:rsid w:val="005766C4"/>
    <w:rsid w:val="00576759"/>
    <w:rsid w:val="0057677D"/>
    <w:rsid w:val="005767BC"/>
    <w:rsid w:val="005767C6"/>
    <w:rsid w:val="00576AC8"/>
    <w:rsid w:val="00576BA1"/>
    <w:rsid w:val="00576CC2"/>
    <w:rsid w:val="00576DF9"/>
    <w:rsid w:val="00576ED6"/>
    <w:rsid w:val="00576EE7"/>
    <w:rsid w:val="00576FE5"/>
    <w:rsid w:val="00577188"/>
    <w:rsid w:val="005771FD"/>
    <w:rsid w:val="00577284"/>
    <w:rsid w:val="005774FB"/>
    <w:rsid w:val="005775E3"/>
    <w:rsid w:val="00577747"/>
    <w:rsid w:val="00577772"/>
    <w:rsid w:val="00577939"/>
    <w:rsid w:val="00577A46"/>
    <w:rsid w:val="00577A76"/>
    <w:rsid w:val="00577F00"/>
    <w:rsid w:val="00577F6D"/>
    <w:rsid w:val="00577FF5"/>
    <w:rsid w:val="0058006D"/>
    <w:rsid w:val="00580115"/>
    <w:rsid w:val="0058022F"/>
    <w:rsid w:val="00580709"/>
    <w:rsid w:val="00580783"/>
    <w:rsid w:val="00580B0C"/>
    <w:rsid w:val="00580B2C"/>
    <w:rsid w:val="00580E11"/>
    <w:rsid w:val="00580E58"/>
    <w:rsid w:val="005810B9"/>
    <w:rsid w:val="0058112D"/>
    <w:rsid w:val="0058113D"/>
    <w:rsid w:val="005811BD"/>
    <w:rsid w:val="00581410"/>
    <w:rsid w:val="00581467"/>
    <w:rsid w:val="0058155A"/>
    <w:rsid w:val="00581630"/>
    <w:rsid w:val="00581759"/>
    <w:rsid w:val="00581960"/>
    <w:rsid w:val="005819A0"/>
    <w:rsid w:val="00581AA7"/>
    <w:rsid w:val="00581B28"/>
    <w:rsid w:val="00581BB3"/>
    <w:rsid w:val="00581C01"/>
    <w:rsid w:val="00581CC9"/>
    <w:rsid w:val="00581E2B"/>
    <w:rsid w:val="00581FC7"/>
    <w:rsid w:val="00581FF7"/>
    <w:rsid w:val="00582039"/>
    <w:rsid w:val="0058204A"/>
    <w:rsid w:val="00582134"/>
    <w:rsid w:val="00582141"/>
    <w:rsid w:val="00582151"/>
    <w:rsid w:val="005821B0"/>
    <w:rsid w:val="00582257"/>
    <w:rsid w:val="005822CD"/>
    <w:rsid w:val="00582406"/>
    <w:rsid w:val="00582505"/>
    <w:rsid w:val="00582515"/>
    <w:rsid w:val="005828CF"/>
    <w:rsid w:val="005829FC"/>
    <w:rsid w:val="00582A7B"/>
    <w:rsid w:val="00582B48"/>
    <w:rsid w:val="00582BD3"/>
    <w:rsid w:val="00582D7C"/>
    <w:rsid w:val="00582F3C"/>
    <w:rsid w:val="00582FC8"/>
    <w:rsid w:val="0058318B"/>
    <w:rsid w:val="005834FA"/>
    <w:rsid w:val="00583591"/>
    <w:rsid w:val="005835CD"/>
    <w:rsid w:val="0058365C"/>
    <w:rsid w:val="005837C9"/>
    <w:rsid w:val="00583897"/>
    <w:rsid w:val="0058390F"/>
    <w:rsid w:val="00583913"/>
    <w:rsid w:val="00583ABD"/>
    <w:rsid w:val="00583CC9"/>
    <w:rsid w:val="00583CF5"/>
    <w:rsid w:val="00583F91"/>
    <w:rsid w:val="0058400A"/>
    <w:rsid w:val="005840A1"/>
    <w:rsid w:val="005840EC"/>
    <w:rsid w:val="00584151"/>
    <w:rsid w:val="00584826"/>
    <w:rsid w:val="00584B89"/>
    <w:rsid w:val="00584B8F"/>
    <w:rsid w:val="00584BAD"/>
    <w:rsid w:val="00584BB2"/>
    <w:rsid w:val="00584BB4"/>
    <w:rsid w:val="00584CF0"/>
    <w:rsid w:val="00584D2D"/>
    <w:rsid w:val="00584D3D"/>
    <w:rsid w:val="00584E19"/>
    <w:rsid w:val="00584EE1"/>
    <w:rsid w:val="0058503B"/>
    <w:rsid w:val="00585058"/>
    <w:rsid w:val="0058505A"/>
    <w:rsid w:val="005850E1"/>
    <w:rsid w:val="005852A1"/>
    <w:rsid w:val="00585351"/>
    <w:rsid w:val="00585489"/>
    <w:rsid w:val="00585568"/>
    <w:rsid w:val="005855D0"/>
    <w:rsid w:val="005856A7"/>
    <w:rsid w:val="00585778"/>
    <w:rsid w:val="00585786"/>
    <w:rsid w:val="005857F1"/>
    <w:rsid w:val="005858FB"/>
    <w:rsid w:val="00585A91"/>
    <w:rsid w:val="00585ACD"/>
    <w:rsid w:val="00585B63"/>
    <w:rsid w:val="00585D2E"/>
    <w:rsid w:val="00585E9B"/>
    <w:rsid w:val="00585FA3"/>
    <w:rsid w:val="00585FE7"/>
    <w:rsid w:val="005860F7"/>
    <w:rsid w:val="0058614D"/>
    <w:rsid w:val="00586213"/>
    <w:rsid w:val="005862E6"/>
    <w:rsid w:val="0058630D"/>
    <w:rsid w:val="0058635B"/>
    <w:rsid w:val="0058645B"/>
    <w:rsid w:val="0058679E"/>
    <w:rsid w:val="00586813"/>
    <w:rsid w:val="00586815"/>
    <w:rsid w:val="00586875"/>
    <w:rsid w:val="00586916"/>
    <w:rsid w:val="00586990"/>
    <w:rsid w:val="005869C3"/>
    <w:rsid w:val="00586AA9"/>
    <w:rsid w:val="00586AC5"/>
    <w:rsid w:val="00586B34"/>
    <w:rsid w:val="00586BCA"/>
    <w:rsid w:val="00586CF0"/>
    <w:rsid w:val="00587069"/>
    <w:rsid w:val="0058713A"/>
    <w:rsid w:val="0058718A"/>
    <w:rsid w:val="00587265"/>
    <w:rsid w:val="0058746F"/>
    <w:rsid w:val="0058760A"/>
    <w:rsid w:val="00587615"/>
    <w:rsid w:val="005876C9"/>
    <w:rsid w:val="005877D9"/>
    <w:rsid w:val="00587858"/>
    <w:rsid w:val="005878FF"/>
    <w:rsid w:val="00587A63"/>
    <w:rsid w:val="00587A9D"/>
    <w:rsid w:val="00587B2D"/>
    <w:rsid w:val="00587CF4"/>
    <w:rsid w:val="00587E84"/>
    <w:rsid w:val="005901E4"/>
    <w:rsid w:val="0059031E"/>
    <w:rsid w:val="005903EA"/>
    <w:rsid w:val="005903F9"/>
    <w:rsid w:val="00590676"/>
    <w:rsid w:val="00590699"/>
    <w:rsid w:val="00590846"/>
    <w:rsid w:val="00590978"/>
    <w:rsid w:val="00590982"/>
    <w:rsid w:val="005909CE"/>
    <w:rsid w:val="00590A81"/>
    <w:rsid w:val="00590AC0"/>
    <w:rsid w:val="00590C24"/>
    <w:rsid w:val="00590C79"/>
    <w:rsid w:val="00590C89"/>
    <w:rsid w:val="00590D3A"/>
    <w:rsid w:val="00590E52"/>
    <w:rsid w:val="00590EFD"/>
    <w:rsid w:val="00590FD9"/>
    <w:rsid w:val="0059112F"/>
    <w:rsid w:val="0059122D"/>
    <w:rsid w:val="00591630"/>
    <w:rsid w:val="00591670"/>
    <w:rsid w:val="00591846"/>
    <w:rsid w:val="0059186B"/>
    <w:rsid w:val="005918E1"/>
    <w:rsid w:val="005919CF"/>
    <w:rsid w:val="00591CB1"/>
    <w:rsid w:val="00591CF8"/>
    <w:rsid w:val="00591CFE"/>
    <w:rsid w:val="00591E3A"/>
    <w:rsid w:val="00591F64"/>
    <w:rsid w:val="00591FC6"/>
    <w:rsid w:val="00592050"/>
    <w:rsid w:val="00592074"/>
    <w:rsid w:val="00592193"/>
    <w:rsid w:val="005921C1"/>
    <w:rsid w:val="005922A6"/>
    <w:rsid w:val="005922AB"/>
    <w:rsid w:val="00592335"/>
    <w:rsid w:val="00592391"/>
    <w:rsid w:val="0059244C"/>
    <w:rsid w:val="00592473"/>
    <w:rsid w:val="0059261C"/>
    <w:rsid w:val="005927A0"/>
    <w:rsid w:val="005928ED"/>
    <w:rsid w:val="00592973"/>
    <w:rsid w:val="005929D5"/>
    <w:rsid w:val="00592A59"/>
    <w:rsid w:val="00592AAF"/>
    <w:rsid w:val="00592B5D"/>
    <w:rsid w:val="00592B68"/>
    <w:rsid w:val="00592D02"/>
    <w:rsid w:val="00592EE4"/>
    <w:rsid w:val="00592F26"/>
    <w:rsid w:val="00592F48"/>
    <w:rsid w:val="0059303F"/>
    <w:rsid w:val="00593092"/>
    <w:rsid w:val="005930A9"/>
    <w:rsid w:val="00593362"/>
    <w:rsid w:val="00593383"/>
    <w:rsid w:val="005933D8"/>
    <w:rsid w:val="00593455"/>
    <w:rsid w:val="005934AF"/>
    <w:rsid w:val="0059351D"/>
    <w:rsid w:val="00593554"/>
    <w:rsid w:val="00593576"/>
    <w:rsid w:val="00593721"/>
    <w:rsid w:val="005937FF"/>
    <w:rsid w:val="00593865"/>
    <w:rsid w:val="005938AA"/>
    <w:rsid w:val="00593933"/>
    <w:rsid w:val="00593B22"/>
    <w:rsid w:val="00593C24"/>
    <w:rsid w:val="00593CA3"/>
    <w:rsid w:val="00593D99"/>
    <w:rsid w:val="00593DB4"/>
    <w:rsid w:val="00593E49"/>
    <w:rsid w:val="00593EC8"/>
    <w:rsid w:val="00593F1B"/>
    <w:rsid w:val="00593F51"/>
    <w:rsid w:val="00594009"/>
    <w:rsid w:val="00594047"/>
    <w:rsid w:val="00594052"/>
    <w:rsid w:val="005940EB"/>
    <w:rsid w:val="00594147"/>
    <w:rsid w:val="005941A5"/>
    <w:rsid w:val="0059426E"/>
    <w:rsid w:val="0059428D"/>
    <w:rsid w:val="005942D5"/>
    <w:rsid w:val="005942EE"/>
    <w:rsid w:val="005942FD"/>
    <w:rsid w:val="0059457A"/>
    <w:rsid w:val="005946CD"/>
    <w:rsid w:val="0059471A"/>
    <w:rsid w:val="00594730"/>
    <w:rsid w:val="00594B45"/>
    <w:rsid w:val="00594B91"/>
    <w:rsid w:val="00594BB7"/>
    <w:rsid w:val="00594BD3"/>
    <w:rsid w:val="00594D1C"/>
    <w:rsid w:val="00594E5A"/>
    <w:rsid w:val="00595111"/>
    <w:rsid w:val="00595168"/>
    <w:rsid w:val="00595174"/>
    <w:rsid w:val="00595180"/>
    <w:rsid w:val="0059523A"/>
    <w:rsid w:val="00595351"/>
    <w:rsid w:val="00595389"/>
    <w:rsid w:val="005953C1"/>
    <w:rsid w:val="0059547E"/>
    <w:rsid w:val="0059549E"/>
    <w:rsid w:val="0059555B"/>
    <w:rsid w:val="00595562"/>
    <w:rsid w:val="00595725"/>
    <w:rsid w:val="00595926"/>
    <w:rsid w:val="00595A82"/>
    <w:rsid w:val="00595B07"/>
    <w:rsid w:val="00595E16"/>
    <w:rsid w:val="00595EDA"/>
    <w:rsid w:val="00595FD6"/>
    <w:rsid w:val="0059607B"/>
    <w:rsid w:val="005961FF"/>
    <w:rsid w:val="005962C3"/>
    <w:rsid w:val="00596472"/>
    <w:rsid w:val="00596496"/>
    <w:rsid w:val="005966DC"/>
    <w:rsid w:val="005966EC"/>
    <w:rsid w:val="00596742"/>
    <w:rsid w:val="00596803"/>
    <w:rsid w:val="00596AC3"/>
    <w:rsid w:val="00596C20"/>
    <w:rsid w:val="00596CC4"/>
    <w:rsid w:val="00596EC9"/>
    <w:rsid w:val="00596EE6"/>
    <w:rsid w:val="00596F34"/>
    <w:rsid w:val="00596FB7"/>
    <w:rsid w:val="00597010"/>
    <w:rsid w:val="005970A9"/>
    <w:rsid w:val="005971E7"/>
    <w:rsid w:val="0059720F"/>
    <w:rsid w:val="005972B9"/>
    <w:rsid w:val="0059731F"/>
    <w:rsid w:val="00597320"/>
    <w:rsid w:val="00597395"/>
    <w:rsid w:val="00597428"/>
    <w:rsid w:val="00597828"/>
    <w:rsid w:val="00597BBE"/>
    <w:rsid w:val="00597C05"/>
    <w:rsid w:val="00597CBC"/>
    <w:rsid w:val="00597E94"/>
    <w:rsid w:val="00597F4D"/>
    <w:rsid w:val="00597FEC"/>
    <w:rsid w:val="005A0131"/>
    <w:rsid w:val="005A0150"/>
    <w:rsid w:val="005A0191"/>
    <w:rsid w:val="005A0453"/>
    <w:rsid w:val="005A04B5"/>
    <w:rsid w:val="005A04F4"/>
    <w:rsid w:val="005A0526"/>
    <w:rsid w:val="005A05DD"/>
    <w:rsid w:val="005A05E6"/>
    <w:rsid w:val="005A065F"/>
    <w:rsid w:val="005A06B9"/>
    <w:rsid w:val="005A07B1"/>
    <w:rsid w:val="005A0872"/>
    <w:rsid w:val="005A0897"/>
    <w:rsid w:val="005A08A3"/>
    <w:rsid w:val="005A09E4"/>
    <w:rsid w:val="005A0A46"/>
    <w:rsid w:val="005A0A5B"/>
    <w:rsid w:val="005A0B2C"/>
    <w:rsid w:val="005A0B4B"/>
    <w:rsid w:val="005A0BFF"/>
    <w:rsid w:val="005A0C41"/>
    <w:rsid w:val="005A0E8C"/>
    <w:rsid w:val="005A0ED3"/>
    <w:rsid w:val="005A0F85"/>
    <w:rsid w:val="005A0FE5"/>
    <w:rsid w:val="005A0FFB"/>
    <w:rsid w:val="005A1179"/>
    <w:rsid w:val="005A118D"/>
    <w:rsid w:val="005A11ED"/>
    <w:rsid w:val="005A146A"/>
    <w:rsid w:val="005A14B9"/>
    <w:rsid w:val="005A14ED"/>
    <w:rsid w:val="005A1550"/>
    <w:rsid w:val="005A15BC"/>
    <w:rsid w:val="005A161D"/>
    <w:rsid w:val="005A163C"/>
    <w:rsid w:val="005A1686"/>
    <w:rsid w:val="005A168C"/>
    <w:rsid w:val="005A1701"/>
    <w:rsid w:val="005A1786"/>
    <w:rsid w:val="005A181D"/>
    <w:rsid w:val="005A1870"/>
    <w:rsid w:val="005A1894"/>
    <w:rsid w:val="005A18AE"/>
    <w:rsid w:val="005A18C9"/>
    <w:rsid w:val="005A18F6"/>
    <w:rsid w:val="005A1C5E"/>
    <w:rsid w:val="005A1C95"/>
    <w:rsid w:val="005A1CDB"/>
    <w:rsid w:val="005A1E6F"/>
    <w:rsid w:val="005A1E89"/>
    <w:rsid w:val="005A1F2F"/>
    <w:rsid w:val="005A1F59"/>
    <w:rsid w:val="005A1FA5"/>
    <w:rsid w:val="005A2077"/>
    <w:rsid w:val="005A208F"/>
    <w:rsid w:val="005A2127"/>
    <w:rsid w:val="005A21A6"/>
    <w:rsid w:val="005A2270"/>
    <w:rsid w:val="005A22B5"/>
    <w:rsid w:val="005A231C"/>
    <w:rsid w:val="005A2381"/>
    <w:rsid w:val="005A2582"/>
    <w:rsid w:val="005A258E"/>
    <w:rsid w:val="005A2650"/>
    <w:rsid w:val="005A27AC"/>
    <w:rsid w:val="005A28B3"/>
    <w:rsid w:val="005A28F6"/>
    <w:rsid w:val="005A2925"/>
    <w:rsid w:val="005A2A28"/>
    <w:rsid w:val="005A2AEE"/>
    <w:rsid w:val="005A2B12"/>
    <w:rsid w:val="005A2D65"/>
    <w:rsid w:val="005A2E94"/>
    <w:rsid w:val="005A3258"/>
    <w:rsid w:val="005A327B"/>
    <w:rsid w:val="005A3291"/>
    <w:rsid w:val="005A32F5"/>
    <w:rsid w:val="005A343C"/>
    <w:rsid w:val="005A3512"/>
    <w:rsid w:val="005A351F"/>
    <w:rsid w:val="005A37A2"/>
    <w:rsid w:val="005A381B"/>
    <w:rsid w:val="005A3855"/>
    <w:rsid w:val="005A3871"/>
    <w:rsid w:val="005A38D6"/>
    <w:rsid w:val="005A38D7"/>
    <w:rsid w:val="005A3944"/>
    <w:rsid w:val="005A3AC3"/>
    <w:rsid w:val="005A3B1C"/>
    <w:rsid w:val="005A3DB6"/>
    <w:rsid w:val="005A3E1B"/>
    <w:rsid w:val="005A3E65"/>
    <w:rsid w:val="005A3F76"/>
    <w:rsid w:val="005A405D"/>
    <w:rsid w:val="005A40D2"/>
    <w:rsid w:val="005A41D0"/>
    <w:rsid w:val="005A43C1"/>
    <w:rsid w:val="005A43F8"/>
    <w:rsid w:val="005A4402"/>
    <w:rsid w:val="005A4434"/>
    <w:rsid w:val="005A447B"/>
    <w:rsid w:val="005A4633"/>
    <w:rsid w:val="005A4739"/>
    <w:rsid w:val="005A48B1"/>
    <w:rsid w:val="005A48B4"/>
    <w:rsid w:val="005A4925"/>
    <w:rsid w:val="005A4931"/>
    <w:rsid w:val="005A4AC8"/>
    <w:rsid w:val="005A4B04"/>
    <w:rsid w:val="005A4C57"/>
    <w:rsid w:val="005A4C6F"/>
    <w:rsid w:val="005A4EE7"/>
    <w:rsid w:val="005A4F18"/>
    <w:rsid w:val="005A4FAC"/>
    <w:rsid w:val="005A4FE3"/>
    <w:rsid w:val="005A5092"/>
    <w:rsid w:val="005A51BC"/>
    <w:rsid w:val="005A5405"/>
    <w:rsid w:val="005A547E"/>
    <w:rsid w:val="005A557D"/>
    <w:rsid w:val="005A55AD"/>
    <w:rsid w:val="005A561A"/>
    <w:rsid w:val="005A5867"/>
    <w:rsid w:val="005A5A2D"/>
    <w:rsid w:val="005A5A32"/>
    <w:rsid w:val="005A5BF6"/>
    <w:rsid w:val="005A5C20"/>
    <w:rsid w:val="005A5D2C"/>
    <w:rsid w:val="005A5D54"/>
    <w:rsid w:val="005A5DC9"/>
    <w:rsid w:val="005A5DEC"/>
    <w:rsid w:val="005A5F01"/>
    <w:rsid w:val="005A5F22"/>
    <w:rsid w:val="005A6024"/>
    <w:rsid w:val="005A611B"/>
    <w:rsid w:val="005A6185"/>
    <w:rsid w:val="005A63EA"/>
    <w:rsid w:val="005A6530"/>
    <w:rsid w:val="005A66C5"/>
    <w:rsid w:val="005A677A"/>
    <w:rsid w:val="005A683B"/>
    <w:rsid w:val="005A687C"/>
    <w:rsid w:val="005A6909"/>
    <w:rsid w:val="005A6916"/>
    <w:rsid w:val="005A6A49"/>
    <w:rsid w:val="005A6E74"/>
    <w:rsid w:val="005A6F0D"/>
    <w:rsid w:val="005A710D"/>
    <w:rsid w:val="005A7247"/>
    <w:rsid w:val="005A73AC"/>
    <w:rsid w:val="005A73F5"/>
    <w:rsid w:val="005A749E"/>
    <w:rsid w:val="005A75C1"/>
    <w:rsid w:val="005A75E4"/>
    <w:rsid w:val="005A7678"/>
    <w:rsid w:val="005A7BB8"/>
    <w:rsid w:val="005A7C8E"/>
    <w:rsid w:val="005A7CCF"/>
    <w:rsid w:val="005A7D56"/>
    <w:rsid w:val="005A7DB5"/>
    <w:rsid w:val="005A7E69"/>
    <w:rsid w:val="005A7F1B"/>
    <w:rsid w:val="005A7F3C"/>
    <w:rsid w:val="005A7FA5"/>
    <w:rsid w:val="005B0073"/>
    <w:rsid w:val="005B00A5"/>
    <w:rsid w:val="005B00B4"/>
    <w:rsid w:val="005B00B6"/>
    <w:rsid w:val="005B03A8"/>
    <w:rsid w:val="005B046C"/>
    <w:rsid w:val="005B0483"/>
    <w:rsid w:val="005B05D5"/>
    <w:rsid w:val="005B066C"/>
    <w:rsid w:val="005B09C8"/>
    <w:rsid w:val="005B09F3"/>
    <w:rsid w:val="005B0AAC"/>
    <w:rsid w:val="005B0B5B"/>
    <w:rsid w:val="005B0C2C"/>
    <w:rsid w:val="005B0CEC"/>
    <w:rsid w:val="005B0DE6"/>
    <w:rsid w:val="005B0E3A"/>
    <w:rsid w:val="005B0EE4"/>
    <w:rsid w:val="005B0F01"/>
    <w:rsid w:val="005B0F66"/>
    <w:rsid w:val="005B1033"/>
    <w:rsid w:val="005B10CC"/>
    <w:rsid w:val="005B12F3"/>
    <w:rsid w:val="005B13BE"/>
    <w:rsid w:val="005B1423"/>
    <w:rsid w:val="005B1484"/>
    <w:rsid w:val="005B157D"/>
    <w:rsid w:val="005B159B"/>
    <w:rsid w:val="005B15B7"/>
    <w:rsid w:val="005B1676"/>
    <w:rsid w:val="005B1770"/>
    <w:rsid w:val="005B17E4"/>
    <w:rsid w:val="005B180F"/>
    <w:rsid w:val="005B1BC7"/>
    <w:rsid w:val="005B1BD8"/>
    <w:rsid w:val="005B1ECC"/>
    <w:rsid w:val="005B1FC0"/>
    <w:rsid w:val="005B205A"/>
    <w:rsid w:val="005B20E7"/>
    <w:rsid w:val="005B2297"/>
    <w:rsid w:val="005B23C4"/>
    <w:rsid w:val="005B243B"/>
    <w:rsid w:val="005B245F"/>
    <w:rsid w:val="005B249D"/>
    <w:rsid w:val="005B25A7"/>
    <w:rsid w:val="005B263C"/>
    <w:rsid w:val="005B273C"/>
    <w:rsid w:val="005B28D0"/>
    <w:rsid w:val="005B29CE"/>
    <w:rsid w:val="005B2D12"/>
    <w:rsid w:val="005B2F7C"/>
    <w:rsid w:val="005B3058"/>
    <w:rsid w:val="005B30F4"/>
    <w:rsid w:val="005B31B5"/>
    <w:rsid w:val="005B325D"/>
    <w:rsid w:val="005B331D"/>
    <w:rsid w:val="005B336E"/>
    <w:rsid w:val="005B33E3"/>
    <w:rsid w:val="005B343B"/>
    <w:rsid w:val="005B354A"/>
    <w:rsid w:val="005B361E"/>
    <w:rsid w:val="005B3710"/>
    <w:rsid w:val="005B387D"/>
    <w:rsid w:val="005B388C"/>
    <w:rsid w:val="005B38B6"/>
    <w:rsid w:val="005B38F6"/>
    <w:rsid w:val="005B3A39"/>
    <w:rsid w:val="005B3A77"/>
    <w:rsid w:val="005B3A86"/>
    <w:rsid w:val="005B3BEB"/>
    <w:rsid w:val="005B3C06"/>
    <w:rsid w:val="005B3C2A"/>
    <w:rsid w:val="005B3CAE"/>
    <w:rsid w:val="005B3D9C"/>
    <w:rsid w:val="005B3DE6"/>
    <w:rsid w:val="005B3E58"/>
    <w:rsid w:val="005B3E8E"/>
    <w:rsid w:val="005B40E8"/>
    <w:rsid w:val="005B413C"/>
    <w:rsid w:val="005B418E"/>
    <w:rsid w:val="005B4226"/>
    <w:rsid w:val="005B432A"/>
    <w:rsid w:val="005B4485"/>
    <w:rsid w:val="005B461B"/>
    <w:rsid w:val="005B481E"/>
    <w:rsid w:val="005B4934"/>
    <w:rsid w:val="005B493D"/>
    <w:rsid w:val="005B49FB"/>
    <w:rsid w:val="005B4A08"/>
    <w:rsid w:val="005B4B5A"/>
    <w:rsid w:val="005B4BD2"/>
    <w:rsid w:val="005B4E32"/>
    <w:rsid w:val="005B4E49"/>
    <w:rsid w:val="005B4F1E"/>
    <w:rsid w:val="005B4F90"/>
    <w:rsid w:val="005B4FCF"/>
    <w:rsid w:val="005B501B"/>
    <w:rsid w:val="005B501F"/>
    <w:rsid w:val="005B50DB"/>
    <w:rsid w:val="005B5160"/>
    <w:rsid w:val="005B5168"/>
    <w:rsid w:val="005B52B1"/>
    <w:rsid w:val="005B5382"/>
    <w:rsid w:val="005B554C"/>
    <w:rsid w:val="005B5795"/>
    <w:rsid w:val="005B57E7"/>
    <w:rsid w:val="005B5844"/>
    <w:rsid w:val="005B5954"/>
    <w:rsid w:val="005B59EC"/>
    <w:rsid w:val="005B5AEA"/>
    <w:rsid w:val="005B5C17"/>
    <w:rsid w:val="005B5D77"/>
    <w:rsid w:val="005B5DD8"/>
    <w:rsid w:val="005B6032"/>
    <w:rsid w:val="005B60BF"/>
    <w:rsid w:val="005B621F"/>
    <w:rsid w:val="005B623F"/>
    <w:rsid w:val="005B6249"/>
    <w:rsid w:val="005B6283"/>
    <w:rsid w:val="005B62DE"/>
    <w:rsid w:val="005B633F"/>
    <w:rsid w:val="005B63C0"/>
    <w:rsid w:val="005B63FE"/>
    <w:rsid w:val="005B6602"/>
    <w:rsid w:val="005B672C"/>
    <w:rsid w:val="005B67C7"/>
    <w:rsid w:val="005B682B"/>
    <w:rsid w:val="005B689B"/>
    <w:rsid w:val="005B68F5"/>
    <w:rsid w:val="005B69BD"/>
    <w:rsid w:val="005B6BC4"/>
    <w:rsid w:val="005B6BDA"/>
    <w:rsid w:val="005B6C16"/>
    <w:rsid w:val="005B6C2A"/>
    <w:rsid w:val="005B6C7E"/>
    <w:rsid w:val="005B6CC1"/>
    <w:rsid w:val="005B6D85"/>
    <w:rsid w:val="005B6DDC"/>
    <w:rsid w:val="005B70D0"/>
    <w:rsid w:val="005B70D7"/>
    <w:rsid w:val="005B71D5"/>
    <w:rsid w:val="005B71F8"/>
    <w:rsid w:val="005B72BD"/>
    <w:rsid w:val="005B7328"/>
    <w:rsid w:val="005B7370"/>
    <w:rsid w:val="005B7548"/>
    <w:rsid w:val="005B756E"/>
    <w:rsid w:val="005B75EF"/>
    <w:rsid w:val="005B76BA"/>
    <w:rsid w:val="005B7738"/>
    <w:rsid w:val="005B77BF"/>
    <w:rsid w:val="005B77C6"/>
    <w:rsid w:val="005B7884"/>
    <w:rsid w:val="005B78ED"/>
    <w:rsid w:val="005B7A0B"/>
    <w:rsid w:val="005B7A46"/>
    <w:rsid w:val="005B7A6C"/>
    <w:rsid w:val="005B7B7A"/>
    <w:rsid w:val="005B7B9D"/>
    <w:rsid w:val="005B7C0F"/>
    <w:rsid w:val="005B7CD7"/>
    <w:rsid w:val="005B7ED0"/>
    <w:rsid w:val="005B7FD2"/>
    <w:rsid w:val="005B7FF2"/>
    <w:rsid w:val="005C003A"/>
    <w:rsid w:val="005C00ED"/>
    <w:rsid w:val="005C0102"/>
    <w:rsid w:val="005C0109"/>
    <w:rsid w:val="005C0223"/>
    <w:rsid w:val="005C0244"/>
    <w:rsid w:val="005C0261"/>
    <w:rsid w:val="005C0320"/>
    <w:rsid w:val="005C0462"/>
    <w:rsid w:val="005C0563"/>
    <w:rsid w:val="005C061D"/>
    <w:rsid w:val="005C070A"/>
    <w:rsid w:val="005C0760"/>
    <w:rsid w:val="005C076C"/>
    <w:rsid w:val="005C07D1"/>
    <w:rsid w:val="005C0901"/>
    <w:rsid w:val="005C0906"/>
    <w:rsid w:val="005C0A75"/>
    <w:rsid w:val="005C0BA1"/>
    <w:rsid w:val="005C0E79"/>
    <w:rsid w:val="005C0FA8"/>
    <w:rsid w:val="005C0FDE"/>
    <w:rsid w:val="005C1077"/>
    <w:rsid w:val="005C10B4"/>
    <w:rsid w:val="005C10C1"/>
    <w:rsid w:val="005C110D"/>
    <w:rsid w:val="005C11DF"/>
    <w:rsid w:val="005C1473"/>
    <w:rsid w:val="005C153E"/>
    <w:rsid w:val="005C162D"/>
    <w:rsid w:val="005C16CE"/>
    <w:rsid w:val="005C1810"/>
    <w:rsid w:val="005C184C"/>
    <w:rsid w:val="005C1918"/>
    <w:rsid w:val="005C194B"/>
    <w:rsid w:val="005C198C"/>
    <w:rsid w:val="005C19D6"/>
    <w:rsid w:val="005C1A98"/>
    <w:rsid w:val="005C1B0C"/>
    <w:rsid w:val="005C1C11"/>
    <w:rsid w:val="005C1CD5"/>
    <w:rsid w:val="005C1D00"/>
    <w:rsid w:val="005C1D14"/>
    <w:rsid w:val="005C1F3D"/>
    <w:rsid w:val="005C1F9F"/>
    <w:rsid w:val="005C202B"/>
    <w:rsid w:val="005C20F7"/>
    <w:rsid w:val="005C2188"/>
    <w:rsid w:val="005C2297"/>
    <w:rsid w:val="005C2373"/>
    <w:rsid w:val="005C23F1"/>
    <w:rsid w:val="005C2582"/>
    <w:rsid w:val="005C26C7"/>
    <w:rsid w:val="005C275E"/>
    <w:rsid w:val="005C283C"/>
    <w:rsid w:val="005C2865"/>
    <w:rsid w:val="005C2881"/>
    <w:rsid w:val="005C290B"/>
    <w:rsid w:val="005C2BE7"/>
    <w:rsid w:val="005C2C8C"/>
    <w:rsid w:val="005C2C94"/>
    <w:rsid w:val="005C2CB4"/>
    <w:rsid w:val="005C2CDB"/>
    <w:rsid w:val="005C2D66"/>
    <w:rsid w:val="005C2DAE"/>
    <w:rsid w:val="005C2E8A"/>
    <w:rsid w:val="005C2EFA"/>
    <w:rsid w:val="005C3001"/>
    <w:rsid w:val="005C3009"/>
    <w:rsid w:val="005C32DE"/>
    <w:rsid w:val="005C344F"/>
    <w:rsid w:val="005C3470"/>
    <w:rsid w:val="005C354E"/>
    <w:rsid w:val="005C3585"/>
    <w:rsid w:val="005C35ED"/>
    <w:rsid w:val="005C369B"/>
    <w:rsid w:val="005C37D1"/>
    <w:rsid w:val="005C3818"/>
    <w:rsid w:val="005C398E"/>
    <w:rsid w:val="005C3993"/>
    <w:rsid w:val="005C3A32"/>
    <w:rsid w:val="005C3AD4"/>
    <w:rsid w:val="005C3B80"/>
    <w:rsid w:val="005C3C48"/>
    <w:rsid w:val="005C3DA1"/>
    <w:rsid w:val="005C3F09"/>
    <w:rsid w:val="005C3F9D"/>
    <w:rsid w:val="005C4090"/>
    <w:rsid w:val="005C41A4"/>
    <w:rsid w:val="005C421A"/>
    <w:rsid w:val="005C42FE"/>
    <w:rsid w:val="005C454B"/>
    <w:rsid w:val="005C4586"/>
    <w:rsid w:val="005C458D"/>
    <w:rsid w:val="005C45F2"/>
    <w:rsid w:val="005C4735"/>
    <w:rsid w:val="005C47E6"/>
    <w:rsid w:val="005C4942"/>
    <w:rsid w:val="005C49B0"/>
    <w:rsid w:val="005C49E2"/>
    <w:rsid w:val="005C4B4F"/>
    <w:rsid w:val="005C4BBD"/>
    <w:rsid w:val="005C4C73"/>
    <w:rsid w:val="005C4D45"/>
    <w:rsid w:val="005C4D9E"/>
    <w:rsid w:val="005C4DFD"/>
    <w:rsid w:val="005C4F6D"/>
    <w:rsid w:val="005C4F77"/>
    <w:rsid w:val="005C5051"/>
    <w:rsid w:val="005C5107"/>
    <w:rsid w:val="005C5166"/>
    <w:rsid w:val="005C5189"/>
    <w:rsid w:val="005C5192"/>
    <w:rsid w:val="005C5273"/>
    <w:rsid w:val="005C52BB"/>
    <w:rsid w:val="005C52BC"/>
    <w:rsid w:val="005C5394"/>
    <w:rsid w:val="005C544B"/>
    <w:rsid w:val="005C55B4"/>
    <w:rsid w:val="005C5671"/>
    <w:rsid w:val="005C5815"/>
    <w:rsid w:val="005C5864"/>
    <w:rsid w:val="005C5BD6"/>
    <w:rsid w:val="005C5C0D"/>
    <w:rsid w:val="005C5C5D"/>
    <w:rsid w:val="005C5CED"/>
    <w:rsid w:val="005C5FF7"/>
    <w:rsid w:val="005C6094"/>
    <w:rsid w:val="005C60AA"/>
    <w:rsid w:val="005C61EB"/>
    <w:rsid w:val="005C628F"/>
    <w:rsid w:val="005C6312"/>
    <w:rsid w:val="005C6366"/>
    <w:rsid w:val="005C6451"/>
    <w:rsid w:val="005C65E8"/>
    <w:rsid w:val="005C6656"/>
    <w:rsid w:val="005C671B"/>
    <w:rsid w:val="005C67F6"/>
    <w:rsid w:val="005C68AB"/>
    <w:rsid w:val="005C68BA"/>
    <w:rsid w:val="005C68FE"/>
    <w:rsid w:val="005C6957"/>
    <w:rsid w:val="005C69C1"/>
    <w:rsid w:val="005C6BA2"/>
    <w:rsid w:val="005C7066"/>
    <w:rsid w:val="005C7070"/>
    <w:rsid w:val="005C70A2"/>
    <w:rsid w:val="005C7131"/>
    <w:rsid w:val="005C713C"/>
    <w:rsid w:val="005C7360"/>
    <w:rsid w:val="005C760A"/>
    <w:rsid w:val="005C76A4"/>
    <w:rsid w:val="005C76C0"/>
    <w:rsid w:val="005C76D4"/>
    <w:rsid w:val="005C7708"/>
    <w:rsid w:val="005C77F2"/>
    <w:rsid w:val="005C782A"/>
    <w:rsid w:val="005C7865"/>
    <w:rsid w:val="005C7876"/>
    <w:rsid w:val="005C78DD"/>
    <w:rsid w:val="005C78F1"/>
    <w:rsid w:val="005C791A"/>
    <w:rsid w:val="005C79B9"/>
    <w:rsid w:val="005C7A4F"/>
    <w:rsid w:val="005C7A62"/>
    <w:rsid w:val="005C7AE5"/>
    <w:rsid w:val="005C7B6F"/>
    <w:rsid w:val="005C7CC4"/>
    <w:rsid w:val="005C7D50"/>
    <w:rsid w:val="005C7DE3"/>
    <w:rsid w:val="005C7DEC"/>
    <w:rsid w:val="005C7F06"/>
    <w:rsid w:val="005C7F24"/>
    <w:rsid w:val="005C7F5D"/>
    <w:rsid w:val="005C7FD8"/>
    <w:rsid w:val="005C7FE6"/>
    <w:rsid w:val="005D0015"/>
    <w:rsid w:val="005D0130"/>
    <w:rsid w:val="005D0142"/>
    <w:rsid w:val="005D0206"/>
    <w:rsid w:val="005D02D3"/>
    <w:rsid w:val="005D02E9"/>
    <w:rsid w:val="005D049A"/>
    <w:rsid w:val="005D049F"/>
    <w:rsid w:val="005D04AD"/>
    <w:rsid w:val="005D04B1"/>
    <w:rsid w:val="005D059D"/>
    <w:rsid w:val="005D05C4"/>
    <w:rsid w:val="005D065E"/>
    <w:rsid w:val="005D06FD"/>
    <w:rsid w:val="005D0812"/>
    <w:rsid w:val="005D096F"/>
    <w:rsid w:val="005D0985"/>
    <w:rsid w:val="005D09C0"/>
    <w:rsid w:val="005D09F4"/>
    <w:rsid w:val="005D102C"/>
    <w:rsid w:val="005D106B"/>
    <w:rsid w:val="005D118A"/>
    <w:rsid w:val="005D12FF"/>
    <w:rsid w:val="005D1316"/>
    <w:rsid w:val="005D1869"/>
    <w:rsid w:val="005D18A5"/>
    <w:rsid w:val="005D1AE0"/>
    <w:rsid w:val="005D1D4E"/>
    <w:rsid w:val="005D1D87"/>
    <w:rsid w:val="005D1E69"/>
    <w:rsid w:val="005D20BB"/>
    <w:rsid w:val="005D2182"/>
    <w:rsid w:val="005D22AC"/>
    <w:rsid w:val="005D22D6"/>
    <w:rsid w:val="005D2331"/>
    <w:rsid w:val="005D2364"/>
    <w:rsid w:val="005D24C7"/>
    <w:rsid w:val="005D265E"/>
    <w:rsid w:val="005D26E1"/>
    <w:rsid w:val="005D26F8"/>
    <w:rsid w:val="005D29C7"/>
    <w:rsid w:val="005D2A9A"/>
    <w:rsid w:val="005D2BE7"/>
    <w:rsid w:val="005D2D2F"/>
    <w:rsid w:val="005D2D5D"/>
    <w:rsid w:val="005D2DE2"/>
    <w:rsid w:val="005D2DE7"/>
    <w:rsid w:val="005D2E32"/>
    <w:rsid w:val="005D2EC5"/>
    <w:rsid w:val="005D2ECD"/>
    <w:rsid w:val="005D2F3A"/>
    <w:rsid w:val="005D2F60"/>
    <w:rsid w:val="005D30E0"/>
    <w:rsid w:val="005D30E8"/>
    <w:rsid w:val="005D3113"/>
    <w:rsid w:val="005D3253"/>
    <w:rsid w:val="005D3263"/>
    <w:rsid w:val="005D32BE"/>
    <w:rsid w:val="005D3349"/>
    <w:rsid w:val="005D3461"/>
    <w:rsid w:val="005D34AE"/>
    <w:rsid w:val="005D36A4"/>
    <w:rsid w:val="005D36B1"/>
    <w:rsid w:val="005D3700"/>
    <w:rsid w:val="005D37F0"/>
    <w:rsid w:val="005D388E"/>
    <w:rsid w:val="005D3A4C"/>
    <w:rsid w:val="005D3C1C"/>
    <w:rsid w:val="005D3C8F"/>
    <w:rsid w:val="005D3CAE"/>
    <w:rsid w:val="005D3DEA"/>
    <w:rsid w:val="005D3E1E"/>
    <w:rsid w:val="005D3E7B"/>
    <w:rsid w:val="005D3EC1"/>
    <w:rsid w:val="005D3FF2"/>
    <w:rsid w:val="005D403D"/>
    <w:rsid w:val="005D4202"/>
    <w:rsid w:val="005D42BD"/>
    <w:rsid w:val="005D440C"/>
    <w:rsid w:val="005D4426"/>
    <w:rsid w:val="005D442E"/>
    <w:rsid w:val="005D44D2"/>
    <w:rsid w:val="005D45FA"/>
    <w:rsid w:val="005D4694"/>
    <w:rsid w:val="005D48D7"/>
    <w:rsid w:val="005D4A12"/>
    <w:rsid w:val="005D4B85"/>
    <w:rsid w:val="005D4FD9"/>
    <w:rsid w:val="005D50ED"/>
    <w:rsid w:val="005D541E"/>
    <w:rsid w:val="005D56B7"/>
    <w:rsid w:val="005D598C"/>
    <w:rsid w:val="005D5B3B"/>
    <w:rsid w:val="005D5C23"/>
    <w:rsid w:val="005D5CE3"/>
    <w:rsid w:val="005D5E23"/>
    <w:rsid w:val="005D5EC7"/>
    <w:rsid w:val="005D5F2D"/>
    <w:rsid w:val="005D5F72"/>
    <w:rsid w:val="005D613A"/>
    <w:rsid w:val="005D617C"/>
    <w:rsid w:val="005D61B0"/>
    <w:rsid w:val="005D6230"/>
    <w:rsid w:val="005D6293"/>
    <w:rsid w:val="005D6485"/>
    <w:rsid w:val="005D64A5"/>
    <w:rsid w:val="005D6537"/>
    <w:rsid w:val="005D6749"/>
    <w:rsid w:val="005D683D"/>
    <w:rsid w:val="005D68DE"/>
    <w:rsid w:val="005D6950"/>
    <w:rsid w:val="005D698A"/>
    <w:rsid w:val="005D6994"/>
    <w:rsid w:val="005D69CA"/>
    <w:rsid w:val="005D69DD"/>
    <w:rsid w:val="005D6A03"/>
    <w:rsid w:val="005D6A85"/>
    <w:rsid w:val="005D6AF8"/>
    <w:rsid w:val="005D6CC0"/>
    <w:rsid w:val="005D6D29"/>
    <w:rsid w:val="005D6D6B"/>
    <w:rsid w:val="005D6DAE"/>
    <w:rsid w:val="005D6E60"/>
    <w:rsid w:val="005D6EF6"/>
    <w:rsid w:val="005D6EFA"/>
    <w:rsid w:val="005D6F10"/>
    <w:rsid w:val="005D6F90"/>
    <w:rsid w:val="005D712E"/>
    <w:rsid w:val="005D71CE"/>
    <w:rsid w:val="005D7350"/>
    <w:rsid w:val="005D7460"/>
    <w:rsid w:val="005D7498"/>
    <w:rsid w:val="005D760C"/>
    <w:rsid w:val="005D7818"/>
    <w:rsid w:val="005D7893"/>
    <w:rsid w:val="005D7A2D"/>
    <w:rsid w:val="005D7A4F"/>
    <w:rsid w:val="005D7B7C"/>
    <w:rsid w:val="005D7C00"/>
    <w:rsid w:val="005D7DBC"/>
    <w:rsid w:val="005D7EC9"/>
    <w:rsid w:val="005E00CC"/>
    <w:rsid w:val="005E0221"/>
    <w:rsid w:val="005E0254"/>
    <w:rsid w:val="005E02DD"/>
    <w:rsid w:val="005E02E5"/>
    <w:rsid w:val="005E02EC"/>
    <w:rsid w:val="005E04AD"/>
    <w:rsid w:val="005E05DA"/>
    <w:rsid w:val="005E0614"/>
    <w:rsid w:val="005E063B"/>
    <w:rsid w:val="005E06AD"/>
    <w:rsid w:val="005E06F9"/>
    <w:rsid w:val="005E071D"/>
    <w:rsid w:val="005E0B22"/>
    <w:rsid w:val="005E0B59"/>
    <w:rsid w:val="005E0C31"/>
    <w:rsid w:val="005E0C85"/>
    <w:rsid w:val="005E0E29"/>
    <w:rsid w:val="005E0F57"/>
    <w:rsid w:val="005E0FD3"/>
    <w:rsid w:val="005E0FE7"/>
    <w:rsid w:val="005E1075"/>
    <w:rsid w:val="005E11A0"/>
    <w:rsid w:val="005E1397"/>
    <w:rsid w:val="005E1465"/>
    <w:rsid w:val="005E151A"/>
    <w:rsid w:val="005E157A"/>
    <w:rsid w:val="005E172E"/>
    <w:rsid w:val="005E173D"/>
    <w:rsid w:val="005E1841"/>
    <w:rsid w:val="005E186A"/>
    <w:rsid w:val="005E1988"/>
    <w:rsid w:val="005E1998"/>
    <w:rsid w:val="005E1BDE"/>
    <w:rsid w:val="005E1DA0"/>
    <w:rsid w:val="005E1E9A"/>
    <w:rsid w:val="005E1EEE"/>
    <w:rsid w:val="005E2193"/>
    <w:rsid w:val="005E2198"/>
    <w:rsid w:val="005E236F"/>
    <w:rsid w:val="005E259E"/>
    <w:rsid w:val="005E25E5"/>
    <w:rsid w:val="005E25EB"/>
    <w:rsid w:val="005E25F4"/>
    <w:rsid w:val="005E26CD"/>
    <w:rsid w:val="005E27AA"/>
    <w:rsid w:val="005E288A"/>
    <w:rsid w:val="005E2908"/>
    <w:rsid w:val="005E2A18"/>
    <w:rsid w:val="005E2B4A"/>
    <w:rsid w:val="005E2CD4"/>
    <w:rsid w:val="005E2F6F"/>
    <w:rsid w:val="005E2F9D"/>
    <w:rsid w:val="005E3026"/>
    <w:rsid w:val="005E303A"/>
    <w:rsid w:val="005E32A5"/>
    <w:rsid w:val="005E331E"/>
    <w:rsid w:val="005E332F"/>
    <w:rsid w:val="005E345F"/>
    <w:rsid w:val="005E3474"/>
    <w:rsid w:val="005E34EA"/>
    <w:rsid w:val="005E3558"/>
    <w:rsid w:val="005E35EC"/>
    <w:rsid w:val="005E35EE"/>
    <w:rsid w:val="005E375B"/>
    <w:rsid w:val="005E3788"/>
    <w:rsid w:val="005E3828"/>
    <w:rsid w:val="005E389F"/>
    <w:rsid w:val="005E38D7"/>
    <w:rsid w:val="005E3A49"/>
    <w:rsid w:val="005E3A61"/>
    <w:rsid w:val="005E3B84"/>
    <w:rsid w:val="005E3D4F"/>
    <w:rsid w:val="005E3D8D"/>
    <w:rsid w:val="005E3E04"/>
    <w:rsid w:val="005E3FBB"/>
    <w:rsid w:val="005E4105"/>
    <w:rsid w:val="005E42AF"/>
    <w:rsid w:val="005E4387"/>
    <w:rsid w:val="005E43D9"/>
    <w:rsid w:val="005E4450"/>
    <w:rsid w:val="005E4606"/>
    <w:rsid w:val="005E4630"/>
    <w:rsid w:val="005E463A"/>
    <w:rsid w:val="005E4764"/>
    <w:rsid w:val="005E495E"/>
    <w:rsid w:val="005E4D08"/>
    <w:rsid w:val="005E4D60"/>
    <w:rsid w:val="005E4D79"/>
    <w:rsid w:val="005E4E09"/>
    <w:rsid w:val="005E4FF9"/>
    <w:rsid w:val="005E5075"/>
    <w:rsid w:val="005E50AC"/>
    <w:rsid w:val="005E50DE"/>
    <w:rsid w:val="005E51A6"/>
    <w:rsid w:val="005E51AD"/>
    <w:rsid w:val="005E52A4"/>
    <w:rsid w:val="005E53BC"/>
    <w:rsid w:val="005E5601"/>
    <w:rsid w:val="005E5683"/>
    <w:rsid w:val="005E56EE"/>
    <w:rsid w:val="005E57CE"/>
    <w:rsid w:val="005E57EA"/>
    <w:rsid w:val="005E58F3"/>
    <w:rsid w:val="005E58FF"/>
    <w:rsid w:val="005E59EC"/>
    <w:rsid w:val="005E5A20"/>
    <w:rsid w:val="005E5A38"/>
    <w:rsid w:val="005E5B85"/>
    <w:rsid w:val="005E5D60"/>
    <w:rsid w:val="005E5E08"/>
    <w:rsid w:val="005E5FB4"/>
    <w:rsid w:val="005E609D"/>
    <w:rsid w:val="005E60FD"/>
    <w:rsid w:val="005E626E"/>
    <w:rsid w:val="005E6283"/>
    <w:rsid w:val="005E6310"/>
    <w:rsid w:val="005E6328"/>
    <w:rsid w:val="005E63F4"/>
    <w:rsid w:val="005E65D9"/>
    <w:rsid w:val="005E675B"/>
    <w:rsid w:val="005E6892"/>
    <w:rsid w:val="005E6A01"/>
    <w:rsid w:val="005E6B73"/>
    <w:rsid w:val="005E6B74"/>
    <w:rsid w:val="005E6B7C"/>
    <w:rsid w:val="005E6BFB"/>
    <w:rsid w:val="005E6C8C"/>
    <w:rsid w:val="005E6D3E"/>
    <w:rsid w:val="005E6D49"/>
    <w:rsid w:val="005E6F4C"/>
    <w:rsid w:val="005E7051"/>
    <w:rsid w:val="005E7231"/>
    <w:rsid w:val="005E738D"/>
    <w:rsid w:val="005E7454"/>
    <w:rsid w:val="005E7480"/>
    <w:rsid w:val="005E7527"/>
    <w:rsid w:val="005E759E"/>
    <w:rsid w:val="005E75A6"/>
    <w:rsid w:val="005E77D1"/>
    <w:rsid w:val="005E77FF"/>
    <w:rsid w:val="005E7876"/>
    <w:rsid w:val="005E78EE"/>
    <w:rsid w:val="005E7A72"/>
    <w:rsid w:val="005E7BB1"/>
    <w:rsid w:val="005E7CA2"/>
    <w:rsid w:val="005E7D9F"/>
    <w:rsid w:val="005E7DC6"/>
    <w:rsid w:val="005E7E09"/>
    <w:rsid w:val="005E7E61"/>
    <w:rsid w:val="005E7EB3"/>
    <w:rsid w:val="005E7F20"/>
    <w:rsid w:val="005E7FDD"/>
    <w:rsid w:val="005F0006"/>
    <w:rsid w:val="005F0079"/>
    <w:rsid w:val="005F00A3"/>
    <w:rsid w:val="005F01A9"/>
    <w:rsid w:val="005F02DD"/>
    <w:rsid w:val="005F0348"/>
    <w:rsid w:val="005F04E6"/>
    <w:rsid w:val="005F0594"/>
    <w:rsid w:val="005F0650"/>
    <w:rsid w:val="005F0746"/>
    <w:rsid w:val="005F0903"/>
    <w:rsid w:val="005F096E"/>
    <w:rsid w:val="005F0C0C"/>
    <w:rsid w:val="005F0C1D"/>
    <w:rsid w:val="005F0E0A"/>
    <w:rsid w:val="005F0E72"/>
    <w:rsid w:val="005F12D7"/>
    <w:rsid w:val="005F1545"/>
    <w:rsid w:val="005F1650"/>
    <w:rsid w:val="005F1671"/>
    <w:rsid w:val="005F17B6"/>
    <w:rsid w:val="005F183C"/>
    <w:rsid w:val="005F18A9"/>
    <w:rsid w:val="005F19AF"/>
    <w:rsid w:val="005F1A0A"/>
    <w:rsid w:val="005F1ABE"/>
    <w:rsid w:val="005F1AC1"/>
    <w:rsid w:val="005F1AEC"/>
    <w:rsid w:val="005F1BA8"/>
    <w:rsid w:val="005F1C5B"/>
    <w:rsid w:val="005F1C89"/>
    <w:rsid w:val="005F1CC8"/>
    <w:rsid w:val="005F1D4B"/>
    <w:rsid w:val="005F1D81"/>
    <w:rsid w:val="005F1E7A"/>
    <w:rsid w:val="005F1FF1"/>
    <w:rsid w:val="005F217F"/>
    <w:rsid w:val="005F2181"/>
    <w:rsid w:val="005F21AB"/>
    <w:rsid w:val="005F22BC"/>
    <w:rsid w:val="005F2432"/>
    <w:rsid w:val="005F2443"/>
    <w:rsid w:val="005F2526"/>
    <w:rsid w:val="005F264F"/>
    <w:rsid w:val="005F2698"/>
    <w:rsid w:val="005F2746"/>
    <w:rsid w:val="005F29DF"/>
    <w:rsid w:val="005F2AA3"/>
    <w:rsid w:val="005F2ADB"/>
    <w:rsid w:val="005F2BEE"/>
    <w:rsid w:val="005F2CE7"/>
    <w:rsid w:val="005F2D50"/>
    <w:rsid w:val="005F2E55"/>
    <w:rsid w:val="005F2E94"/>
    <w:rsid w:val="005F30B0"/>
    <w:rsid w:val="005F317B"/>
    <w:rsid w:val="005F3327"/>
    <w:rsid w:val="005F335F"/>
    <w:rsid w:val="005F3407"/>
    <w:rsid w:val="005F3424"/>
    <w:rsid w:val="005F34A9"/>
    <w:rsid w:val="005F34F2"/>
    <w:rsid w:val="005F369E"/>
    <w:rsid w:val="005F36DC"/>
    <w:rsid w:val="005F38C5"/>
    <w:rsid w:val="005F38D5"/>
    <w:rsid w:val="005F3935"/>
    <w:rsid w:val="005F394F"/>
    <w:rsid w:val="005F3B1F"/>
    <w:rsid w:val="005F3BC1"/>
    <w:rsid w:val="005F3C43"/>
    <w:rsid w:val="005F3C4C"/>
    <w:rsid w:val="005F3D26"/>
    <w:rsid w:val="005F3D98"/>
    <w:rsid w:val="005F3EA2"/>
    <w:rsid w:val="005F3EB4"/>
    <w:rsid w:val="005F3EE0"/>
    <w:rsid w:val="005F3EED"/>
    <w:rsid w:val="005F4064"/>
    <w:rsid w:val="005F4090"/>
    <w:rsid w:val="005F42BC"/>
    <w:rsid w:val="005F43F4"/>
    <w:rsid w:val="005F44DD"/>
    <w:rsid w:val="005F4695"/>
    <w:rsid w:val="005F46A9"/>
    <w:rsid w:val="005F4722"/>
    <w:rsid w:val="005F4803"/>
    <w:rsid w:val="005F48D5"/>
    <w:rsid w:val="005F4947"/>
    <w:rsid w:val="005F4A0D"/>
    <w:rsid w:val="005F4A3D"/>
    <w:rsid w:val="005F4AA3"/>
    <w:rsid w:val="005F4AAB"/>
    <w:rsid w:val="005F4BD2"/>
    <w:rsid w:val="005F4E14"/>
    <w:rsid w:val="005F4E58"/>
    <w:rsid w:val="005F4EE2"/>
    <w:rsid w:val="005F4F53"/>
    <w:rsid w:val="005F4F9A"/>
    <w:rsid w:val="005F4FBF"/>
    <w:rsid w:val="005F50B7"/>
    <w:rsid w:val="005F50EE"/>
    <w:rsid w:val="005F51C4"/>
    <w:rsid w:val="005F51E8"/>
    <w:rsid w:val="005F52E1"/>
    <w:rsid w:val="005F5367"/>
    <w:rsid w:val="005F5466"/>
    <w:rsid w:val="005F549A"/>
    <w:rsid w:val="005F54DC"/>
    <w:rsid w:val="005F553C"/>
    <w:rsid w:val="005F556C"/>
    <w:rsid w:val="005F557A"/>
    <w:rsid w:val="005F583F"/>
    <w:rsid w:val="005F5862"/>
    <w:rsid w:val="005F5896"/>
    <w:rsid w:val="005F58BD"/>
    <w:rsid w:val="005F58F3"/>
    <w:rsid w:val="005F5907"/>
    <w:rsid w:val="005F59B6"/>
    <w:rsid w:val="005F5A69"/>
    <w:rsid w:val="005F5B07"/>
    <w:rsid w:val="005F5B9C"/>
    <w:rsid w:val="005F5D3D"/>
    <w:rsid w:val="005F5DA0"/>
    <w:rsid w:val="005F5EA1"/>
    <w:rsid w:val="005F5ED7"/>
    <w:rsid w:val="005F600B"/>
    <w:rsid w:val="005F603C"/>
    <w:rsid w:val="005F6074"/>
    <w:rsid w:val="005F6080"/>
    <w:rsid w:val="005F60C0"/>
    <w:rsid w:val="005F60DB"/>
    <w:rsid w:val="005F613A"/>
    <w:rsid w:val="005F6425"/>
    <w:rsid w:val="005F6429"/>
    <w:rsid w:val="005F6441"/>
    <w:rsid w:val="005F646E"/>
    <w:rsid w:val="005F65B7"/>
    <w:rsid w:val="005F66B9"/>
    <w:rsid w:val="005F671E"/>
    <w:rsid w:val="005F676D"/>
    <w:rsid w:val="005F6851"/>
    <w:rsid w:val="005F695F"/>
    <w:rsid w:val="005F6A53"/>
    <w:rsid w:val="005F6ACA"/>
    <w:rsid w:val="005F6AE4"/>
    <w:rsid w:val="005F6CA5"/>
    <w:rsid w:val="005F6D37"/>
    <w:rsid w:val="005F6F6B"/>
    <w:rsid w:val="005F6FCF"/>
    <w:rsid w:val="005F6FE1"/>
    <w:rsid w:val="005F70E6"/>
    <w:rsid w:val="005F714E"/>
    <w:rsid w:val="005F7171"/>
    <w:rsid w:val="005F7393"/>
    <w:rsid w:val="005F78B3"/>
    <w:rsid w:val="005F796F"/>
    <w:rsid w:val="005F7B54"/>
    <w:rsid w:val="005F7B92"/>
    <w:rsid w:val="005F7C30"/>
    <w:rsid w:val="005F7C97"/>
    <w:rsid w:val="005F7CDD"/>
    <w:rsid w:val="005F7D10"/>
    <w:rsid w:val="005F7EA7"/>
    <w:rsid w:val="005F7F2A"/>
    <w:rsid w:val="005F7F55"/>
    <w:rsid w:val="0060006E"/>
    <w:rsid w:val="00600092"/>
    <w:rsid w:val="0060017B"/>
    <w:rsid w:val="00600369"/>
    <w:rsid w:val="00600461"/>
    <w:rsid w:val="006004A4"/>
    <w:rsid w:val="006004CD"/>
    <w:rsid w:val="006004FF"/>
    <w:rsid w:val="0060056D"/>
    <w:rsid w:val="0060069E"/>
    <w:rsid w:val="00600836"/>
    <w:rsid w:val="0060091C"/>
    <w:rsid w:val="00600A1A"/>
    <w:rsid w:val="00600C63"/>
    <w:rsid w:val="00600EC1"/>
    <w:rsid w:val="00600ECE"/>
    <w:rsid w:val="0060108F"/>
    <w:rsid w:val="00601273"/>
    <w:rsid w:val="00601345"/>
    <w:rsid w:val="0060145B"/>
    <w:rsid w:val="00601536"/>
    <w:rsid w:val="0060155C"/>
    <w:rsid w:val="00601653"/>
    <w:rsid w:val="00601743"/>
    <w:rsid w:val="00601816"/>
    <w:rsid w:val="0060186B"/>
    <w:rsid w:val="006018AD"/>
    <w:rsid w:val="00601A68"/>
    <w:rsid w:val="00601B6F"/>
    <w:rsid w:val="00601C39"/>
    <w:rsid w:val="00601C3C"/>
    <w:rsid w:val="00601D82"/>
    <w:rsid w:val="00601DAA"/>
    <w:rsid w:val="00601DBB"/>
    <w:rsid w:val="006020FF"/>
    <w:rsid w:val="00602240"/>
    <w:rsid w:val="00602290"/>
    <w:rsid w:val="006022BB"/>
    <w:rsid w:val="00602461"/>
    <w:rsid w:val="006025AA"/>
    <w:rsid w:val="0060267B"/>
    <w:rsid w:val="006026B2"/>
    <w:rsid w:val="006026CD"/>
    <w:rsid w:val="006026DC"/>
    <w:rsid w:val="006026F5"/>
    <w:rsid w:val="0060276A"/>
    <w:rsid w:val="00602772"/>
    <w:rsid w:val="006029D7"/>
    <w:rsid w:val="00602C96"/>
    <w:rsid w:val="006030D1"/>
    <w:rsid w:val="00603132"/>
    <w:rsid w:val="00603288"/>
    <w:rsid w:val="006032A4"/>
    <w:rsid w:val="006032C2"/>
    <w:rsid w:val="006032FF"/>
    <w:rsid w:val="006035E0"/>
    <w:rsid w:val="0060371D"/>
    <w:rsid w:val="00603736"/>
    <w:rsid w:val="006038AA"/>
    <w:rsid w:val="00603C86"/>
    <w:rsid w:val="00603D93"/>
    <w:rsid w:val="00603E25"/>
    <w:rsid w:val="00603E28"/>
    <w:rsid w:val="00603ED9"/>
    <w:rsid w:val="00604095"/>
    <w:rsid w:val="00604183"/>
    <w:rsid w:val="006041A0"/>
    <w:rsid w:val="00604306"/>
    <w:rsid w:val="0060443A"/>
    <w:rsid w:val="00604530"/>
    <w:rsid w:val="0060470A"/>
    <w:rsid w:val="00604823"/>
    <w:rsid w:val="006048C8"/>
    <w:rsid w:val="006049EC"/>
    <w:rsid w:val="00604A5C"/>
    <w:rsid w:val="00604BC2"/>
    <w:rsid w:val="00604BF1"/>
    <w:rsid w:val="00604C66"/>
    <w:rsid w:val="00604E41"/>
    <w:rsid w:val="00605025"/>
    <w:rsid w:val="006051C4"/>
    <w:rsid w:val="0060526C"/>
    <w:rsid w:val="006052A2"/>
    <w:rsid w:val="006052BA"/>
    <w:rsid w:val="006053BA"/>
    <w:rsid w:val="006054B6"/>
    <w:rsid w:val="00605628"/>
    <w:rsid w:val="00605641"/>
    <w:rsid w:val="006057EE"/>
    <w:rsid w:val="00605887"/>
    <w:rsid w:val="00605C18"/>
    <w:rsid w:val="00605CBD"/>
    <w:rsid w:val="00605DAF"/>
    <w:rsid w:val="00605DB1"/>
    <w:rsid w:val="00605DC7"/>
    <w:rsid w:val="00605DDC"/>
    <w:rsid w:val="00605DE7"/>
    <w:rsid w:val="00605F55"/>
    <w:rsid w:val="00606033"/>
    <w:rsid w:val="006061EE"/>
    <w:rsid w:val="00606227"/>
    <w:rsid w:val="00606279"/>
    <w:rsid w:val="006062F3"/>
    <w:rsid w:val="0060630D"/>
    <w:rsid w:val="006063E8"/>
    <w:rsid w:val="006063F0"/>
    <w:rsid w:val="0060655B"/>
    <w:rsid w:val="00606589"/>
    <w:rsid w:val="00606732"/>
    <w:rsid w:val="00606871"/>
    <w:rsid w:val="00606914"/>
    <w:rsid w:val="00606993"/>
    <w:rsid w:val="006069C8"/>
    <w:rsid w:val="00606A2F"/>
    <w:rsid w:val="00606C42"/>
    <w:rsid w:val="00606C84"/>
    <w:rsid w:val="00606CC5"/>
    <w:rsid w:val="00606CD1"/>
    <w:rsid w:val="00606D70"/>
    <w:rsid w:val="00606D91"/>
    <w:rsid w:val="00606E9D"/>
    <w:rsid w:val="00606EDC"/>
    <w:rsid w:val="00607061"/>
    <w:rsid w:val="00607104"/>
    <w:rsid w:val="00607149"/>
    <w:rsid w:val="00607265"/>
    <w:rsid w:val="006072F6"/>
    <w:rsid w:val="00607374"/>
    <w:rsid w:val="00607391"/>
    <w:rsid w:val="006073BE"/>
    <w:rsid w:val="006074A3"/>
    <w:rsid w:val="00607503"/>
    <w:rsid w:val="00607507"/>
    <w:rsid w:val="0060750A"/>
    <w:rsid w:val="006076EB"/>
    <w:rsid w:val="00607767"/>
    <w:rsid w:val="00607899"/>
    <w:rsid w:val="00607950"/>
    <w:rsid w:val="00607988"/>
    <w:rsid w:val="006079A4"/>
    <w:rsid w:val="00607A92"/>
    <w:rsid w:val="00607AE5"/>
    <w:rsid w:val="00607AEC"/>
    <w:rsid w:val="00607B8D"/>
    <w:rsid w:val="00607DC6"/>
    <w:rsid w:val="00607FE3"/>
    <w:rsid w:val="00610019"/>
    <w:rsid w:val="0061013C"/>
    <w:rsid w:val="006101FB"/>
    <w:rsid w:val="0061023B"/>
    <w:rsid w:val="00610290"/>
    <w:rsid w:val="00610339"/>
    <w:rsid w:val="006105FA"/>
    <w:rsid w:val="006106F4"/>
    <w:rsid w:val="0061080D"/>
    <w:rsid w:val="0061084E"/>
    <w:rsid w:val="006108D6"/>
    <w:rsid w:val="00610904"/>
    <w:rsid w:val="00610958"/>
    <w:rsid w:val="00610989"/>
    <w:rsid w:val="00610CA2"/>
    <w:rsid w:val="00610CB5"/>
    <w:rsid w:val="00610D32"/>
    <w:rsid w:val="00610EB0"/>
    <w:rsid w:val="00610EB2"/>
    <w:rsid w:val="00610EF3"/>
    <w:rsid w:val="00610F8A"/>
    <w:rsid w:val="00611082"/>
    <w:rsid w:val="0061124B"/>
    <w:rsid w:val="0061133E"/>
    <w:rsid w:val="00611357"/>
    <w:rsid w:val="00611485"/>
    <w:rsid w:val="006114D8"/>
    <w:rsid w:val="0061155F"/>
    <w:rsid w:val="00611739"/>
    <w:rsid w:val="006119DA"/>
    <w:rsid w:val="006119FF"/>
    <w:rsid w:val="00611B11"/>
    <w:rsid w:val="00611C69"/>
    <w:rsid w:val="00611F44"/>
    <w:rsid w:val="0061226D"/>
    <w:rsid w:val="006123CA"/>
    <w:rsid w:val="006126BE"/>
    <w:rsid w:val="006126CA"/>
    <w:rsid w:val="00612715"/>
    <w:rsid w:val="0061281A"/>
    <w:rsid w:val="00612840"/>
    <w:rsid w:val="00612932"/>
    <w:rsid w:val="00612966"/>
    <w:rsid w:val="00612A00"/>
    <w:rsid w:val="00612A20"/>
    <w:rsid w:val="00612BBF"/>
    <w:rsid w:val="00612BE0"/>
    <w:rsid w:val="00612C08"/>
    <w:rsid w:val="00612D9F"/>
    <w:rsid w:val="00612DDC"/>
    <w:rsid w:val="00612E13"/>
    <w:rsid w:val="00612E1C"/>
    <w:rsid w:val="00612E41"/>
    <w:rsid w:val="00613385"/>
    <w:rsid w:val="006133B3"/>
    <w:rsid w:val="00613492"/>
    <w:rsid w:val="006134AE"/>
    <w:rsid w:val="006134DA"/>
    <w:rsid w:val="00613729"/>
    <w:rsid w:val="00613859"/>
    <w:rsid w:val="0061393D"/>
    <w:rsid w:val="00613A2E"/>
    <w:rsid w:val="00613BC2"/>
    <w:rsid w:val="00613C77"/>
    <w:rsid w:val="00613DBA"/>
    <w:rsid w:val="00613E08"/>
    <w:rsid w:val="00613E1E"/>
    <w:rsid w:val="00613F3C"/>
    <w:rsid w:val="0061404A"/>
    <w:rsid w:val="00614128"/>
    <w:rsid w:val="006141DC"/>
    <w:rsid w:val="00614317"/>
    <w:rsid w:val="006144C6"/>
    <w:rsid w:val="0061460E"/>
    <w:rsid w:val="006147DA"/>
    <w:rsid w:val="00614852"/>
    <w:rsid w:val="006148EB"/>
    <w:rsid w:val="006149FA"/>
    <w:rsid w:val="00614C5F"/>
    <w:rsid w:val="00614F24"/>
    <w:rsid w:val="0061502A"/>
    <w:rsid w:val="00615395"/>
    <w:rsid w:val="006153F5"/>
    <w:rsid w:val="006153FF"/>
    <w:rsid w:val="00615554"/>
    <w:rsid w:val="006155B6"/>
    <w:rsid w:val="006155E3"/>
    <w:rsid w:val="00615667"/>
    <w:rsid w:val="00615716"/>
    <w:rsid w:val="006158D5"/>
    <w:rsid w:val="006158E2"/>
    <w:rsid w:val="00615A6E"/>
    <w:rsid w:val="00615ABC"/>
    <w:rsid w:val="00615B6D"/>
    <w:rsid w:val="00615BB3"/>
    <w:rsid w:val="00615C27"/>
    <w:rsid w:val="00615CB3"/>
    <w:rsid w:val="00615CC1"/>
    <w:rsid w:val="00615CED"/>
    <w:rsid w:val="00615D34"/>
    <w:rsid w:val="00615D6A"/>
    <w:rsid w:val="00615D74"/>
    <w:rsid w:val="00615E7C"/>
    <w:rsid w:val="00615E80"/>
    <w:rsid w:val="00615F1A"/>
    <w:rsid w:val="0061610A"/>
    <w:rsid w:val="006161B5"/>
    <w:rsid w:val="0061636B"/>
    <w:rsid w:val="00616403"/>
    <w:rsid w:val="00616635"/>
    <w:rsid w:val="00616665"/>
    <w:rsid w:val="006166B0"/>
    <w:rsid w:val="00616706"/>
    <w:rsid w:val="00616893"/>
    <w:rsid w:val="0061694F"/>
    <w:rsid w:val="0061699A"/>
    <w:rsid w:val="0061699B"/>
    <w:rsid w:val="00616A25"/>
    <w:rsid w:val="00616AA8"/>
    <w:rsid w:val="00616AE6"/>
    <w:rsid w:val="00616B4E"/>
    <w:rsid w:val="00616B55"/>
    <w:rsid w:val="00616DA0"/>
    <w:rsid w:val="00616E92"/>
    <w:rsid w:val="00616F28"/>
    <w:rsid w:val="00617272"/>
    <w:rsid w:val="00617313"/>
    <w:rsid w:val="006173CA"/>
    <w:rsid w:val="006173D7"/>
    <w:rsid w:val="00617460"/>
    <w:rsid w:val="006174B5"/>
    <w:rsid w:val="006174E0"/>
    <w:rsid w:val="006175C6"/>
    <w:rsid w:val="00617600"/>
    <w:rsid w:val="00617663"/>
    <w:rsid w:val="0061775D"/>
    <w:rsid w:val="00617764"/>
    <w:rsid w:val="0061780E"/>
    <w:rsid w:val="00617837"/>
    <w:rsid w:val="006178B5"/>
    <w:rsid w:val="006178CB"/>
    <w:rsid w:val="006178DF"/>
    <w:rsid w:val="00617BDF"/>
    <w:rsid w:val="00617BE5"/>
    <w:rsid w:val="00617C56"/>
    <w:rsid w:val="00617C7C"/>
    <w:rsid w:val="00617C80"/>
    <w:rsid w:val="00617D78"/>
    <w:rsid w:val="00617D8D"/>
    <w:rsid w:val="00617F1E"/>
    <w:rsid w:val="00617F7F"/>
    <w:rsid w:val="00620261"/>
    <w:rsid w:val="006202FF"/>
    <w:rsid w:val="006203A3"/>
    <w:rsid w:val="006203CE"/>
    <w:rsid w:val="00620618"/>
    <w:rsid w:val="00620AFE"/>
    <w:rsid w:val="00620B64"/>
    <w:rsid w:val="00620B77"/>
    <w:rsid w:val="00620CAC"/>
    <w:rsid w:val="00620E4C"/>
    <w:rsid w:val="00620E9E"/>
    <w:rsid w:val="00620EA8"/>
    <w:rsid w:val="00620FCD"/>
    <w:rsid w:val="00620FD1"/>
    <w:rsid w:val="0062115A"/>
    <w:rsid w:val="0062124E"/>
    <w:rsid w:val="006213F2"/>
    <w:rsid w:val="0062147A"/>
    <w:rsid w:val="0062164B"/>
    <w:rsid w:val="0062185D"/>
    <w:rsid w:val="00621B0A"/>
    <w:rsid w:val="00621B28"/>
    <w:rsid w:val="00621B2A"/>
    <w:rsid w:val="00621B61"/>
    <w:rsid w:val="00621C0D"/>
    <w:rsid w:val="00621C73"/>
    <w:rsid w:val="00621C8F"/>
    <w:rsid w:val="00621DCA"/>
    <w:rsid w:val="00621EB1"/>
    <w:rsid w:val="006220B4"/>
    <w:rsid w:val="00622140"/>
    <w:rsid w:val="0062235F"/>
    <w:rsid w:val="006224EE"/>
    <w:rsid w:val="006224FE"/>
    <w:rsid w:val="0062250C"/>
    <w:rsid w:val="00622835"/>
    <w:rsid w:val="00622924"/>
    <w:rsid w:val="006229A2"/>
    <w:rsid w:val="00622A6D"/>
    <w:rsid w:val="00622A72"/>
    <w:rsid w:val="00622AC1"/>
    <w:rsid w:val="00622B81"/>
    <w:rsid w:val="00622B95"/>
    <w:rsid w:val="00622BCB"/>
    <w:rsid w:val="00622BCC"/>
    <w:rsid w:val="00622CDF"/>
    <w:rsid w:val="00622D1D"/>
    <w:rsid w:val="00622D6E"/>
    <w:rsid w:val="00622DDC"/>
    <w:rsid w:val="00622E60"/>
    <w:rsid w:val="00622E87"/>
    <w:rsid w:val="00622EF7"/>
    <w:rsid w:val="00622FB1"/>
    <w:rsid w:val="0062302A"/>
    <w:rsid w:val="006230AE"/>
    <w:rsid w:val="00623231"/>
    <w:rsid w:val="00623434"/>
    <w:rsid w:val="006234C0"/>
    <w:rsid w:val="006234D1"/>
    <w:rsid w:val="006234E1"/>
    <w:rsid w:val="0062351F"/>
    <w:rsid w:val="00623658"/>
    <w:rsid w:val="0062391A"/>
    <w:rsid w:val="00623940"/>
    <w:rsid w:val="00623973"/>
    <w:rsid w:val="00623A69"/>
    <w:rsid w:val="00623B1A"/>
    <w:rsid w:val="00623B36"/>
    <w:rsid w:val="00623B3D"/>
    <w:rsid w:val="00623B76"/>
    <w:rsid w:val="00623BE4"/>
    <w:rsid w:val="00623BFA"/>
    <w:rsid w:val="00623CE7"/>
    <w:rsid w:val="00623D00"/>
    <w:rsid w:val="00623D57"/>
    <w:rsid w:val="00623EB5"/>
    <w:rsid w:val="00624039"/>
    <w:rsid w:val="006240CE"/>
    <w:rsid w:val="006240E8"/>
    <w:rsid w:val="006242CA"/>
    <w:rsid w:val="00624433"/>
    <w:rsid w:val="00624644"/>
    <w:rsid w:val="00624714"/>
    <w:rsid w:val="0062478A"/>
    <w:rsid w:val="0062478D"/>
    <w:rsid w:val="0062498F"/>
    <w:rsid w:val="006249F6"/>
    <w:rsid w:val="00624A2A"/>
    <w:rsid w:val="00624BEF"/>
    <w:rsid w:val="00625148"/>
    <w:rsid w:val="00625196"/>
    <w:rsid w:val="006252FD"/>
    <w:rsid w:val="00625392"/>
    <w:rsid w:val="00625441"/>
    <w:rsid w:val="0062561A"/>
    <w:rsid w:val="006256C3"/>
    <w:rsid w:val="006256E0"/>
    <w:rsid w:val="00625764"/>
    <w:rsid w:val="006257D8"/>
    <w:rsid w:val="006258A7"/>
    <w:rsid w:val="00625993"/>
    <w:rsid w:val="006259F9"/>
    <w:rsid w:val="00625A0B"/>
    <w:rsid w:val="00625AF7"/>
    <w:rsid w:val="00625C38"/>
    <w:rsid w:val="00625C7C"/>
    <w:rsid w:val="00625CBF"/>
    <w:rsid w:val="00625E63"/>
    <w:rsid w:val="00625EC3"/>
    <w:rsid w:val="00625EEC"/>
    <w:rsid w:val="00625F85"/>
    <w:rsid w:val="00625F88"/>
    <w:rsid w:val="00625FFE"/>
    <w:rsid w:val="0062600F"/>
    <w:rsid w:val="00626080"/>
    <w:rsid w:val="00626081"/>
    <w:rsid w:val="006261D3"/>
    <w:rsid w:val="00626212"/>
    <w:rsid w:val="00626448"/>
    <w:rsid w:val="006265F9"/>
    <w:rsid w:val="0062661C"/>
    <w:rsid w:val="006266E0"/>
    <w:rsid w:val="00626A43"/>
    <w:rsid w:val="00626AA6"/>
    <w:rsid w:val="00626BDC"/>
    <w:rsid w:val="00626BDF"/>
    <w:rsid w:val="00626C95"/>
    <w:rsid w:val="00626F13"/>
    <w:rsid w:val="00626F82"/>
    <w:rsid w:val="0062702D"/>
    <w:rsid w:val="00627329"/>
    <w:rsid w:val="00627412"/>
    <w:rsid w:val="00627431"/>
    <w:rsid w:val="0062751E"/>
    <w:rsid w:val="00627642"/>
    <w:rsid w:val="006277AE"/>
    <w:rsid w:val="0062785F"/>
    <w:rsid w:val="00627977"/>
    <w:rsid w:val="006279C5"/>
    <w:rsid w:val="00627BAF"/>
    <w:rsid w:val="00627D00"/>
    <w:rsid w:val="00627EBB"/>
    <w:rsid w:val="00627EC0"/>
    <w:rsid w:val="00627EF5"/>
    <w:rsid w:val="00630162"/>
    <w:rsid w:val="00630201"/>
    <w:rsid w:val="00630295"/>
    <w:rsid w:val="0063052C"/>
    <w:rsid w:val="006305A7"/>
    <w:rsid w:val="006305D2"/>
    <w:rsid w:val="006305FB"/>
    <w:rsid w:val="0063080B"/>
    <w:rsid w:val="00630853"/>
    <w:rsid w:val="00630999"/>
    <w:rsid w:val="00630D92"/>
    <w:rsid w:val="00630DE1"/>
    <w:rsid w:val="00630DFD"/>
    <w:rsid w:val="00630FED"/>
    <w:rsid w:val="006311CC"/>
    <w:rsid w:val="0063129A"/>
    <w:rsid w:val="006312A8"/>
    <w:rsid w:val="0063139B"/>
    <w:rsid w:val="006315C5"/>
    <w:rsid w:val="0063176D"/>
    <w:rsid w:val="00631990"/>
    <w:rsid w:val="006319A0"/>
    <w:rsid w:val="00631A2D"/>
    <w:rsid w:val="00631A40"/>
    <w:rsid w:val="00631C12"/>
    <w:rsid w:val="00632020"/>
    <w:rsid w:val="006322AC"/>
    <w:rsid w:val="006322D1"/>
    <w:rsid w:val="00632329"/>
    <w:rsid w:val="006323D9"/>
    <w:rsid w:val="00632515"/>
    <w:rsid w:val="0063269A"/>
    <w:rsid w:val="00632777"/>
    <w:rsid w:val="0063282D"/>
    <w:rsid w:val="006328A7"/>
    <w:rsid w:val="006328C2"/>
    <w:rsid w:val="00632AF7"/>
    <w:rsid w:val="00632B54"/>
    <w:rsid w:val="00632BE8"/>
    <w:rsid w:val="00632D4E"/>
    <w:rsid w:val="00632D79"/>
    <w:rsid w:val="00632E2B"/>
    <w:rsid w:val="00632ED9"/>
    <w:rsid w:val="00632FF2"/>
    <w:rsid w:val="00633048"/>
    <w:rsid w:val="006330AE"/>
    <w:rsid w:val="006331BE"/>
    <w:rsid w:val="0063322E"/>
    <w:rsid w:val="00633368"/>
    <w:rsid w:val="0063336D"/>
    <w:rsid w:val="006333D4"/>
    <w:rsid w:val="00633488"/>
    <w:rsid w:val="006338F3"/>
    <w:rsid w:val="00633A21"/>
    <w:rsid w:val="00633AD1"/>
    <w:rsid w:val="00633CA1"/>
    <w:rsid w:val="00633E15"/>
    <w:rsid w:val="00633E18"/>
    <w:rsid w:val="00633FDD"/>
    <w:rsid w:val="0063400A"/>
    <w:rsid w:val="0063400E"/>
    <w:rsid w:val="0063426F"/>
    <w:rsid w:val="00634328"/>
    <w:rsid w:val="006344F8"/>
    <w:rsid w:val="0063457A"/>
    <w:rsid w:val="006345A6"/>
    <w:rsid w:val="0063475F"/>
    <w:rsid w:val="006347B1"/>
    <w:rsid w:val="00634817"/>
    <w:rsid w:val="00634A85"/>
    <w:rsid w:val="00634CDE"/>
    <w:rsid w:val="00634D30"/>
    <w:rsid w:val="00634E80"/>
    <w:rsid w:val="00634EDE"/>
    <w:rsid w:val="006350F7"/>
    <w:rsid w:val="00635237"/>
    <w:rsid w:val="006352CD"/>
    <w:rsid w:val="00635440"/>
    <w:rsid w:val="00635494"/>
    <w:rsid w:val="00635539"/>
    <w:rsid w:val="0063557C"/>
    <w:rsid w:val="0063560A"/>
    <w:rsid w:val="006356B8"/>
    <w:rsid w:val="006357D9"/>
    <w:rsid w:val="00635897"/>
    <w:rsid w:val="00635B5E"/>
    <w:rsid w:val="00635B7F"/>
    <w:rsid w:val="00635CCA"/>
    <w:rsid w:val="00635D9B"/>
    <w:rsid w:val="00635F2D"/>
    <w:rsid w:val="00635F92"/>
    <w:rsid w:val="00635F93"/>
    <w:rsid w:val="00635FC8"/>
    <w:rsid w:val="006360E9"/>
    <w:rsid w:val="006361D1"/>
    <w:rsid w:val="00636316"/>
    <w:rsid w:val="006364A7"/>
    <w:rsid w:val="006364B0"/>
    <w:rsid w:val="00636591"/>
    <w:rsid w:val="006365E6"/>
    <w:rsid w:val="00636698"/>
    <w:rsid w:val="00636728"/>
    <w:rsid w:val="006367AE"/>
    <w:rsid w:val="006367B1"/>
    <w:rsid w:val="006367E1"/>
    <w:rsid w:val="0063687D"/>
    <w:rsid w:val="00636B92"/>
    <w:rsid w:val="00636BC7"/>
    <w:rsid w:val="00636C22"/>
    <w:rsid w:val="00636CC2"/>
    <w:rsid w:val="00636CD1"/>
    <w:rsid w:val="00636D97"/>
    <w:rsid w:val="00636DA4"/>
    <w:rsid w:val="00636E30"/>
    <w:rsid w:val="00636E5E"/>
    <w:rsid w:val="00636E72"/>
    <w:rsid w:val="006370D0"/>
    <w:rsid w:val="006370D7"/>
    <w:rsid w:val="006371E5"/>
    <w:rsid w:val="006372CB"/>
    <w:rsid w:val="0063745F"/>
    <w:rsid w:val="0063756B"/>
    <w:rsid w:val="0063769A"/>
    <w:rsid w:val="006378E9"/>
    <w:rsid w:val="0063792D"/>
    <w:rsid w:val="00637A5B"/>
    <w:rsid w:val="00637AEF"/>
    <w:rsid w:val="00637B01"/>
    <w:rsid w:val="00637B2F"/>
    <w:rsid w:val="00637B3F"/>
    <w:rsid w:val="00637BB9"/>
    <w:rsid w:val="00637D83"/>
    <w:rsid w:val="00637DF5"/>
    <w:rsid w:val="00637F30"/>
    <w:rsid w:val="00637F44"/>
    <w:rsid w:val="00637F54"/>
    <w:rsid w:val="00637F9A"/>
    <w:rsid w:val="00640144"/>
    <w:rsid w:val="00640192"/>
    <w:rsid w:val="0064025D"/>
    <w:rsid w:val="0064035C"/>
    <w:rsid w:val="006403B5"/>
    <w:rsid w:val="006403E0"/>
    <w:rsid w:val="00640403"/>
    <w:rsid w:val="00640435"/>
    <w:rsid w:val="00640530"/>
    <w:rsid w:val="00640552"/>
    <w:rsid w:val="00640610"/>
    <w:rsid w:val="00640659"/>
    <w:rsid w:val="00640682"/>
    <w:rsid w:val="006406CA"/>
    <w:rsid w:val="00640713"/>
    <w:rsid w:val="00640872"/>
    <w:rsid w:val="00640A0B"/>
    <w:rsid w:val="00640A13"/>
    <w:rsid w:val="00640B42"/>
    <w:rsid w:val="00640BF6"/>
    <w:rsid w:val="00640C20"/>
    <w:rsid w:val="00640D48"/>
    <w:rsid w:val="00640E79"/>
    <w:rsid w:val="00640F9B"/>
    <w:rsid w:val="006410BE"/>
    <w:rsid w:val="00641134"/>
    <w:rsid w:val="006411DD"/>
    <w:rsid w:val="00641299"/>
    <w:rsid w:val="006416C9"/>
    <w:rsid w:val="0064173B"/>
    <w:rsid w:val="006418E9"/>
    <w:rsid w:val="0064190F"/>
    <w:rsid w:val="00641AB3"/>
    <w:rsid w:val="00641AE1"/>
    <w:rsid w:val="00641BA0"/>
    <w:rsid w:val="00641C26"/>
    <w:rsid w:val="00641DAD"/>
    <w:rsid w:val="00641E4C"/>
    <w:rsid w:val="00641EE4"/>
    <w:rsid w:val="00641F43"/>
    <w:rsid w:val="00641FB8"/>
    <w:rsid w:val="00641FC1"/>
    <w:rsid w:val="0064218A"/>
    <w:rsid w:val="006424B7"/>
    <w:rsid w:val="006425EE"/>
    <w:rsid w:val="00642690"/>
    <w:rsid w:val="006427BB"/>
    <w:rsid w:val="006427E5"/>
    <w:rsid w:val="0064280A"/>
    <w:rsid w:val="00642975"/>
    <w:rsid w:val="00642B46"/>
    <w:rsid w:val="00642C27"/>
    <w:rsid w:val="00642C79"/>
    <w:rsid w:val="00642D1D"/>
    <w:rsid w:val="00642D85"/>
    <w:rsid w:val="00643022"/>
    <w:rsid w:val="0064306C"/>
    <w:rsid w:val="006430DF"/>
    <w:rsid w:val="00643139"/>
    <w:rsid w:val="0064335C"/>
    <w:rsid w:val="00643394"/>
    <w:rsid w:val="006434C9"/>
    <w:rsid w:val="006435A4"/>
    <w:rsid w:val="00643673"/>
    <w:rsid w:val="006437D4"/>
    <w:rsid w:val="00643884"/>
    <w:rsid w:val="00643954"/>
    <w:rsid w:val="00643958"/>
    <w:rsid w:val="006439B9"/>
    <w:rsid w:val="00643A99"/>
    <w:rsid w:val="00643B0A"/>
    <w:rsid w:val="00643DF5"/>
    <w:rsid w:val="00643F45"/>
    <w:rsid w:val="00643FDD"/>
    <w:rsid w:val="006441B8"/>
    <w:rsid w:val="0064434D"/>
    <w:rsid w:val="00644357"/>
    <w:rsid w:val="006443BE"/>
    <w:rsid w:val="0064440D"/>
    <w:rsid w:val="00644573"/>
    <w:rsid w:val="006445C2"/>
    <w:rsid w:val="006446C8"/>
    <w:rsid w:val="006446E0"/>
    <w:rsid w:val="006447FB"/>
    <w:rsid w:val="00644923"/>
    <w:rsid w:val="00644C03"/>
    <w:rsid w:val="00644D48"/>
    <w:rsid w:val="00644DBA"/>
    <w:rsid w:val="00644E7E"/>
    <w:rsid w:val="00644E83"/>
    <w:rsid w:val="00645018"/>
    <w:rsid w:val="00645033"/>
    <w:rsid w:val="0064504F"/>
    <w:rsid w:val="0064509D"/>
    <w:rsid w:val="00645155"/>
    <w:rsid w:val="00645304"/>
    <w:rsid w:val="00645365"/>
    <w:rsid w:val="00645373"/>
    <w:rsid w:val="006453AF"/>
    <w:rsid w:val="00645400"/>
    <w:rsid w:val="0064543B"/>
    <w:rsid w:val="00645521"/>
    <w:rsid w:val="00645528"/>
    <w:rsid w:val="00645583"/>
    <w:rsid w:val="0064585E"/>
    <w:rsid w:val="00645CDA"/>
    <w:rsid w:val="00645DBD"/>
    <w:rsid w:val="00645E79"/>
    <w:rsid w:val="00645EC2"/>
    <w:rsid w:val="006460D8"/>
    <w:rsid w:val="006462DA"/>
    <w:rsid w:val="00646590"/>
    <w:rsid w:val="00646877"/>
    <w:rsid w:val="00646924"/>
    <w:rsid w:val="00646B76"/>
    <w:rsid w:val="00646B95"/>
    <w:rsid w:val="00646BFB"/>
    <w:rsid w:val="00646C40"/>
    <w:rsid w:val="00646C7E"/>
    <w:rsid w:val="00646E7D"/>
    <w:rsid w:val="00646F0C"/>
    <w:rsid w:val="00646FA1"/>
    <w:rsid w:val="006470A2"/>
    <w:rsid w:val="00647176"/>
    <w:rsid w:val="00647185"/>
    <w:rsid w:val="006475F3"/>
    <w:rsid w:val="00647799"/>
    <w:rsid w:val="006478DE"/>
    <w:rsid w:val="0064794E"/>
    <w:rsid w:val="00647956"/>
    <w:rsid w:val="00647991"/>
    <w:rsid w:val="006479A2"/>
    <w:rsid w:val="00647E33"/>
    <w:rsid w:val="00647FC8"/>
    <w:rsid w:val="0065006A"/>
    <w:rsid w:val="00650255"/>
    <w:rsid w:val="0065050B"/>
    <w:rsid w:val="00650532"/>
    <w:rsid w:val="00650643"/>
    <w:rsid w:val="006506BD"/>
    <w:rsid w:val="0065078B"/>
    <w:rsid w:val="006507E3"/>
    <w:rsid w:val="006508BD"/>
    <w:rsid w:val="00650970"/>
    <w:rsid w:val="006509D9"/>
    <w:rsid w:val="00650B53"/>
    <w:rsid w:val="00650B65"/>
    <w:rsid w:val="00650C6D"/>
    <w:rsid w:val="00650C73"/>
    <w:rsid w:val="00650DFE"/>
    <w:rsid w:val="0065136D"/>
    <w:rsid w:val="006513A1"/>
    <w:rsid w:val="0065145A"/>
    <w:rsid w:val="00651475"/>
    <w:rsid w:val="006514C2"/>
    <w:rsid w:val="0065159D"/>
    <w:rsid w:val="0065162C"/>
    <w:rsid w:val="00651645"/>
    <w:rsid w:val="00651731"/>
    <w:rsid w:val="00651AD0"/>
    <w:rsid w:val="00651B15"/>
    <w:rsid w:val="00651B6C"/>
    <w:rsid w:val="00651B96"/>
    <w:rsid w:val="00651C0F"/>
    <w:rsid w:val="00651C8A"/>
    <w:rsid w:val="00651E42"/>
    <w:rsid w:val="00651F09"/>
    <w:rsid w:val="00651F9C"/>
    <w:rsid w:val="00651FD4"/>
    <w:rsid w:val="00651FF8"/>
    <w:rsid w:val="006521FD"/>
    <w:rsid w:val="0065225A"/>
    <w:rsid w:val="00652318"/>
    <w:rsid w:val="00652516"/>
    <w:rsid w:val="0065283E"/>
    <w:rsid w:val="00652864"/>
    <w:rsid w:val="006528E1"/>
    <w:rsid w:val="00652988"/>
    <w:rsid w:val="00652A3D"/>
    <w:rsid w:val="00652B6C"/>
    <w:rsid w:val="00652C96"/>
    <w:rsid w:val="00652E6E"/>
    <w:rsid w:val="00652EF9"/>
    <w:rsid w:val="0065304A"/>
    <w:rsid w:val="00653182"/>
    <w:rsid w:val="006531B5"/>
    <w:rsid w:val="006532BD"/>
    <w:rsid w:val="0065335B"/>
    <w:rsid w:val="006533C2"/>
    <w:rsid w:val="0065346C"/>
    <w:rsid w:val="0065360E"/>
    <w:rsid w:val="00653626"/>
    <w:rsid w:val="00653707"/>
    <w:rsid w:val="006538E2"/>
    <w:rsid w:val="0065395C"/>
    <w:rsid w:val="00653977"/>
    <w:rsid w:val="006539A4"/>
    <w:rsid w:val="00653A13"/>
    <w:rsid w:val="00653A97"/>
    <w:rsid w:val="00653A99"/>
    <w:rsid w:val="00653C3F"/>
    <w:rsid w:val="00653D1D"/>
    <w:rsid w:val="00653E6F"/>
    <w:rsid w:val="00653FA8"/>
    <w:rsid w:val="006540F3"/>
    <w:rsid w:val="006542AC"/>
    <w:rsid w:val="006542F1"/>
    <w:rsid w:val="00654342"/>
    <w:rsid w:val="006543D4"/>
    <w:rsid w:val="0065442B"/>
    <w:rsid w:val="00654543"/>
    <w:rsid w:val="006545F3"/>
    <w:rsid w:val="00654780"/>
    <w:rsid w:val="0065480C"/>
    <w:rsid w:val="00654879"/>
    <w:rsid w:val="0065488F"/>
    <w:rsid w:val="006549AE"/>
    <w:rsid w:val="00654B76"/>
    <w:rsid w:val="00654BC4"/>
    <w:rsid w:val="00654C36"/>
    <w:rsid w:val="00654C5F"/>
    <w:rsid w:val="00654D9C"/>
    <w:rsid w:val="00654E2C"/>
    <w:rsid w:val="00654ECC"/>
    <w:rsid w:val="00654F0B"/>
    <w:rsid w:val="00655047"/>
    <w:rsid w:val="006551F2"/>
    <w:rsid w:val="0065545C"/>
    <w:rsid w:val="00655482"/>
    <w:rsid w:val="006557BE"/>
    <w:rsid w:val="006557CA"/>
    <w:rsid w:val="00655828"/>
    <w:rsid w:val="0065586A"/>
    <w:rsid w:val="006559FE"/>
    <w:rsid w:val="00655AA0"/>
    <w:rsid w:val="00655B4E"/>
    <w:rsid w:val="00655BAB"/>
    <w:rsid w:val="00655FDB"/>
    <w:rsid w:val="00656045"/>
    <w:rsid w:val="0065662A"/>
    <w:rsid w:val="00656843"/>
    <w:rsid w:val="00656882"/>
    <w:rsid w:val="006568A5"/>
    <w:rsid w:val="006568C8"/>
    <w:rsid w:val="00656B97"/>
    <w:rsid w:val="00656CCA"/>
    <w:rsid w:val="00656DD0"/>
    <w:rsid w:val="00656E87"/>
    <w:rsid w:val="00656EEF"/>
    <w:rsid w:val="00656F36"/>
    <w:rsid w:val="00656F91"/>
    <w:rsid w:val="00656FD2"/>
    <w:rsid w:val="00657077"/>
    <w:rsid w:val="0065718B"/>
    <w:rsid w:val="00657223"/>
    <w:rsid w:val="00657305"/>
    <w:rsid w:val="0065755A"/>
    <w:rsid w:val="0065762A"/>
    <w:rsid w:val="006576A7"/>
    <w:rsid w:val="00657B4E"/>
    <w:rsid w:val="00657B73"/>
    <w:rsid w:val="00657BE9"/>
    <w:rsid w:val="00657C1E"/>
    <w:rsid w:val="00657C6B"/>
    <w:rsid w:val="00657C73"/>
    <w:rsid w:val="00657C78"/>
    <w:rsid w:val="00657DA8"/>
    <w:rsid w:val="00660008"/>
    <w:rsid w:val="0066004F"/>
    <w:rsid w:val="0066005E"/>
    <w:rsid w:val="00660152"/>
    <w:rsid w:val="0066016E"/>
    <w:rsid w:val="00660301"/>
    <w:rsid w:val="0066034F"/>
    <w:rsid w:val="00660356"/>
    <w:rsid w:val="00660392"/>
    <w:rsid w:val="0066041C"/>
    <w:rsid w:val="00660470"/>
    <w:rsid w:val="00660482"/>
    <w:rsid w:val="006604B0"/>
    <w:rsid w:val="00660524"/>
    <w:rsid w:val="00660526"/>
    <w:rsid w:val="0066052E"/>
    <w:rsid w:val="00660545"/>
    <w:rsid w:val="006606A0"/>
    <w:rsid w:val="00660977"/>
    <w:rsid w:val="006609D5"/>
    <w:rsid w:val="00660CED"/>
    <w:rsid w:val="00660D37"/>
    <w:rsid w:val="00660DC8"/>
    <w:rsid w:val="00660F0B"/>
    <w:rsid w:val="00660F5C"/>
    <w:rsid w:val="006610BB"/>
    <w:rsid w:val="00661145"/>
    <w:rsid w:val="0066127F"/>
    <w:rsid w:val="006613F6"/>
    <w:rsid w:val="0066147E"/>
    <w:rsid w:val="006615D2"/>
    <w:rsid w:val="0066181C"/>
    <w:rsid w:val="00661885"/>
    <w:rsid w:val="006619CA"/>
    <w:rsid w:val="00661AF3"/>
    <w:rsid w:val="00661B61"/>
    <w:rsid w:val="00661F8A"/>
    <w:rsid w:val="00661F9B"/>
    <w:rsid w:val="00661FC1"/>
    <w:rsid w:val="0066203E"/>
    <w:rsid w:val="00662050"/>
    <w:rsid w:val="0066205D"/>
    <w:rsid w:val="00662108"/>
    <w:rsid w:val="006621D2"/>
    <w:rsid w:val="006621ED"/>
    <w:rsid w:val="006623A7"/>
    <w:rsid w:val="006623AB"/>
    <w:rsid w:val="00662439"/>
    <w:rsid w:val="006625D5"/>
    <w:rsid w:val="0066262A"/>
    <w:rsid w:val="0066262C"/>
    <w:rsid w:val="0066270B"/>
    <w:rsid w:val="00662858"/>
    <w:rsid w:val="006628A4"/>
    <w:rsid w:val="00662952"/>
    <w:rsid w:val="00662A9A"/>
    <w:rsid w:val="00662B76"/>
    <w:rsid w:val="00662ECB"/>
    <w:rsid w:val="00663071"/>
    <w:rsid w:val="006630E4"/>
    <w:rsid w:val="00663197"/>
    <w:rsid w:val="0066342C"/>
    <w:rsid w:val="0066356B"/>
    <w:rsid w:val="00663613"/>
    <w:rsid w:val="0066363C"/>
    <w:rsid w:val="006637EA"/>
    <w:rsid w:val="00663814"/>
    <w:rsid w:val="00663891"/>
    <w:rsid w:val="00663B84"/>
    <w:rsid w:val="00663B90"/>
    <w:rsid w:val="00663C46"/>
    <w:rsid w:val="00663E6A"/>
    <w:rsid w:val="00663E6B"/>
    <w:rsid w:val="00663F5B"/>
    <w:rsid w:val="00664354"/>
    <w:rsid w:val="006643AB"/>
    <w:rsid w:val="00664419"/>
    <w:rsid w:val="0066445D"/>
    <w:rsid w:val="00664647"/>
    <w:rsid w:val="006646D1"/>
    <w:rsid w:val="006648B8"/>
    <w:rsid w:val="006648DF"/>
    <w:rsid w:val="006649B1"/>
    <w:rsid w:val="00664B19"/>
    <w:rsid w:val="00664B2A"/>
    <w:rsid w:val="00664C0B"/>
    <w:rsid w:val="00664D55"/>
    <w:rsid w:val="00664EBE"/>
    <w:rsid w:val="006650F6"/>
    <w:rsid w:val="00665132"/>
    <w:rsid w:val="0066537B"/>
    <w:rsid w:val="00665387"/>
    <w:rsid w:val="00665397"/>
    <w:rsid w:val="00665539"/>
    <w:rsid w:val="006655BF"/>
    <w:rsid w:val="006655E4"/>
    <w:rsid w:val="00665624"/>
    <w:rsid w:val="00665B9A"/>
    <w:rsid w:val="00665BB7"/>
    <w:rsid w:val="00665BBE"/>
    <w:rsid w:val="00665E01"/>
    <w:rsid w:val="00665E38"/>
    <w:rsid w:val="00665EB4"/>
    <w:rsid w:val="006661B0"/>
    <w:rsid w:val="0066620D"/>
    <w:rsid w:val="00666275"/>
    <w:rsid w:val="006662EB"/>
    <w:rsid w:val="00666387"/>
    <w:rsid w:val="0066640E"/>
    <w:rsid w:val="006666FF"/>
    <w:rsid w:val="0066673D"/>
    <w:rsid w:val="00666869"/>
    <w:rsid w:val="00666A13"/>
    <w:rsid w:val="00666A32"/>
    <w:rsid w:val="00666A5F"/>
    <w:rsid w:val="00666A64"/>
    <w:rsid w:val="00666B3E"/>
    <w:rsid w:val="00666C5E"/>
    <w:rsid w:val="00666C6F"/>
    <w:rsid w:val="00666EE4"/>
    <w:rsid w:val="006670C3"/>
    <w:rsid w:val="006670D9"/>
    <w:rsid w:val="00667130"/>
    <w:rsid w:val="00667142"/>
    <w:rsid w:val="006671FC"/>
    <w:rsid w:val="00667301"/>
    <w:rsid w:val="00667385"/>
    <w:rsid w:val="0066752A"/>
    <w:rsid w:val="00667568"/>
    <w:rsid w:val="006675E0"/>
    <w:rsid w:val="00667B4F"/>
    <w:rsid w:val="00667C1A"/>
    <w:rsid w:val="00667C41"/>
    <w:rsid w:val="00667CAE"/>
    <w:rsid w:val="00667E64"/>
    <w:rsid w:val="00667ECB"/>
    <w:rsid w:val="00667EE7"/>
    <w:rsid w:val="00670176"/>
    <w:rsid w:val="006701D2"/>
    <w:rsid w:val="00670237"/>
    <w:rsid w:val="006702AD"/>
    <w:rsid w:val="006704F2"/>
    <w:rsid w:val="006705EB"/>
    <w:rsid w:val="006705EE"/>
    <w:rsid w:val="0067072A"/>
    <w:rsid w:val="00670871"/>
    <w:rsid w:val="006709F2"/>
    <w:rsid w:val="00670A6B"/>
    <w:rsid w:val="00670AA1"/>
    <w:rsid w:val="00670B2B"/>
    <w:rsid w:val="00670B86"/>
    <w:rsid w:val="00670BA8"/>
    <w:rsid w:val="00670D5B"/>
    <w:rsid w:val="00670DF8"/>
    <w:rsid w:val="006710DD"/>
    <w:rsid w:val="0067114F"/>
    <w:rsid w:val="006711A5"/>
    <w:rsid w:val="006711E7"/>
    <w:rsid w:val="00671201"/>
    <w:rsid w:val="00671338"/>
    <w:rsid w:val="00671420"/>
    <w:rsid w:val="006714DB"/>
    <w:rsid w:val="0067160B"/>
    <w:rsid w:val="00671758"/>
    <w:rsid w:val="00671A06"/>
    <w:rsid w:val="00671AEA"/>
    <w:rsid w:val="00671AFD"/>
    <w:rsid w:val="00671B73"/>
    <w:rsid w:val="00671B8F"/>
    <w:rsid w:val="00671BE9"/>
    <w:rsid w:val="00671C26"/>
    <w:rsid w:val="00671E0A"/>
    <w:rsid w:val="00671E49"/>
    <w:rsid w:val="00671E74"/>
    <w:rsid w:val="00671EB8"/>
    <w:rsid w:val="00671ED5"/>
    <w:rsid w:val="00671EF4"/>
    <w:rsid w:val="00672061"/>
    <w:rsid w:val="00672093"/>
    <w:rsid w:val="006720DC"/>
    <w:rsid w:val="00672192"/>
    <w:rsid w:val="006721CF"/>
    <w:rsid w:val="006725B3"/>
    <w:rsid w:val="00672834"/>
    <w:rsid w:val="0067287A"/>
    <w:rsid w:val="00672911"/>
    <w:rsid w:val="00672A86"/>
    <w:rsid w:val="00672C77"/>
    <w:rsid w:val="00672D93"/>
    <w:rsid w:val="0067321F"/>
    <w:rsid w:val="006732CB"/>
    <w:rsid w:val="00673341"/>
    <w:rsid w:val="0067336E"/>
    <w:rsid w:val="0067347C"/>
    <w:rsid w:val="0067374B"/>
    <w:rsid w:val="00673764"/>
    <w:rsid w:val="0067383A"/>
    <w:rsid w:val="00673932"/>
    <w:rsid w:val="00673A30"/>
    <w:rsid w:val="00673AE7"/>
    <w:rsid w:val="00673B9E"/>
    <w:rsid w:val="00673CB9"/>
    <w:rsid w:val="00673D2D"/>
    <w:rsid w:val="00673D63"/>
    <w:rsid w:val="00673E81"/>
    <w:rsid w:val="00673F57"/>
    <w:rsid w:val="00673F8B"/>
    <w:rsid w:val="00673FC3"/>
    <w:rsid w:val="0067402E"/>
    <w:rsid w:val="0067414B"/>
    <w:rsid w:val="00674154"/>
    <w:rsid w:val="006741AB"/>
    <w:rsid w:val="0067426D"/>
    <w:rsid w:val="00674312"/>
    <w:rsid w:val="0067451D"/>
    <w:rsid w:val="006745CC"/>
    <w:rsid w:val="0067469B"/>
    <w:rsid w:val="00674873"/>
    <w:rsid w:val="00674876"/>
    <w:rsid w:val="006748E7"/>
    <w:rsid w:val="006748E8"/>
    <w:rsid w:val="00674AC0"/>
    <w:rsid w:val="00674BE2"/>
    <w:rsid w:val="00674C34"/>
    <w:rsid w:val="00674C9C"/>
    <w:rsid w:val="00674D0B"/>
    <w:rsid w:val="00674DB0"/>
    <w:rsid w:val="00674DBE"/>
    <w:rsid w:val="00674FA8"/>
    <w:rsid w:val="00675120"/>
    <w:rsid w:val="006752BA"/>
    <w:rsid w:val="00675703"/>
    <w:rsid w:val="0067588E"/>
    <w:rsid w:val="00675924"/>
    <w:rsid w:val="00675932"/>
    <w:rsid w:val="00675980"/>
    <w:rsid w:val="00675B5C"/>
    <w:rsid w:val="00675B67"/>
    <w:rsid w:val="00675CDA"/>
    <w:rsid w:val="00675DF9"/>
    <w:rsid w:val="00675E86"/>
    <w:rsid w:val="00675EA2"/>
    <w:rsid w:val="006762D9"/>
    <w:rsid w:val="0067648A"/>
    <w:rsid w:val="00676777"/>
    <w:rsid w:val="006767C3"/>
    <w:rsid w:val="0067694A"/>
    <w:rsid w:val="00676A4C"/>
    <w:rsid w:val="00676AEB"/>
    <w:rsid w:val="00676B63"/>
    <w:rsid w:val="00676B67"/>
    <w:rsid w:val="00676C34"/>
    <w:rsid w:val="00676D34"/>
    <w:rsid w:val="00676D3C"/>
    <w:rsid w:val="00676DB1"/>
    <w:rsid w:val="00676DBD"/>
    <w:rsid w:val="00676F04"/>
    <w:rsid w:val="006773C5"/>
    <w:rsid w:val="00677480"/>
    <w:rsid w:val="00677569"/>
    <w:rsid w:val="006775B5"/>
    <w:rsid w:val="006775E2"/>
    <w:rsid w:val="006775E6"/>
    <w:rsid w:val="006775E7"/>
    <w:rsid w:val="006775F9"/>
    <w:rsid w:val="00677613"/>
    <w:rsid w:val="0067780F"/>
    <w:rsid w:val="0067781C"/>
    <w:rsid w:val="006778EE"/>
    <w:rsid w:val="0067791C"/>
    <w:rsid w:val="006779CB"/>
    <w:rsid w:val="00677A20"/>
    <w:rsid w:val="00677AB4"/>
    <w:rsid w:val="00677B1B"/>
    <w:rsid w:val="00677BA1"/>
    <w:rsid w:val="00677BD3"/>
    <w:rsid w:val="00677DB7"/>
    <w:rsid w:val="00677DC2"/>
    <w:rsid w:val="00677E0E"/>
    <w:rsid w:val="00677E7B"/>
    <w:rsid w:val="00677F8F"/>
    <w:rsid w:val="00680110"/>
    <w:rsid w:val="00680168"/>
    <w:rsid w:val="006801F9"/>
    <w:rsid w:val="00680335"/>
    <w:rsid w:val="0068034E"/>
    <w:rsid w:val="006803FB"/>
    <w:rsid w:val="006805B8"/>
    <w:rsid w:val="006805BB"/>
    <w:rsid w:val="00680677"/>
    <w:rsid w:val="006806ED"/>
    <w:rsid w:val="00680735"/>
    <w:rsid w:val="0068073D"/>
    <w:rsid w:val="00680885"/>
    <w:rsid w:val="006808A5"/>
    <w:rsid w:val="00680922"/>
    <w:rsid w:val="00680CC7"/>
    <w:rsid w:val="00680DBA"/>
    <w:rsid w:val="00680E70"/>
    <w:rsid w:val="00680EE1"/>
    <w:rsid w:val="00680FC8"/>
    <w:rsid w:val="0068113D"/>
    <w:rsid w:val="0068119C"/>
    <w:rsid w:val="006811FD"/>
    <w:rsid w:val="00681205"/>
    <w:rsid w:val="00681211"/>
    <w:rsid w:val="00681247"/>
    <w:rsid w:val="006812FF"/>
    <w:rsid w:val="006813C5"/>
    <w:rsid w:val="006813CE"/>
    <w:rsid w:val="006813D0"/>
    <w:rsid w:val="0068142B"/>
    <w:rsid w:val="006814E1"/>
    <w:rsid w:val="006816D6"/>
    <w:rsid w:val="0068196C"/>
    <w:rsid w:val="0068197B"/>
    <w:rsid w:val="00681A57"/>
    <w:rsid w:val="00681A7A"/>
    <w:rsid w:val="00681BF3"/>
    <w:rsid w:val="00681C8A"/>
    <w:rsid w:val="00681DE4"/>
    <w:rsid w:val="00681E38"/>
    <w:rsid w:val="00681F76"/>
    <w:rsid w:val="00681F93"/>
    <w:rsid w:val="00681FBC"/>
    <w:rsid w:val="0068206E"/>
    <w:rsid w:val="006820C5"/>
    <w:rsid w:val="0068223D"/>
    <w:rsid w:val="00682264"/>
    <w:rsid w:val="00682268"/>
    <w:rsid w:val="00682278"/>
    <w:rsid w:val="00682356"/>
    <w:rsid w:val="0068247A"/>
    <w:rsid w:val="006828D0"/>
    <w:rsid w:val="006828FD"/>
    <w:rsid w:val="00682A9C"/>
    <w:rsid w:val="00682BB0"/>
    <w:rsid w:val="00682DD7"/>
    <w:rsid w:val="00682E23"/>
    <w:rsid w:val="006831E4"/>
    <w:rsid w:val="006832B2"/>
    <w:rsid w:val="006832F3"/>
    <w:rsid w:val="006832F7"/>
    <w:rsid w:val="00683363"/>
    <w:rsid w:val="006833CD"/>
    <w:rsid w:val="00683434"/>
    <w:rsid w:val="006834E2"/>
    <w:rsid w:val="006836CB"/>
    <w:rsid w:val="006837D3"/>
    <w:rsid w:val="00683994"/>
    <w:rsid w:val="006839C2"/>
    <w:rsid w:val="00683A29"/>
    <w:rsid w:val="00683AEB"/>
    <w:rsid w:val="00683B8D"/>
    <w:rsid w:val="00683C06"/>
    <w:rsid w:val="00683C4E"/>
    <w:rsid w:val="00683C51"/>
    <w:rsid w:val="00683C65"/>
    <w:rsid w:val="00683E48"/>
    <w:rsid w:val="00683EBD"/>
    <w:rsid w:val="00683EF7"/>
    <w:rsid w:val="0068401B"/>
    <w:rsid w:val="00684261"/>
    <w:rsid w:val="006843F7"/>
    <w:rsid w:val="00684572"/>
    <w:rsid w:val="006845E8"/>
    <w:rsid w:val="006846F4"/>
    <w:rsid w:val="0068470A"/>
    <w:rsid w:val="00684794"/>
    <w:rsid w:val="006847ED"/>
    <w:rsid w:val="006848FB"/>
    <w:rsid w:val="00684952"/>
    <w:rsid w:val="00684996"/>
    <w:rsid w:val="00684998"/>
    <w:rsid w:val="00684B96"/>
    <w:rsid w:val="00684CB5"/>
    <w:rsid w:val="00684F23"/>
    <w:rsid w:val="00684F30"/>
    <w:rsid w:val="00684F64"/>
    <w:rsid w:val="00684F6B"/>
    <w:rsid w:val="00684FA5"/>
    <w:rsid w:val="00684FCA"/>
    <w:rsid w:val="00685097"/>
    <w:rsid w:val="00685194"/>
    <w:rsid w:val="006853D3"/>
    <w:rsid w:val="00685421"/>
    <w:rsid w:val="00685425"/>
    <w:rsid w:val="00685498"/>
    <w:rsid w:val="006855D4"/>
    <w:rsid w:val="006856A0"/>
    <w:rsid w:val="00685747"/>
    <w:rsid w:val="00685836"/>
    <w:rsid w:val="00685B17"/>
    <w:rsid w:val="00685C78"/>
    <w:rsid w:val="00685CCE"/>
    <w:rsid w:val="00685D02"/>
    <w:rsid w:val="00685D87"/>
    <w:rsid w:val="00685E6F"/>
    <w:rsid w:val="00685E78"/>
    <w:rsid w:val="00685F6F"/>
    <w:rsid w:val="00685F9E"/>
    <w:rsid w:val="00686099"/>
    <w:rsid w:val="006860C3"/>
    <w:rsid w:val="006860EE"/>
    <w:rsid w:val="006860F0"/>
    <w:rsid w:val="006861FA"/>
    <w:rsid w:val="006862E2"/>
    <w:rsid w:val="00686325"/>
    <w:rsid w:val="0068636C"/>
    <w:rsid w:val="00686396"/>
    <w:rsid w:val="00686585"/>
    <w:rsid w:val="006865B4"/>
    <w:rsid w:val="00686706"/>
    <w:rsid w:val="00686944"/>
    <w:rsid w:val="00686983"/>
    <w:rsid w:val="00686AEC"/>
    <w:rsid w:val="00686B48"/>
    <w:rsid w:val="00686B73"/>
    <w:rsid w:val="00686D1C"/>
    <w:rsid w:val="00686D49"/>
    <w:rsid w:val="00686E87"/>
    <w:rsid w:val="006870F3"/>
    <w:rsid w:val="00687117"/>
    <w:rsid w:val="0068727F"/>
    <w:rsid w:val="006872D2"/>
    <w:rsid w:val="00687485"/>
    <w:rsid w:val="0068749F"/>
    <w:rsid w:val="006874DD"/>
    <w:rsid w:val="00687592"/>
    <w:rsid w:val="00687630"/>
    <w:rsid w:val="00687757"/>
    <w:rsid w:val="006877E3"/>
    <w:rsid w:val="0068781A"/>
    <w:rsid w:val="006879A0"/>
    <w:rsid w:val="006879A9"/>
    <w:rsid w:val="006879BC"/>
    <w:rsid w:val="006879E7"/>
    <w:rsid w:val="00687BC6"/>
    <w:rsid w:val="00687C2D"/>
    <w:rsid w:val="00687D38"/>
    <w:rsid w:val="00687DCB"/>
    <w:rsid w:val="00687ED4"/>
    <w:rsid w:val="00687FFC"/>
    <w:rsid w:val="0069004A"/>
    <w:rsid w:val="0069012A"/>
    <w:rsid w:val="00690178"/>
    <w:rsid w:val="00690194"/>
    <w:rsid w:val="006902F7"/>
    <w:rsid w:val="006903D9"/>
    <w:rsid w:val="006907CD"/>
    <w:rsid w:val="006908DC"/>
    <w:rsid w:val="00690916"/>
    <w:rsid w:val="00690995"/>
    <w:rsid w:val="006909DC"/>
    <w:rsid w:val="00690B22"/>
    <w:rsid w:val="00690C89"/>
    <w:rsid w:val="00690D3F"/>
    <w:rsid w:val="00690D41"/>
    <w:rsid w:val="00690DBE"/>
    <w:rsid w:val="00690DCF"/>
    <w:rsid w:val="00690F58"/>
    <w:rsid w:val="0069102B"/>
    <w:rsid w:val="0069109C"/>
    <w:rsid w:val="00691210"/>
    <w:rsid w:val="006912B3"/>
    <w:rsid w:val="006913BC"/>
    <w:rsid w:val="006913D4"/>
    <w:rsid w:val="006915FA"/>
    <w:rsid w:val="006916C7"/>
    <w:rsid w:val="006918E0"/>
    <w:rsid w:val="00691AC4"/>
    <w:rsid w:val="00691C3C"/>
    <w:rsid w:val="00691C4F"/>
    <w:rsid w:val="00691C5B"/>
    <w:rsid w:val="00691D0D"/>
    <w:rsid w:val="00691DAB"/>
    <w:rsid w:val="0069201A"/>
    <w:rsid w:val="00692037"/>
    <w:rsid w:val="00692070"/>
    <w:rsid w:val="00692214"/>
    <w:rsid w:val="006922D6"/>
    <w:rsid w:val="0069232F"/>
    <w:rsid w:val="006924E0"/>
    <w:rsid w:val="00692589"/>
    <w:rsid w:val="00692609"/>
    <w:rsid w:val="0069271B"/>
    <w:rsid w:val="00692741"/>
    <w:rsid w:val="006927B3"/>
    <w:rsid w:val="006927C1"/>
    <w:rsid w:val="00692889"/>
    <w:rsid w:val="00692B69"/>
    <w:rsid w:val="00692CB2"/>
    <w:rsid w:val="00692CDF"/>
    <w:rsid w:val="00692E35"/>
    <w:rsid w:val="00692F72"/>
    <w:rsid w:val="00692FA2"/>
    <w:rsid w:val="00693035"/>
    <w:rsid w:val="0069308E"/>
    <w:rsid w:val="00693323"/>
    <w:rsid w:val="006934AC"/>
    <w:rsid w:val="006934F9"/>
    <w:rsid w:val="0069351B"/>
    <w:rsid w:val="006936BA"/>
    <w:rsid w:val="006936F3"/>
    <w:rsid w:val="00693734"/>
    <w:rsid w:val="00693752"/>
    <w:rsid w:val="00693756"/>
    <w:rsid w:val="00693894"/>
    <w:rsid w:val="0069392D"/>
    <w:rsid w:val="00693941"/>
    <w:rsid w:val="006939A6"/>
    <w:rsid w:val="00693AD1"/>
    <w:rsid w:val="00693C77"/>
    <w:rsid w:val="00693ECC"/>
    <w:rsid w:val="00693F0C"/>
    <w:rsid w:val="00693FC9"/>
    <w:rsid w:val="00694051"/>
    <w:rsid w:val="00694101"/>
    <w:rsid w:val="00694298"/>
    <w:rsid w:val="00694363"/>
    <w:rsid w:val="00694374"/>
    <w:rsid w:val="006943B7"/>
    <w:rsid w:val="00694470"/>
    <w:rsid w:val="00694523"/>
    <w:rsid w:val="006945E0"/>
    <w:rsid w:val="0069464B"/>
    <w:rsid w:val="00694725"/>
    <w:rsid w:val="00694817"/>
    <w:rsid w:val="006948D6"/>
    <w:rsid w:val="006949EE"/>
    <w:rsid w:val="00694A22"/>
    <w:rsid w:val="00694C4C"/>
    <w:rsid w:val="00694CA1"/>
    <w:rsid w:val="00694DC9"/>
    <w:rsid w:val="00694F2D"/>
    <w:rsid w:val="00695127"/>
    <w:rsid w:val="00695245"/>
    <w:rsid w:val="0069525A"/>
    <w:rsid w:val="00695302"/>
    <w:rsid w:val="00695348"/>
    <w:rsid w:val="006953B3"/>
    <w:rsid w:val="0069542A"/>
    <w:rsid w:val="006954AA"/>
    <w:rsid w:val="00695501"/>
    <w:rsid w:val="00695670"/>
    <w:rsid w:val="00695730"/>
    <w:rsid w:val="00695872"/>
    <w:rsid w:val="00695899"/>
    <w:rsid w:val="006958A4"/>
    <w:rsid w:val="00695A71"/>
    <w:rsid w:val="00695A91"/>
    <w:rsid w:val="00695B99"/>
    <w:rsid w:val="00695E65"/>
    <w:rsid w:val="00695F1E"/>
    <w:rsid w:val="00695F58"/>
    <w:rsid w:val="006961CC"/>
    <w:rsid w:val="00696293"/>
    <w:rsid w:val="006962AC"/>
    <w:rsid w:val="00696491"/>
    <w:rsid w:val="00696661"/>
    <w:rsid w:val="006966D5"/>
    <w:rsid w:val="00696842"/>
    <w:rsid w:val="00696C01"/>
    <w:rsid w:val="00696C38"/>
    <w:rsid w:val="00696DD6"/>
    <w:rsid w:val="00696E28"/>
    <w:rsid w:val="00696E60"/>
    <w:rsid w:val="00696F06"/>
    <w:rsid w:val="00696FE2"/>
    <w:rsid w:val="006970E6"/>
    <w:rsid w:val="006971CF"/>
    <w:rsid w:val="006971EE"/>
    <w:rsid w:val="006971FB"/>
    <w:rsid w:val="006972F8"/>
    <w:rsid w:val="006974CD"/>
    <w:rsid w:val="006975F6"/>
    <w:rsid w:val="00697624"/>
    <w:rsid w:val="00697628"/>
    <w:rsid w:val="0069768E"/>
    <w:rsid w:val="0069783B"/>
    <w:rsid w:val="00697902"/>
    <w:rsid w:val="00697935"/>
    <w:rsid w:val="006979CF"/>
    <w:rsid w:val="00697A65"/>
    <w:rsid w:val="00697AA0"/>
    <w:rsid w:val="00697C99"/>
    <w:rsid w:val="006A00F4"/>
    <w:rsid w:val="006A0141"/>
    <w:rsid w:val="006A03E9"/>
    <w:rsid w:val="006A0488"/>
    <w:rsid w:val="006A0513"/>
    <w:rsid w:val="006A052A"/>
    <w:rsid w:val="006A0645"/>
    <w:rsid w:val="006A067D"/>
    <w:rsid w:val="006A0743"/>
    <w:rsid w:val="006A077C"/>
    <w:rsid w:val="006A0858"/>
    <w:rsid w:val="006A099E"/>
    <w:rsid w:val="006A0B10"/>
    <w:rsid w:val="006A0B16"/>
    <w:rsid w:val="006A0B99"/>
    <w:rsid w:val="006A0CA0"/>
    <w:rsid w:val="006A0EDC"/>
    <w:rsid w:val="006A0FFB"/>
    <w:rsid w:val="006A1056"/>
    <w:rsid w:val="006A10BE"/>
    <w:rsid w:val="006A125D"/>
    <w:rsid w:val="006A12BB"/>
    <w:rsid w:val="006A13ED"/>
    <w:rsid w:val="006A1576"/>
    <w:rsid w:val="006A1599"/>
    <w:rsid w:val="006A159C"/>
    <w:rsid w:val="006A15AA"/>
    <w:rsid w:val="006A15E1"/>
    <w:rsid w:val="006A1637"/>
    <w:rsid w:val="006A165D"/>
    <w:rsid w:val="006A16EF"/>
    <w:rsid w:val="006A17DB"/>
    <w:rsid w:val="006A1886"/>
    <w:rsid w:val="006A19B7"/>
    <w:rsid w:val="006A1A34"/>
    <w:rsid w:val="006A1B3A"/>
    <w:rsid w:val="006A1CEF"/>
    <w:rsid w:val="006A1EAD"/>
    <w:rsid w:val="006A1EBD"/>
    <w:rsid w:val="006A1F26"/>
    <w:rsid w:val="006A1FAC"/>
    <w:rsid w:val="006A2070"/>
    <w:rsid w:val="006A213F"/>
    <w:rsid w:val="006A215B"/>
    <w:rsid w:val="006A2252"/>
    <w:rsid w:val="006A2321"/>
    <w:rsid w:val="006A237D"/>
    <w:rsid w:val="006A2507"/>
    <w:rsid w:val="006A2775"/>
    <w:rsid w:val="006A27DA"/>
    <w:rsid w:val="006A2903"/>
    <w:rsid w:val="006A293B"/>
    <w:rsid w:val="006A2A41"/>
    <w:rsid w:val="006A2BA1"/>
    <w:rsid w:val="006A2CE6"/>
    <w:rsid w:val="006A2F1B"/>
    <w:rsid w:val="006A2FA9"/>
    <w:rsid w:val="006A31C4"/>
    <w:rsid w:val="006A331D"/>
    <w:rsid w:val="006A343E"/>
    <w:rsid w:val="006A349B"/>
    <w:rsid w:val="006A3709"/>
    <w:rsid w:val="006A37B3"/>
    <w:rsid w:val="006A394E"/>
    <w:rsid w:val="006A3A00"/>
    <w:rsid w:val="006A3B63"/>
    <w:rsid w:val="006A3CC3"/>
    <w:rsid w:val="006A3D32"/>
    <w:rsid w:val="006A3DC5"/>
    <w:rsid w:val="006A3F11"/>
    <w:rsid w:val="006A403C"/>
    <w:rsid w:val="006A4064"/>
    <w:rsid w:val="006A406E"/>
    <w:rsid w:val="006A4078"/>
    <w:rsid w:val="006A40A7"/>
    <w:rsid w:val="006A419E"/>
    <w:rsid w:val="006A41A9"/>
    <w:rsid w:val="006A426C"/>
    <w:rsid w:val="006A4486"/>
    <w:rsid w:val="006A4488"/>
    <w:rsid w:val="006A44BF"/>
    <w:rsid w:val="006A455A"/>
    <w:rsid w:val="006A4578"/>
    <w:rsid w:val="006A477E"/>
    <w:rsid w:val="006A4A1C"/>
    <w:rsid w:val="006A4AE9"/>
    <w:rsid w:val="006A4B96"/>
    <w:rsid w:val="006A4C01"/>
    <w:rsid w:val="006A4DAB"/>
    <w:rsid w:val="006A4E91"/>
    <w:rsid w:val="006A4EF6"/>
    <w:rsid w:val="006A4F15"/>
    <w:rsid w:val="006A5139"/>
    <w:rsid w:val="006A518B"/>
    <w:rsid w:val="006A5695"/>
    <w:rsid w:val="006A5839"/>
    <w:rsid w:val="006A5882"/>
    <w:rsid w:val="006A5A21"/>
    <w:rsid w:val="006A5A6E"/>
    <w:rsid w:val="006A5B5E"/>
    <w:rsid w:val="006A5CF5"/>
    <w:rsid w:val="006A5D53"/>
    <w:rsid w:val="006A5D74"/>
    <w:rsid w:val="006A5DB0"/>
    <w:rsid w:val="006A5DC6"/>
    <w:rsid w:val="006A5EEB"/>
    <w:rsid w:val="006A608B"/>
    <w:rsid w:val="006A60BA"/>
    <w:rsid w:val="006A60C7"/>
    <w:rsid w:val="006A6330"/>
    <w:rsid w:val="006A63D5"/>
    <w:rsid w:val="006A64CF"/>
    <w:rsid w:val="006A64E1"/>
    <w:rsid w:val="006A656F"/>
    <w:rsid w:val="006A6605"/>
    <w:rsid w:val="006A6680"/>
    <w:rsid w:val="006A68E6"/>
    <w:rsid w:val="006A68F2"/>
    <w:rsid w:val="006A6A52"/>
    <w:rsid w:val="006A6A77"/>
    <w:rsid w:val="006A6C34"/>
    <w:rsid w:val="006A6C7A"/>
    <w:rsid w:val="006A6C98"/>
    <w:rsid w:val="006A6C9B"/>
    <w:rsid w:val="006A6D0E"/>
    <w:rsid w:val="006A6D2F"/>
    <w:rsid w:val="006A6D39"/>
    <w:rsid w:val="006A6D6D"/>
    <w:rsid w:val="006A6D75"/>
    <w:rsid w:val="006A6F1A"/>
    <w:rsid w:val="006A7042"/>
    <w:rsid w:val="006A7071"/>
    <w:rsid w:val="006A721D"/>
    <w:rsid w:val="006A7873"/>
    <w:rsid w:val="006A7959"/>
    <w:rsid w:val="006A7963"/>
    <w:rsid w:val="006A796B"/>
    <w:rsid w:val="006A7C20"/>
    <w:rsid w:val="006A7C4D"/>
    <w:rsid w:val="006A7CE8"/>
    <w:rsid w:val="006A7D13"/>
    <w:rsid w:val="006A7F36"/>
    <w:rsid w:val="006A7FF5"/>
    <w:rsid w:val="006B00D2"/>
    <w:rsid w:val="006B0224"/>
    <w:rsid w:val="006B03B0"/>
    <w:rsid w:val="006B05D1"/>
    <w:rsid w:val="006B0827"/>
    <w:rsid w:val="006B0829"/>
    <w:rsid w:val="006B083E"/>
    <w:rsid w:val="006B088D"/>
    <w:rsid w:val="006B08FC"/>
    <w:rsid w:val="006B090D"/>
    <w:rsid w:val="006B092C"/>
    <w:rsid w:val="006B09D0"/>
    <w:rsid w:val="006B09DB"/>
    <w:rsid w:val="006B09DE"/>
    <w:rsid w:val="006B0AB0"/>
    <w:rsid w:val="006B0C3A"/>
    <w:rsid w:val="006B0F2F"/>
    <w:rsid w:val="006B1027"/>
    <w:rsid w:val="006B119D"/>
    <w:rsid w:val="006B121B"/>
    <w:rsid w:val="006B1482"/>
    <w:rsid w:val="006B14ED"/>
    <w:rsid w:val="006B17BA"/>
    <w:rsid w:val="006B17FF"/>
    <w:rsid w:val="006B1801"/>
    <w:rsid w:val="006B1A03"/>
    <w:rsid w:val="006B1B94"/>
    <w:rsid w:val="006B1C58"/>
    <w:rsid w:val="006B1D84"/>
    <w:rsid w:val="006B1E00"/>
    <w:rsid w:val="006B1F4B"/>
    <w:rsid w:val="006B1FA1"/>
    <w:rsid w:val="006B203E"/>
    <w:rsid w:val="006B204A"/>
    <w:rsid w:val="006B2136"/>
    <w:rsid w:val="006B220D"/>
    <w:rsid w:val="006B22BC"/>
    <w:rsid w:val="006B22C0"/>
    <w:rsid w:val="006B22C9"/>
    <w:rsid w:val="006B247E"/>
    <w:rsid w:val="006B24D6"/>
    <w:rsid w:val="006B2503"/>
    <w:rsid w:val="006B2607"/>
    <w:rsid w:val="006B26FF"/>
    <w:rsid w:val="006B27B3"/>
    <w:rsid w:val="006B284E"/>
    <w:rsid w:val="006B29EC"/>
    <w:rsid w:val="006B2A12"/>
    <w:rsid w:val="006B2A6F"/>
    <w:rsid w:val="006B2A75"/>
    <w:rsid w:val="006B2B05"/>
    <w:rsid w:val="006B2C3A"/>
    <w:rsid w:val="006B2CB6"/>
    <w:rsid w:val="006B2D51"/>
    <w:rsid w:val="006B2DF1"/>
    <w:rsid w:val="006B2E48"/>
    <w:rsid w:val="006B2E60"/>
    <w:rsid w:val="006B3087"/>
    <w:rsid w:val="006B30B5"/>
    <w:rsid w:val="006B31E4"/>
    <w:rsid w:val="006B31EB"/>
    <w:rsid w:val="006B3217"/>
    <w:rsid w:val="006B326F"/>
    <w:rsid w:val="006B3514"/>
    <w:rsid w:val="006B35EC"/>
    <w:rsid w:val="006B360D"/>
    <w:rsid w:val="006B3682"/>
    <w:rsid w:val="006B3728"/>
    <w:rsid w:val="006B37BE"/>
    <w:rsid w:val="006B3848"/>
    <w:rsid w:val="006B393A"/>
    <w:rsid w:val="006B3997"/>
    <w:rsid w:val="006B39D0"/>
    <w:rsid w:val="006B3A8C"/>
    <w:rsid w:val="006B3BB9"/>
    <w:rsid w:val="006B3E15"/>
    <w:rsid w:val="006B3E60"/>
    <w:rsid w:val="006B3EAD"/>
    <w:rsid w:val="006B3F86"/>
    <w:rsid w:val="006B40B5"/>
    <w:rsid w:val="006B415E"/>
    <w:rsid w:val="006B4198"/>
    <w:rsid w:val="006B41C0"/>
    <w:rsid w:val="006B42B9"/>
    <w:rsid w:val="006B4321"/>
    <w:rsid w:val="006B4330"/>
    <w:rsid w:val="006B4837"/>
    <w:rsid w:val="006B4B19"/>
    <w:rsid w:val="006B4B47"/>
    <w:rsid w:val="006B4BBC"/>
    <w:rsid w:val="006B4C4B"/>
    <w:rsid w:val="006B4D3F"/>
    <w:rsid w:val="006B4D93"/>
    <w:rsid w:val="006B4DAF"/>
    <w:rsid w:val="006B4EA7"/>
    <w:rsid w:val="006B4F26"/>
    <w:rsid w:val="006B504E"/>
    <w:rsid w:val="006B50AF"/>
    <w:rsid w:val="006B50B7"/>
    <w:rsid w:val="006B50BA"/>
    <w:rsid w:val="006B50D7"/>
    <w:rsid w:val="006B52B2"/>
    <w:rsid w:val="006B5387"/>
    <w:rsid w:val="006B5417"/>
    <w:rsid w:val="006B55CE"/>
    <w:rsid w:val="006B55DC"/>
    <w:rsid w:val="006B5638"/>
    <w:rsid w:val="006B5675"/>
    <w:rsid w:val="006B56BE"/>
    <w:rsid w:val="006B5721"/>
    <w:rsid w:val="006B575E"/>
    <w:rsid w:val="006B57D2"/>
    <w:rsid w:val="006B5809"/>
    <w:rsid w:val="006B58CD"/>
    <w:rsid w:val="006B5AA1"/>
    <w:rsid w:val="006B5C90"/>
    <w:rsid w:val="006B5DFD"/>
    <w:rsid w:val="006B60F0"/>
    <w:rsid w:val="006B61E8"/>
    <w:rsid w:val="006B61F0"/>
    <w:rsid w:val="006B6224"/>
    <w:rsid w:val="006B6336"/>
    <w:rsid w:val="006B635E"/>
    <w:rsid w:val="006B6382"/>
    <w:rsid w:val="006B646A"/>
    <w:rsid w:val="006B64DA"/>
    <w:rsid w:val="006B6507"/>
    <w:rsid w:val="006B66F5"/>
    <w:rsid w:val="006B674F"/>
    <w:rsid w:val="006B67BF"/>
    <w:rsid w:val="006B695E"/>
    <w:rsid w:val="006B69B9"/>
    <w:rsid w:val="006B6B23"/>
    <w:rsid w:val="006B6C2C"/>
    <w:rsid w:val="006B6C40"/>
    <w:rsid w:val="006B6C4B"/>
    <w:rsid w:val="006B6CAF"/>
    <w:rsid w:val="006B6CDA"/>
    <w:rsid w:val="006B6DC8"/>
    <w:rsid w:val="006B6E16"/>
    <w:rsid w:val="006B7035"/>
    <w:rsid w:val="006B711A"/>
    <w:rsid w:val="006B71F6"/>
    <w:rsid w:val="006B738A"/>
    <w:rsid w:val="006B73D4"/>
    <w:rsid w:val="006B744C"/>
    <w:rsid w:val="006B746B"/>
    <w:rsid w:val="006B7558"/>
    <w:rsid w:val="006B75A8"/>
    <w:rsid w:val="006B75B7"/>
    <w:rsid w:val="006B763F"/>
    <w:rsid w:val="006B768C"/>
    <w:rsid w:val="006B77D7"/>
    <w:rsid w:val="006B77DB"/>
    <w:rsid w:val="006B7BB6"/>
    <w:rsid w:val="006B7CBD"/>
    <w:rsid w:val="006B7E35"/>
    <w:rsid w:val="006B7EDD"/>
    <w:rsid w:val="006B7F4E"/>
    <w:rsid w:val="006B7FAC"/>
    <w:rsid w:val="006C0177"/>
    <w:rsid w:val="006C02A7"/>
    <w:rsid w:val="006C04CB"/>
    <w:rsid w:val="006C07FB"/>
    <w:rsid w:val="006C0854"/>
    <w:rsid w:val="006C085A"/>
    <w:rsid w:val="006C0923"/>
    <w:rsid w:val="006C0B11"/>
    <w:rsid w:val="006C0DB7"/>
    <w:rsid w:val="006C0DED"/>
    <w:rsid w:val="006C0E9B"/>
    <w:rsid w:val="006C0F93"/>
    <w:rsid w:val="006C102B"/>
    <w:rsid w:val="006C1269"/>
    <w:rsid w:val="006C130D"/>
    <w:rsid w:val="006C13F0"/>
    <w:rsid w:val="006C17EF"/>
    <w:rsid w:val="006C191A"/>
    <w:rsid w:val="006C19B5"/>
    <w:rsid w:val="006C1A3E"/>
    <w:rsid w:val="006C1A62"/>
    <w:rsid w:val="006C1A86"/>
    <w:rsid w:val="006C1BEC"/>
    <w:rsid w:val="006C1CCF"/>
    <w:rsid w:val="006C1E8D"/>
    <w:rsid w:val="006C1E94"/>
    <w:rsid w:val="006C1F31"/>
    <w:rsid w:val="006C1F55"/>
    <w:rsid w:val="006C1F94"/>
    <w:rsid w:val="006C203E"/>
    <w:rsid w:val="006C22D4"/>
    <w:rsid w:val="006C2347"/>
    <w:rsid w:val="006C256B"/>
    <w:rsid w:val="006C261B"/>
    <w:rsid w:val="006C262B"/>
    <w:rsid w:val="006C26D2"/>
    <w:rsid w:val="006C2739"/>
    <w:rsid w:val="006C2880"/>
    <w:rsid w:val="006C2924"/>
    <w:rsid w:val="006C2B67"/>
    <w:rsid w:val="006C2BB4"/>
    <w:rsid w:val="006C2BC3"/>
    <w:rsid w:val="006C2E67"/>
    <w:rsid w:val="006C2F74"/>
    <w:rsid w:val="006C2F99"/>
    <w:rsid w:val="006C2FDD"/>
    <w:rsid w:val="006C31C8"/>
    <w:rsid w:val="006C3396"/>
    <w:rsid w:val="006C33FC"/>
    <w:rsid w:val="006C3427"/>
    <w:rsid w:val="006C3464"/>
    <w:rsid w:val="006C348E"/>
    <w:rsid w:val="006C355B"/>
    <w:rsid w:val="006C3616"/>
    <w:rsid w:val="006C36C4"/>
    <w:rsid w:val="006C3A67"/>
    <w:rsid w:val="006C3ACC"/>
    <w:rsid w:val="006C3B31"/>
    <w:rsid w:val="006C3F64"/>
    <w:rsid w:val="006C3F92"/>
    <w:rsid w:val="006C4271"/>
    <w:rsid w:val="006C449E"/>
    <w:rsid w:val="006C44D9"/>
    <w:rsid w:val="006C456B"/>
    <w:rsid w:val="006C45A0"/>
    <w:rsid w:val="006C476F"/>
    <w:rsid w:val="006C4800"/>
    <w:rsid w:val="006C4918"/>
    <w:rsid w:val="006C4969"/>
    <w:rsid w:val="006C4BCF"/>
    <w:rsid w:val="006C4EEB"/>
    <w:rsid w:val="006C513F"/>
    <w:rsid w:val="006C519E"/>
    <w:rsid w:val="006C5211"/>
    <w:rsid w:val="006C552D"/>
    <w:rsid w:val="006C5545"/>
    <w:rsid w:val="006C564D"/>
    <w:rsid w:val="006C5735"/>
    <w:rsid w:val="006C589B"/>
    <w:rsid w:val="006C5985"/>
    <w:rsid w:val="006C5A5D"/>
    <w:rsid w:val="006C5B69"/>
    <w:rsid w:val="006C5C61"/>
    <w:rsid w:val="006C5CE9"/>
    <w:rsid w:val="006C5DCF"/>
    <w:rsid w:val="006C5FA7"/>
    <w:rsid w:val="006C5FEB"/>
    <w:rsid w:val="006C6064"/>
    <w:rsid w:val="006C609B"/>
    <w:rsid w:val="006C619F"/>
    <w:rsid w:val="006C6217"/>
    <w:rsid w:val="006C6228"/>
    <w:rsid w:val="006C62A9"/>
    <w:rsid w:val="006C6337"/>
    <w:rsid w:val="006C6387"/>
    <w:rsid w:val="006C648E"/>
    <w:rsid w:val="006C6687"/>
    <w:rsid w:val="006C67A2"/>
    <w:rsid w:val="006C696B"/>
    <w:rsid w:val="006C69DA"/>
    <w:rsid w:val="006C6B07"/>
    <w:rsid w:val="006C6BF9"/>
    <w:rsid w:val="006C6C6E"/>
    <w:rsid w:val="006C6E76"/>
    <w:rsid w:val="006C7039"/>
    <w:rsid w:val="006C703A"/>
    <w:rsid w:val="006C70BE"/>
    <w:rsid w:val="006C70EE"/>
    <w:rsid w:val="006C7102"/>
    <w:rsid w:val="006C720C"/>
    <w:rsid w:val="006C7433"/>
    <w:rsid w:val="006C74FC"/>
    <w:rsid w:val="006C760C"/>
    <w:rsid w:val="006C7625"/>
    <w:rsid w:val="006C7698"/>
    <w:rsid w:val="006C7798"/>
    <w:rsid w:val="006C787A"/>
    <w:rsid w:val="006C7964"/>
    <w:rsid w:val="006C79BC"/>
    <w:rsid w:val="006C7A9D"/>
    <w:rsid w:val="006C7B4F"/>
    <w:rsid w:val="006C7B56"/>
    <w:rsid w:val="006C7B85"/>
    <w:rsid w:val="006C7B88"/>
    <w:rsid w:val="006C7BA3"/>
    <w:rsid w:val="006C7C1D"/>
    <w:rsid w:val="006C7C3D"/>
    <w:rsid w:val="006C7CC4"/>
    <w:rsid w:val="006C7D4C"/>
    <w:rsid w:val="006C7DC8"/>
    <w:rsid w:val="006C7EDC"/>
    <w:rsid w:val="006C7F78"/>
    <w:rsid w:val="006C7FD3"/>
    <w:rsid w:val="006D00AB"/>
    <w:rsid w:val="006D0119"/>
    <w:rsid w:val="006D014D"/>
    <w:rsid w:val="006D02D9"/>
    <w:rsid w:val="006D02FC"/>
    <w:rsid w:val="006D0597"/>
    <w:rsid w:val="006D06AC"/>
    <w:rsid w:val="006D08F3"/>
    <w:rsid w:val="006D0A30"/>
    <w:rsid w:val="006D0B61"/>
    <w:rsid w:val="006D0BF3"/>
    <w:rsid w:val="006D0E35"/>
    <w:rsid w:val="006D0E86"/>
    <w:rsid w:val="006D0F54"/>
    <w:rsid w:val="006D0FD8"/>
    <w:rsid w:val="006D103F"/>
    <w:rsid w:val="006D1151"/>
    <w:rsid w:val="006D122F"/>
    <w:rsid w:val="006D1385"/>
    <w:rsid w:val="006D13D4"/>
    <w:rsid w:val="006D1459"/>
    <w:rsid w:val="006D14DE"/>
    <w:rsid w:val="006D16E3"/>
    <w:rsid w:val="006D17A3"/>
    <w:rsid w:val="006D1814"/>
    <w:rsid w:val="006D1849"/>
    <w:rsid w:val="006D1862"/>
    <w:rsid w:val="006D199C"/>
    <w:rsid w:val="006D1ADB"/>
    <w:rsid w:val="006D1B9D"/>
    <w:rsid w:val="006D1D77"/>
    <w:rsid w:val="006D1F55"/>
    <w:rsid w:val="006D2286"/>
    <w:rsid w:val="006D2320"/>
    <w:rsid w:val="006D2484"/>
    <w:rsid w:val="006D24D2"/>
    <w:rsid w:val="006D258F"/>
    <w:rsid w:val="006D25FB"/>
    <w:rsid w:val="006D26E1"/>
    <w:rsid w:val="006D27C7"/>
    <w:rsid w:val="006D298F"/>
    <w:rsid w:val="006D2993"/>
    <w:rsid w:val="006D2B43"/>
    <w:rsid w:val="006D2B94"/>
    <w:rsid w:val="006D2BB0"/>
    <w:rsid w:val="006D2BB1"/>
    <w:rsid w:val="006D2BE9"/>
    <w:rsid w:val="006D2C77"/>
    <w:rsid w:val="006D2C99"/>
    <w:rsid w:val="006D2CCE"/>
    <w:rsid w:val="006D2D7F"/>
    <w:rsid w:val="006D2FBD"/>
    <w:rsid w:val="006D3492"/>
    <w:rsid w:val="006D3514"/>
    <w:rsid w:val="006D374D"/>
    <w:rsid w:val="006D376B"/>
    <w:rsid w:val="006D37E2"/>
    <w:rsid w:val="006D3917"/>
    <w:rsid w:val="006D3BDB"/>
    <w:rsid w:val="006D3CE7"/>
    <w:rsid w:val="006D3D4B"/>
    <w:rsid w:val="006D3DD1"/>
    <w:rsid w:val="006D3ECE"/>
    <w:rsid w:val="006D4153"/>
    <w:rsid w:val="006D417A"/>
    <w:rsid w:val="006D41BA"/>
    <w:rsid w:val="006D42C0"/>
    <w:rsid w:val="006D451F"/>
    <w:rsid w:val="006D47C3"/>
    <w:rsid w:val="006D48BB"/>
    <w:rsid w:val="006D48FB"/>
    <w:rsid w:val="006D4C16"/>
    <w:rsid w:val="006D4D97"/>
    <w:rsid w:val="006D5006"/>
    <w:rsid w:val="006D503C"/>
    <w:rsid w:val="006D5119"/>
    <w:rsid w:val="006D5172"/>
    <w:rsid w:val="006D5200"/>
    <w:rsid w:val="006D53D1"/>
    <w:rsid w:val="006D5427"/>
    <w:rsid w:val="006D5458"/>
    <w:rsid w:val="006D550B"/>
    <w:rsid w:val="006D5566"/>
    <w:rsid w:val="006D5632"/>
    <w:rsid w:val="006D57EE"/>
    <w:rsid w:val="006D5816"/>
    <w:rsid w:val="006D5A4E"/>
    <w:rsid w:val="006D5AC1"/>
    <w:rsid w:val="006D5B0F"/>
    <w:rsid w:val="006D5B17"/>
    <w:rsid w:val="006D5B41"/>
    <w:rsid w:val="006D5CD9"/>
    <w:rsid w:val="006D5D86"/>
    <w:rsid w:val="006D5E1B"/>
    <w:rsid w:val="006D5F3F"/>
    <w:rsid w:val="006D5F57"/>
    <w:rsid w:val="006D62C3"/>
    <w:rsid w:val="006D6389"/>
    <w:rsid w:val="006D63A5"/>
    <w:rsid w:val="006D64AC"/>
    <w:rsid w:val="006D64F5"/>
    <w:rsid w:val="006D6548"/>
    <w:rsid w:val="006D6605"/>
    <w:rsid w:val="006D66DC"/>
    <w:rsid w:val="006D672B"/>
    <w:rsid w:val="006D69EC"/>
    <w:rsid w:val="006D6A3E"/>
    <w:rsid w:val="006D6BD1"/>
    <w:rsid w:val="006D6BE8"/>
    <w:rsid w:val="006D6D2E"/>
    <w:rsid w:val="006D6D82"/>
    <w:rsid w:val="006D6D8F"/>
    <w:rsid w:val="006D6E84"/>
    <w:rsid w:val="006D6EC1"/>
    <w:rsid w:val="006D6EC7"/>
    <w:rsid w:val="006D6F41"/>
    <w:rsid w:val="006D7012"/>
    <w:rsid w:val="006D7068"/>
    <w:rsid w:val="006D70C8"/>
    <w:rsid w:val="006D74B8"/>
    <w:rsid w:val="006D7635"/>
    <w:rsid w:val="006D7657"/>
    <w:rsid w:val="006D76CA"/>
    <w:rsid w:val="006D76EA"/>
    <w:rsid w:val="006D7768"/>
    <w:rsid w:val="006D77A6"/>
    <w:rsid w:val="006D784E"/>
    <w:rsid w:val="006D7932"/>
    <w:rsid w:val="006D7982"/>
    <w:rsid w:val="006D79D8"/>
    <w:rsid w:val="006D79F4"/>
    <w:rsid w:val="006D7AED"/>
    <w:rsid w:val="006D7B41"/>
    <w:rsid w:val="006D7B78"/>
    <w:rsid w:val="006D7C19"/>
    <w:rsid w:val="006D7C3D"/>
    <w:rsid w:val="006D7D70"/>
    <w:rsid w:val="006D7DBE"/>
    <w:rsid w:val="006D7E86"/>
    <w:rsid w:val="006DCD7C"/>
    <w:rsid w:val="006E008D"/>
    <w:rsid w:val="006E017D"/>
    <w:rsid w:val="006E01C6"/>
    <w:rsid w:val="006E020A"/>
    <w:rsid w:val="006E020F"/>
    <w:rsid w:val="006E034C"/>
    <w:rsid w:val="006E03C5"/>
    <w:rsid w:val="006E0626"/>
    <w:rsid w:val="006E06FE"/>
    <w:rsid w:val="006E0827"/>
    <w:rsid w:val="006E0854"/>
    <w:rsid w:val="006E0A23"/>
    <w:rsid w:val="006E0A59"/>
    <w:rsid w:val="006E0DBF"/>
    <w:rsid w:val="006E0ED3"/>
    <w:rsid w:val="006E0F73"/>
    <w:rsid w:val="006E12A5"/>
    <w:rsid w:val="006E1421"/>
    <w:rsid w:val="006E1449"/>
    <w:rsid w:val="006E1476"/>
    <w:rsid w:val="006E1511"/>
    <w:rsid w:val="006E15B2"/>
    <w:rsid w:val="006E16A4"/>
    <w:rsid w:val="006E16C2"/>
    <w:rsid w:val="006E18AE"/>
    <w:rsid w:val="006E1A4A"/>
    <w:rsid w:val="006E1AAE"/>
    <w:rsid w:val="006E1D60"/>
    <w:rsid w:val="006E1DAD"/>
    <w:rsid w:val="006E1E88"/>
    <w:rsid w:val="006E1E9E"/>
    <w:rsid w:val="006E1EC8"/>
    <w:rsid w:val="006E1F0B"/>
    <w:rsid w:val="006E219B"/>
    <w:rsid w:val="006E21A6"/>
    <w:rsid w:val="006E21E6"/>
    <w:rsid w:val="006E2214"/>
    <w:rsid w:val="006E2229"/>
    <w:rsid w:val="006E222A"/>
    <w:rsid w:val="006E22A3"/>
    <w:rsid w:val="006E2790"/>
    <w:rsid w:val="006E27D6"/>
    <w:rsid w:val="006E29FC"/>
    <w:rsid w:val="006E2AA9"/>
    <w:rsid w:val="006E2BB3"/>
    <w:rsid w:val="006E2DDB"/>
    <w:rsid w:val="006E2E89"/>
    <w:rsid w:val="006E2FEF"/>
    <w:rsid w:val="006E30E6"/>
    <w:rsid w:val="006E32B0"/>
    <w:rsid w:val="006E33BB"/>
    <w:rsid w:val="006E3408"/>
    <w:rsid w:val="006E347F"/>
    <w:rsid w:val="006E360A"/>
    <w:rsid w:val="006E36FE"/>
    <w:rsid w:val="006E377F"/>
    <w:rsid w:val="006E39D9"/>
    <w:rsid w:val="006E3BAF"/>
    <w:rsid w:val="006E3C38"/>
    <w:rsid w:val="006E3EB0"/>
    <w:rsid w:val="006E3EB3"/>
    <w:rsid w:val="006E3FEB"/>
    <w:rsid w:val="006E44AA"/>
    <w:rsid w:val="006E44B8"/>
    <w:rsid w:val="006E477D"/>
    <w:rsid w:val="006E493E"/>
    <w:rsid w:val="006E49F2"/>
    <w:rsid w:val="006E4AD3"/>
    <w:rsid w:val="006E4B73"/>
    <w:rsid w:val="006E4B86"/>
    <w:rsid w:val="006E4EAB"/>
    <w:rsid w:val="006E4F73"/>
    <w:rsid w:val="006E50AF"/>
    <w:rsid w:val="006E52C0"/>
    <w:rsid w:val="006E5365"/>
    <w:rsid w:val="006E53DB"/>
    <w:rsid w:val="006E558A"/>
    <w:rsid w:val="006E58AC"/>
    <w:rsid w:val="006E59D5"/>
    <w:rsid w:val="006E5BB0"/>
    <w:rsid w:val="006E5CE2"/>
    <w:rsid w:val="006E5CEE"/>
    <w:rsid w:val="006E5CF1"/>
    <w:rsid w:val="006E601B"/>
    <w:rsid w:val="006E6036"/>
    <w:rsid w:val="006E62BC"/>
    <w:rsid w:val="006E64A1"/>
    <w:rsid w:val="006E64C4"/>
    <w:rsid w:val="006E66B8"/>
    <w:rsid w:val="006E6721"/>
    <w:rsid w:val="006E6775"/>
    <w:rsid w:val="006E678F"/>
    <w:rsid w:val="006E67BA"/>
    <w:rsid w:val="006E68B5"/>
    <w:rsid w:val="006E6A11"/>
    <w:rsid w:val="006E6C0C"/>
    <w:rsid w:val="006E6D65"/>
    <w:rsid w:val="006E6EB0"/>
    <w:rsid w:val="006E6FD4"/>
    <w:rsid w:val="006E7003"/>
    <w:rsid w:val="006E727C"/>
    <w:rsid w:val="006E72B4"/>
    <w:rsid w:val="006E735A"/>
    <w:rsid w:val="006E7386"/>
    <w:rsid w:val="006E75BB"/>
    <w:rsid w:val="006E75DD"/>
    <w:rsid w:val="006E763F"/>
    <w:rsid w:val="006E77C7"/>
    <w:rsid w:val="006E7AC2"/>
    <w:rsid w:val="006E7BB0"/>
    <w:rsid w:val="006E7BC4"/>
    <w:rsid w:val="006E7D1A"/>
    <w:rsid w:val="006E7E80"/>
    <w:rsid w:val="006F005B"/>
    <w:rsid w:val="006F011E"/>
    <w:rsid w:val="006F04EF"/>
    <w:rsid w:val="006F05BA"/>
    <w:rsid w:val="006F0605"/>
    <w:rsid w:val="006F0630"/>
    <w:rsid w:val="006F06CC"/>
    <w:rsid w:val="006F07B0"/>
    <w:rsid w:val="006F08A5"/>
    <w:rsid w:val="006F08D5"/>
    <w:rsid w:val="006F0A52"/>
    <w:rsid w:val="006F0BB7"/>
    <w:rsid w:val="006F0CF5"/>
    <w:rsid w:val="006F0E60"/>
    <w:rsid w:val="006F121E"/>
    <w:rsid w:val="006F1319"/>
    <w:rsid w:val="006F146F"/>
    <w:rsid w:val="006F1528"/>
    <w:rsid w:val="006F172F"/>
    <w:rsid w:val="006F1851"/>
    <w:rsid w:val="006F18A2"/>
    <w:rsid w:val="006F18FD"/>
    <w:rsid w:val="006F1943"/>
    <w:rsid w:val="006F1C65"/>
    <w:rsid w:val="006F1D39"/>
    <w:rsid w:val="006F1E0F"/>
    <w:rsid w:val="006F1E2E"/>
    <w:rsid w:val="006F1E87"/>
    <w:rsid w:val="006F1EBB"/>
    <w:rsid w:val="006F1F5E"/>
    <w:rsid w:val="006F20DB"/>
    <w:rsid w:val="006F2540"/>
    <w:rsid w:val="006F25A4"/>
    <w:rsid w:val="006F284B"/>
    <w:rsid w:val="006F289A"/>
    <w:rsid w:val="006F28F8"/>
    <w:rsid w:val="006F2A5F"/>
    <w:rsid w:val="006F2C80"/>
    <w:rsid w:val="006F2CD8"/>
    <w:rsid w:val="006F2CEF"/>
    <w:rsid w:val="006F2E7F"/>
    <w:rsid w:val="006F2FAF"/>
    <w:rsid w:val="006F30E3"/>
    <w:rsid w:val="006F3347"/>
    <w:rsid w:val="006F336A"/>
    <w:rsid w:val="006F33E5"/>
    <w:rsid w:val="006F352C"/>
    <w:rsid w:val="006F35C7"/>
    <w:rsid w:val="006F3860"/>
    <w:rsid w:val="006F3875"/>
    <w:rsid w:val="006F3914"/>
    <w:rsid w:val="006F3949"/>
    <w:rsid w:val="006F3BB2"/>
    <w:rsid w:val="006F3BDD"/>
    <w:rsid w:val="006F3C74"/>
    <w:rsid w:val="006F3CC2"/>
    <w:rsid w:val="006F3CEA"/>
    <w:rsid w:val="006F3DBD"/>
    <w:rsid w:val="006F3E43"/>
    <w:rsid w:val="006F3E98"/>
    <w:rsid w:val="006F400C"/>
    <w:rsid w:val="006F4048"/>
    <w:rsid w:val="006F414F"/>
    <w:rsid w:val="006F417C"/>
    <w:rsid w:val="006F4198"/>
    <w:rsid w:val="006F436B"/>
    <w:rsid w:val="006F438F"/>
    <w:rsid w:val="006F443A"/>
    <w:rsid w:val="006F44CF"/>
    <w:rsid w:val="006F464A"/>
    <w:rsid w:val="006F479D"/>
    <w:rsid w:val="006F47D6"/>
    <w:rsid w:val="006F483D"/>
    <w:rsid w:val="006F487F"/>
    <w:rsid w:val="006F48B1"/>
    <w:rsid w:val="006F490A"/>
    <w:rsid w:val="006F4A49"/>
    <w:rsid w:val="006F4AA1"/>
    <w:rsid w:val="006F4C99"/>
    <w:rsid w:val="006F4CFB"/>
    <w:rsid w:val="006F4E38"/>
    <w:rsid w:val="006F4FC4"/>
    <w:rsid w:val="006F5021"/>
    <w:rsid w:val="006F5077"/>
    <w:rsid w:val="006F50DC"/>
    <w:rsid w:val="006F5123"/>
    <w:rsid w:val="006F521A"/>
    <w:rsid w:val="006F5305"/>
    <w:rsid w:val="006F5325"/>
    <w:rsid w:val="006F5357"/>
    <w:rsid w:val="006F5381"/>
    <w:rsid w:val="006F53C2"/>
    <w:rsid w:val="006F53F6"/>
    <w:rsid w:val="006F54BB"/>
    <w:rsid w:val="006F55BC"/>
    <w:rsid w:val="006F57B6"/>
    <w:rsid w:val="006F57C5"/>
    <w:rsid w:val="006F57D3"/>
    <w:rsid w:val="006F5829"/>
    <w:rsid w:val="006F5832"/>
    <w:rsid w:val="006F5AA2"/>
    <w:rsid w:val="006F5B0C"/>
    <w:rsid w:val="006F5B50"/>
    <w:rsid w:val="006F5BAD"/>
    <w:rsid w:val="006F5BED"/>
    <w:rsid w:val="006F5CA9"/>
    <w:rsid w:val="006F5D85"/>
    <w:rsid w:val="006F5EC9"/>
    <w:rsid w:val="006F5ED4"/>
    <w:rsid w:val="006F5EEE"/>
    <w:rsid w:val="006F5F07"/>
    <w:rsid w:val="006F61AA"/>
    <w:rsid w:val="006F63A5"/>
    <w:rsid w:val="006F63B7"/>
    <w:rsid w:val="006F651E"/>
    <w:rsid w:val="006F65CB"/>
    <w:rsid w:val="006F674E"/>
    <w:rsid w:val="006F67F6"/>
    <w:rsid w:val="006F6893"/>
    <w:rsid w:val="006F6956"/>
    <w:rsid w:val="006F69AB"/>
    <w:rsid w:val="006F6BD9"/>
    <w:rsid w:val="006F6BFC"/>
    <w:rsid w:val="006F6CFB"/>
    <w:rsid w:val="006F6EB8"/>
    <w:rsid w:val="006F6EFF"/>
    <w:rsid w:val="006F6FF8"/>
    <w:rsid w:val="006F700B"/>
    <w:rsid w:val="006F7082"/>
    <w:rsid w:val="006F710D"/>
    <w:rsid w:val="006F71B1"/>
    <w:rsid w:val="006F739F"/>
    <w:rsid w:val="006F73CC"/>
    <w:rsid w:val="006F7419"/>
    <w:rsid w:val="006F7457"/>
    <w:rsid w:val="006F7668"/>
    <w:rsid w:val="006F7772"/>
    <w:rsid w:val="006F7833"/>
    <w:rsid w:val="006F78CF"/>
    <w:rsid w:val="006F78DB"/>
    <w:rsid w:val="006F7A04"/>
    <w:rsid w:val="006F7AE7"/>
    <w:rsid w:val="006F7BFA"/>
    <w:rsid w:val="006F7CF3"/>
    <w:rsid w:val="006F7D6F"/>
    <w:rsid w:val="006F7DE3"/>
    <w:rsid w:val="006F7DF4"/>
    <w:rsid w:val="006F7E5B"/>
    <w:rsid w:val="0070000E"/>
    <w:rsid w:val="007001A4"/>
    <w:rsid w:val="00700235"/>
    <w:rsid w:val="007002CE"/>
    <w:rsid w:val="00700338"/>
    <w:rsid w:val="007004EC"/>
    <w:rsid w:val="00700516"/>
    <w:rsid w:val="007006E8"/>
    <w:rsid w:val="00700780"/>
    <w:rsid w:val="00700819"/>
    <w:rsid w:val="00700888"/>
    <w:rsid w:val="007009FA"/>
    <w:rsid w:val="00700CF6"/>
    <w:rsid w:val="00700D82"/>
    <w:rsid w:val="00700DFA"/>
    <w:rsid w:val="00700F63"/>
    <w:rsid w:val="00701077"/>
    <w:rsid w:val="00701225"/>
    <w:rsid w:val="00701276"/>
    <w:rsid w:val="0070132C"/>
    <w:rsid w:val="00701407"/>
    <w:rsid w:val="007016A3"/>
    <w:rsid w:val="00701707"/>
    <w:rsid w:val="007017F0"/>
    <w:rsid w:val="0070187B"/>
    <w:rsid w:val="00701A26"/>
    <w:rsid w:val="00701D48"/>
    <w:rsid w:val="00701D71"/>
    <w:rsid w:val="00701E14"/>
    <w:rsid w:val="00701E26"/>
    <w:rsid w:val="00701F96"/>
    <w:rsid w:val="00701FE5"/>
    <w:rsid w:val="00702041"/>
    <w:rsid w:val="0070220A"/>
    <w:rsid w:val="00702307"/>
    <w:rsid w:val="007025C5"/>
    <w:rsid w:val="007025D1"/>
    <w:rsid w:val="0070260C"/>
    <w:rsid w:val="00702777"/>
    <w:rsid w:val="0070289A"/>
    <w:rsid w:val="00702941"/>
    <w:rsid w:val="0070294C"/>
    <w:rsid w:val="00702B9E"/>
    <w:rsid w:val="00702D70"/>
    <w:rsid w:val="00702E3D"/>
    <w:rsid w:val="00702E9B"/>
    <w:rsid w:val="00702FD1"/>
    <w:rsid w:val="00703084"/>
    <w:rsid w:val="00703146"/>
    <w:rsid w:val="0070327E"/>
    <w:rsid w:val="007032C1"/>
    <w:rsid w:val="007033A0"/>
    <w:rsid w:val="007034F5"/>
    <w:rsid w:val="00703583"/>
    <w:rsid w:val="0070359D"/>
    <w:rsid w:val="00703653"/>
    <w:rsid w:val="0070366E"/>
    <w:rsid w:val="007038B1"/>
    <w:rsid w:val="00703EF8"/>
    <w:rsid w:val="00704117"/>
    <w:rsid w:val="0070423E"/>
    <w:rsid w:val="00704305"/>
    <w:rsid w:val="007043F1"/>
    <w:rsid w:val="00704427"/>
    <w:rsid w:val="0070464D"/>
    <w:rsid w:val="0070471A"/>
    <w:rsid w:val="007047E6"/>
    <w:rsid w:val="0070483E"/>
    <w:rsid w:val="0070485F"/>
    <w:rsid w:val="0070496E"/>
    <w:rsid w:val="00704D3B"/>
    <w:rsid w:val="00704D96"/>
    <w:rsid w:val="00704E45"/>
    <w:rsid w:val="00704ECB"/>
    <w:rsid w:val="00704FEF"/>
    <w:rsid w:val="00705242"/>
    <w:rsid w:val="00705273"/>
    <w:rsid w:val="00705291"/>
    <w:rsid w:val="007052EE"/>
    <w:rsid w:val="007054CA"/>
    <w:rsid w:val="007054E4"/>
    <w:rsid w:val="007055EE"/>
    <w:rsid w:val="00705724"/>
    <w:rsid w:val="0070576B"/>
    <w:rsid w:val="00705969"/>
    <w:rsid w:val="00705AF6"/>
    <w:rsid w:val="00705C83"/>
    <w:rsid w:val="00705D44"/>
    <w:rsid w:val="00706731"/>
    <w:rsid w:val="0070674C"/>
    <w:rsid w:val="0070676C"/>
    <w:rsid w:val="007067C1"/>
    <w:rsid w:val="0070681A"/>
    <w:rsid w:val="00706875"/>
    <w:rsid w:val="00706A83"/>
    <w:rsid w:val="00706DE2"/>
    <w:rsid w:val="00706E5B"/>
    <w:rsid w:val="00706FB2"/>
    <w:rsid w:val="00707062"/>
    <w:rsid w:val="007070DB"/>
    <w:rsid w:val="00707193"/>
    <w:rsid w:val="00707227"/>
    <w:rsid w:val="007072AF"/>
    <w:rsid w:val="00707388"/>
    <w:rsid w:val="007073F9"/>
    <w:rsid w:val="00707441"/>
    <w:rsid w:val="007076A7"/>
    <w:rsid w:val="007076E3"/>
    <w:rsid w:val="0070789F"/>
    <w:rsid w:val="00707AE5"/>
    <w:rsid w:val="00707B0E"/>
    <w:rsid w:val="00707B20"/>
    <w:rsid w:val="00707CB0"/>
    <w:rsid w:val="00707D59"/>
    <w:rsid w:val="00707E29"/>
    <w:rsid w:val="00707F62"/>
    <w:rsid w:val="007100DB"/>
    <w:rsid w:val="00710318"/>
    <w:rsid w:val="00710374"/>
    <w:rsid w:val="00710439"/>
    <w:rsid w:val="0071046A"/>
    <w:rsid w:val="007104CA"/>
    <w:rsid w:val="007105DB"/>
    <w:rsid w:val="00710812"/>
    <w:rsid w:val="0071086A"/>
    <w:rsid w:val="00710AA8"/>
    <w:rsid w:val="00710B1B"/>
    <w:rsid w:val="00710BAF"/>
    <w:rsid w:val="00710FA0"/>
    <w:rsid w:val="0071100E"/>
    <w:rsid w:val="007110B3"/>
    <w:rsid w:val="00711194"/>
    <w:rsid w:val="0071119D"/>
    <w:rsid w:val="0071123A"/>
    <w:rsid w:val="00711302"/>
    <w:rsid w:val="00711428"/>
    <w:rsid w:val="007115F0"/>
    <w:rsid w:val="00711611"/>
    <w:rsid w:val="00711760"/>
    <w:rsid w:val="007118CA"/>
    <w:rsid w:val="00711A5E"/>
    <w:rsid w:val="00711BA9"/>
    <w:rsid w:val="00711BCD"/>
    <w:rsid w:val="00711CD6"/>
    <w:rsid w:val="00711EF9"/>
    <w:rsid w:val="00712051"/>
    <w:rsid w:val="007120A6"/>
    <w:rsid w:val="00712380"/>
    <w:rsid w:val="00712765"/>
    <w:rsid w:val="00712932"/>
    <w:rsid w:val="0071294A"/>
    <w:rsid w:val="007129FC"/>
    <w:rsid w:val="00712A74"/>
    <w:rsid w:val="00712D46"/>
    <w:rsid w:val="00712D60"/>
    <w:rsid w:val="0071300A"/>
    <w:rsid w:val="0071315C"/>
    <w:rsid w:val="00713199"/>
    <w:rsid w:val="0071323B"/>
    <w:rsid w:val="0071330E"/>
    <w:rsid w:val="0071367A"/>
    <w:rsid w:val="00713828"/>
    <w:rsid w:val="007138CA"/>
    <w:rsid w:val="007138E1"/>
    <w:rsid w:val="0071396F"/>
    <w:rsid w:val="00713BAE"/>
    <w:rsid w:val="00713F3A"/>
    <w:rsid w:val="00713F73"/>
    <w:rsid w:val="0071407E"/>
    <w:rsid w:val="0071411F"/>
    <w:rsid w:val="007141B1"/>
    <w:rsid w:val="0071425E"/>
    <w:rsid w:val="007142AD"/>
    <w:rsid w:val="00714588"/>
    <w:rsid w:val="00714683"/>
    <w:rsid w:val="007148A7"/>
    <w:rsid w:val="007148A9"/>
    <w:rsid w:val="007149FD"/>
    <w:rsid w:val="00714A89"/>
    <w:rsid w:val="00714AB4"/>
    <w:rsid w:val="00714AF0"/>
    <w:rsid w:val="00714B1D"/>
    <w:rsid w:val="00714B5A"/>
    <w:rsid w:val="00714D80"/>
    <w:rsid w:val="00714D9D"/>
    <w:rsid w:val="00714F1C"/>
    <w:rsid w:val="00715177"/>
    <w:rsid w:val="00715302"/>
    <w:rsid w:val="00715309"/>
    <w:rsid w:val="007153B5"/>
    <w:rsid w:val="0071550E"/>
    <w:rsid w:val="007157B7"/>
    <w:rsid w:val="00715870"/>
    <w:rsid w:val="00715921"/>
    <w:rsid w:val="00715946"/>
    <w:rsid w:val="007159B6"/>
    <w:rsid w:val="00715AA5"/>
    <w:rsid w:val="00715ACD"/>
    <w:rsid w:val="00715CF3"/>
    <w:rsid w:val="00715E61"/>
    <w:rsid w:val="00715EDB"/>
    <w:rsid w:val="00715EF1"/>
    <w:rsid w:val="0071605A"/>
    <w:rsid w:val="0071610B"/>
    <w:rsid w:val="007162DB"/>
    <w:rsid w:val="00716480"/>
    <w:rsid w:val="007168AD"/>
    <w:rsid w:val="00716AC1"/>
    <w:rsid w:val="00716B49"/>
    <w:rsid w:val="00716C0C"/>
    <w:rsid w:val="00716C40"/>
    <w:rsid w:val="00716D68"/>
    <w:rsid w:val="00716E26"/>
    <w:rsid w:val="00716E50"/>
    <w:rsid w:val="00716E57"/>
    <w:rsid w:val="00717005"/>
    <w:rsid w:val="007170D6"/>
    <w:rsid w:val="0071716F"/>
    <w:rsid w:val="007171B7"/>
    <w:rsid w:val="0071776C"/>
    <w:rsid w:val="007177C3"/>
    <w:rsid w:val="0071780F"/>
    <w:rsid w:val="00717818"/>
    <w:rsid w:val="00717950"/>
    <w:rsid w:val="00717995"/>
    <w:rsid w:val="00717C44"/>
    <w:rsid w:val="00717CE5"/>
    <w:rsid w:val="00717D5B"/>
    <w:rsid w:val="00717E84"/>
    <w:rsid w:val="00717F19"/>
    <w:rsid w:val="00717FA2"/>
    <w:rsid w:val="00720098"/>
    <w:rsid w:val="007201CC"/>
    <w:rsid w:val="00720273"/>
    <w:rsid w:val="007202FA"/>
    <w:rsid w:val="00720312"/>
    <w:rsid w:val="0072054D"/>
    <w:rsid w:val="0072060A"/>
    <w:rsid w:val="0072064A"/>
    <w:rsid w:val="00720695"/>
    <w:rsid w:val="007206F2"/>
    <w:rsid w:val="007207D6"/>
    <w:rsid w:val="0072094D"/>
    <w:rsid w:val="007209B9"/>
    <w:rsid w:val="007209D0"/>
    <w:rsid w:val="00720CDA"/>
    <w:rsid w:val="00720DB2"/>
    <w:rsid w:val="00720F61"/>
    <w:rsid w:val="00720FA4"/>
    <w:rsid w:val="0072104E"/>
    <w:rsid w:val="007210D6"/>
    <w:rsid w:val="0072116E"/>
    <w:rsid w:val="007213A6"/>
    <w:rsid w:val="007213A8"/>
    <w:rsid w:val="007213B0"/>
    <w:rsid w:val="00721637"/>
    <w:rsid w:val="00721672"/>
    <w:rsid w:val="007217E0"/>
    <w:rsid w:val="007218FD"/>
    <w:rsid w:val="007219A7"/>
    <w:rsid w:val="00721A23"/>
    <w:rsid w:val="00721A35"/>
    <w:rsid w:val="00721AAA"/>
    <w:rsid w:val="00721BAD"/>
    <w:rsid w:val="00721BC8"/>
    <w:rsid w:val="00721EDC"/>
    <w:rsid w:val="00721F4D"/>
    <w:rsid w:val="00721F7D"/>
    <w:rsid w:val="00721FC5"/>
    <w:rsid w:val="007220DA"/>
    <w:rsid w:val="007220F0"/>
    <w:rsid w:val="00722189"/>
    <w:rsid w:val="007221B6"/>
    <w:rsid w:val="00722257"/>
    <w:rsid w:val="00722290"/>
    <w:rsid w:val="007222D3"/>
    <w:rsid w:val="00722308"/>
    <w:rsid w:val="00722354"/>
    <w:rsid w:val="0072235C"/>
    <w:rsid w:val="007223A1"/>
    <w:rsid w:val="007225F4"/>
    <w:rsid w:val="00722612"/>
    <w:rsid w:val="00722687"/>
    <w:rsid w:val="00722763"/>
    <w:rsid w:val="007228CE"/>
    <w:rsid w:val="00722CFF"/>
    <w:rsid w:val="00722D01"/>
    <w:rsid w:val="00722E90"/>
    <w:rsid w:val="00722EC0"/>
    <w:rsid w:val="00722EF9"/>
    <w:rsid w:val="007230FD"/>
    <w:rsid w:val="00723160"/>
    <w:rsid w:val="00723255"/>
    <w:rsid w:val="0072341A"/>
    <w:rsid w:val="0072348F"/>
    <w:rsid w:val="0072365B"/>
    <w:rsid w:val="007239D5"/>
    <w:rsid w:val="00723B38"/>
    <w:rsid w:val="00723BC0"/>
    <w:rsid w:val="00723C6A"/>
    <w:rsid w:val="00723D77"/>
    <w:rsid w:val="00723DA3"/>
    <w:rsid w:val="00723E9A"/>
    <w:rsid w:val="00723EC2"/>
    <w:rsid w:val="00723F7C"/>
    <w:rsid w:val="007240AF"/>
    <w:rsid w:val="0072416D"/>
    <w:rsid w:val="00724224"/>
    <w:rsid w:val="007242EC"/>
    <w:rsid w:val="00724429"/>
    <w:rsid w:val="0072449A"/>
    <w:rsid w:val="00724626"/>
    <w:rsid w:val="00724697"/>
    <w:rsid w:val="007246C2"/>
    <w:rsid w:val="0072470A"/>
    <w:rsid w:val="007248E1"/>
    <w:rsid w:val="00724A16"/>
    <w:rsid w:val="00724AC6"/>
    <w:rsid w:val="00724B41"/>
    <w:rsid w:val="00724C0B"/>
    <w:rsid w:val="00724C17"/>
    <w:rsid w:val="00724C7F"/>
    <w:rsid w:val="00724CB1"/>
    <w:rsid w:val="00724D30"/>
    <w:rsid w:val="00724DFC"/>
    <w:rsid w:val="00724FF6"/>
    <w:rsid w:val="007250FF"/>
    <w:rsid w:val="007251CE"/>
    <w:rsid w:val="00725289"/>
    <w:rsid w:val="0072537B"/>
    <w:rsid w:val="007255E7"/>
    <w:rsid w:val="007257BA"/>
    <w:rsid w:val="007259EC"/>
    <w:rsid w:val="00725A4E"/>
    <w:rsid w:val="00725B13"/>
    <w:rsid w:val="00725B72"/>
    <w:rsid w:val="00725CEF"/>
    <w:rsid w:val="00725EA3"/>
    <w:rsid w:val="00725F0D"/>
    <w:rsid w:val="00725F10"/>
    <w:rsid w:val="007260DF"/>
    <w:rsid w:val="00726133"/>
    <w:rsid w:val="00726288"/>
    <w:rsid w:val="007263BD"/>
    <w:rsid w:val="007263D7"/>
    <w:rsid w:val="0072648D"/>
    <w:rsid w:val="0072660A"/>
    <w:rsid w:val="007266D4"/>
    <w:rsid w:val="00726776"/>
    <w:rsid w:val="00726795"/>
    <w:rsid w:val="007268C9"/>
    <w:rsid w:val="00726944"/>
    <w:rsid w:val="0072698A"/>
    <w:rsid w:val="007269F0"/>
    <w:rsid w:val="00726A96"/>
    <w:rsid w:val="00726BFB"/>
    <w:rsid w:val="00726F67"/>
    <w:rsid w:val="00727080"/>
    <w:rsid w:val="00727102"/>
    <w:rsid w:val="00727174"/>
    <w:rsid w:val="00727296"/>
    <w:rsid w:val="00727344"/>
    <w:rsid w:val="007273D6"/>
    <w:rsid w:val="00727407"/>
    <w:rsid w:val="00727522"/>
    <w:rsid w:val="00727600"/>
    <w:rsid w:val="0072770A"/>
    <w:rsid w:val="00727815"/>
    <w:rsid w:val="0072784E"/>
    <w:rsid w:val="007278D4"/>
    <w:rsid w:val="0072793B"/>
    <w:rsid w:val="007279A5"/>
    <w:rsid w:val="00727C1C"/>
    <w:rsid w:val="00727C7B"/>
    <w:rsid w:val="00727CF1"/>
    <w:rsid w:val="00727D3C"/>
    <w:rsid w:val="00727E69"/>
    <w:rsid w:val="00727EE0"/>
    <w:rsid w:val="00727EFD"/>
    <w:rsid w:val="0072B6B6"/>
    <w:rsid w:val="00730049"/>
    <w:rsid w:val="0073031A"/>
    <w:rsid w:val="007305DC"/>
    <w:rsid w:val="0073064D"/>
    <w:rsid w:val="0073080D"/>
    <w:rsid w:val="00730813"/>
    <w:rsid w:val="0073083A"/>
    <w:rsid w:val="00730A05"/>
    <w:rsid w:val="00730BF8"/>
    <w:rsid w:val="00730CA9"/>
    <w:rsid w:val="00730E00"/>
    <w:rsid w:val="00730F5C"/>
    <w:rsid w:val="00730F8E"/>
    <w:rsid w:val="00730FB0"/>
    <w:rsid w:val="0073104D"/>
    <w:rsid w:val="007310DF"/>
    <w:rsid w:val="0073121E"/>
    <w:rsid w:val="00731239"/>
    <w:rsid w:val="00731291"/>
    <w:rsid w:val="00731429"/>
    <w:rsid w:val="00731460"/>
    <w:rsid w:val="00731622"/>
    <w:rsid w:val="00731695"/>
    <w:rsid w:val="00731794"/>
    <w:rsid w:val="00731815"/>
    <w:rsid w:val="00731993"/>
    <w:rsid w:val="00731AD1"/>
    <w:rsid w:val="00731C4A"/>
    <w:rsid w:val="00731CAF"/>
    <w:rsid w:val="00731D8C"/>
    <w:rsid w:val="00732037"/>
    <w:rsid w:val="007320A1"/>
    <w:rsid w:val="00732125"/>
    <w:rsid w:val="00732263"/>
    <w:rsid w:val="007322FC"/>
    <w:rsid w:val="00732459"/>
    <w:rsid w:val="00732620"/>
    <w:rsid w:val="0073262F"/>
    <w:rsid w:val="0073266A"/>
    <w:rsid w:val="007326FA"/>
    <w:rsid w:val="00732783"/>
    <w:rsid w:val="00732A85"/>
    <w:rsid w:val="00732AA2"/>
    <w:rsid w:val="00732E3A"/>
    <w:rsid w:val="00732F15"/>
    <w:rsid w:val="00732F19"/>
    <w:rsid w:val="00733173"/>
    <w:rsid w:val="007331FE"/>
    <w:rsid w:val="00733286"/>
    <w:rsid w:val="007332FD"/>
    <w:rsid w:val="0073365E"/>
    <w:rsid w:val="00733677"/>
    <w:rsid w:val="007336B1"/>
    <w:rsid w:val="0073377E"/>
    <w:rsid w:val="00733893"/>
    <w:rsid w:val="00733A02"/>
    <w:rsid w:val="00733ABF"/>
    <w:rsid w:val="00733E47"/>
    <w:rsid w:val="00733E65"/>
    <w:rsid w:val="00733F00"/>
    <w:rsid w:val="007343B0"/>
    <w:rsid w:val="007344DC"/>
    <w:rsid w:val="00734514"/>
    <w:rsid w:val="00734709"/>
    <w:rsid w:val="0073472E"/>
    <w:rsid w:val="0073488F"/>
    <w:rsid w:val="00734903"/>
    <w:rsid w:val="007349A7"/>
    <w:rsid w:val="00734C11"/>
    <w:rsid w:val="00734C45"/>
    <w:rsid w:val="00734E03"/>
    <w:rsid w:val="00734E09"/>
    <w:rsid w:val="00734F85"/>
    <w:rsid w:val="00734FA9"/>
    <w:rsid w:val="0073503B"/>
    <w:rsid w:val="007351E5"/>
    <w:rsid w:val="00735321"/>
    <w:rsid w:val="007353D7"/>
    <w:rsid w:val="00735560"/>
    <w:rsid w:val="00735612"/>
    <w:rsid w:val="00735637"/>
    <w:rsid w:val="0073583E"/>
    <w:rsid w:val="0073586A"/>
    <w:rsid w:val="00735CE7"/>
    <w:rsid w:val="00735D9A"/>
    <w:rsid w:val="00735F8B"/>
    <w:rsid w:val="00736134"/>
    <w:rsid w:val="00736180"/>
    <w:rsid w:val="00736204"/>
    <w:rsid w:val="00736241"/>
    <w:rsid w:val="00736538"/>
    <w:rsid w:val="0073659C"/>
    <w:rsid w:val="007365EE"/>
    <w:rsid w:val="0073677E"/>
    <w:rsid w:val="00736809"/>
    <w:rsid w:val="007368BB"/>
    <w:rsid w:val="00736978"/>
    <w:rsid w:val="00736D39"/>
    <w:rsid w:val="00736E1B"/>
    <w:rsid w:val="00736FC0"/>
    <w:rsid w:val="00736FE7"/>
    <w:rsid w:val="007370C5"/>
    <w:rsid w:val="007370C9"/>
    <w:rsid w:val="0073712A"/>
    <w:rsid w:val="00737250"/>
    <w:rsid w:val="00737310"/>
    <w:rsid w:val="00737524"/>
    <w:rsid w:val="00737541"/>
    <w:rsid w:val="0073755A"/>
    <w:rsid w:val="007375EF"/>
    <w:rsid w:val="00737642"/>
    <w:rsid w:val="00737679"/>
    <w:rsid w:val="007376A8"/>
    <w:rsid w:val="00737A6C"/>
    <w:rsid w:val="00737AD9"/>
    <w:rsid w:val="00737C04"/>
    <w:rsid w:val="00737C15"/>
    <w:rsid w:val="00737C7B"/>
    <w:rsid w:val="00740162"/>
    <w:rsid w:val="00740185"/>
    <w:rsid w:val="0074020E"/>
    <w:rsid w:val="00740320"/>
    <w:rsid w:val="00740549"/>
    <w:rsid w:val="0074054A"/>
    <w:rsid w:val="007407DE"/>
    <w:rsid w:val="007408F8"/>
    <w:rsid w:val="0074091A"/>
    <w:rsid w:val="0074095B"/>
    <w:rsid w:val="00740BF1"/>
    <w:rsid w:val="00740C1F"/>
    <w:rsid w:val="00740CEF"/>
    <w:rsid w:val="00740DFB"/>
    <w:rsid w:val="00740FA5"/>
    <w:rsid w:val="0074102C"/>
    <w:rsid w:val="0074113C"/>
    <w:rsid w:val="0074130C"/>
    <w:rsid w:val="0074136F"/>
    <w:rsid w:val="00741390"/>
    <w:rsid w:val="00741463"/>
    <w:rsid w:val="007414A8"/>
    <w:rsid w:val="007414E9"/>
    <w:rsid w:val="00741512"/>
    <w:rsid w:val="0074159F"/>
    <w:rsid w:val="0074179A"/>
    <w:rsid w:val="007417B5"/>
    <w:rsid w:val="00741828"/>
    <w:rsid w:val="0074184B"/>
    <w:rsid w:val="00741984"/>
    <w:rsid w:val="00741A8A"/>
    <w:rsid w:val="00741A8E"/>
    <w:rsid w:val="00741AE0"/>
    <w:rsid w:val="00741BD7"/>
    <w:rsid w:val="00741CA6"/>
    <w:rsid w:val="00741CBC"/>
    <w:rsid w:val="00741DC1"/>
    <w:rsid w:val="00741EA5"/>
    <w:rsid w:val="00741EDD"/>
    <w:rsid w:val="007420F0"/>
    <w:rsid w:val="00742120"/>
    <w:rsid w:val="00742153"/>
    <w:rsid w:val="007421F0"/>
    <w:rsid w:val="0074225E"/>
    <w:rsid w:val="007423DA"/>
    <w:rsid w:val="007424B0"/>
    <w:rsid w:val="0074264A"/>
    <w:rsid w:val="007426F6"/>
    <w:rsid w:val="00742926"/>
    <w:rsid w:val="007429CC"/>
    <w:rsid w:val="00742AE1"/>
    <w:rsid w:val="00742D0E"/>
    <w:rsid w:val="00742FE1"/>
    <w:rsid w:val="007430D5"/>
    <w:rsid w:val="007430DF"/>
    <w:rsid w:val="007431AA"/>
    <w:rsid w:val="007431B1"/>
    <w:rsid w:val="007432CA"/>
    <w:rsid w:val="007434B4"/>
    <w:rsid w:val="007434E0"/>
    <w:rsid w:val="007434EC"/>
    <w:rsid w:val="00743585"/>
    <w:rsid w:val="007438FB"/>
    <w:rsid w:val="007439B2"/>
    <w:rsid w:val="00743A1C"/>
    <w:rsid w:val="00743B5D"/>
    <w:rsid w:val="00743BEC"/>
    <w:rsid w:val="00743CFF"/>
    <w:rsid w:val="00743D8C"/>
    <w:rsid w:val="00743F35"/>
    <w:rsid w:val="00743F47"/>
    <w:rsid w:val="007440F0"/>
    <w:rsid w:val="00744104"/>
    <w:rsid w:val="00744266"/>
    <w:rsid w:val="007442A5"/>
    <w:rsid w:val="00744420"/>
    <w:rsid w:val="00744674"/>
    <w:rsid w:val="00744799"/>
    <w:rsid w:val="007447A7"/>
    <w:rsid w:val="0074484E"/>
    <w:rsid w:val="007448BE"/>
    <w:rsid w:val="007448F8"/>
    <w:rsid w:val="00744A15"/>
    <w:rsid w:val="00744ADC"/>
    <w:rsid w:val="00744CA6"/>
    <w:rsid w:val="00744CBA"/>
    <w:rsid w:val="00744CD7"/>
    <w:rsid w:val="00744D53"/>
    <w:rsid w:val="00744D92"/>
    <w:rsid w:val="00744DBD"/>
    <w:rsid w:val="00744DF9"/>
    <w:rsid w:val="00744E0A"/>
    <w:rsid w:val="00744ED5"/>
    <w:rsid w:val="00744FCC"/>
    <w:rsid w:val="00744FF2"/>
    <w:rsid w:val="00745083"/>
    <w:rsid w:val="007450BB"/>
    <w:rsid w:val="00745209"/>
    <w:rsid w:val="00745269"/>
    <w:rsid w:val="007452D2"/>
    <w:rsid w:val="007452FD"/>
    <w:rsid w:val="0074543C"/>
    <w:rsid w:val="007454D8"/>
    <w:rsid w:val="0074550B"/>
    <w:rsid w:val="00745571"/>
    <w:rsid w:val="007455C8"/>
    <w:rsid w:val="00745625"/>
    <w:rsid w:val="007456BC"/>
    <w:rsid w:val="007456E7"/>
    <w:rsid w:val="00745731"/>
    <w:rsid w:val="00745852"/>
    <w:rsid w:val="007459AD"/>
    <w:rsid w:val="007459EB"/>
    <w:rsid w:val="007459F8"/>
    <w:rsid w:val="00745A86"/>
    <w:rsid w:val="00745B95"/>
    <w:rsid w:val="00745C11"/>
    <w:rsid w:val="00745C5A"/>
    <w:rsid w:val="00745C7B"/>
    <w:rsid w:val="00745DB7"/>
    <w:rsid w:val="00745F47"/>
    <w:rsid w:val="00745FDF"/>
    <w:rsid w:val="007461AD"/>
    <w:rsid w:val="007463D1"/>
    <w:rsid w:val="00746443"/>
    <w:rsid w:val="00746503"/>
    <w:rsid w:val="007465A2"/>
    <w:rsid w:val="007465CF"/>
    <w:rsid w:val="00746739"/>
    <w:rsid w:val="00746B33"/>
    <w:rsid w:val="00746B83"/>
    <w:rsid w:val="00746DFE"/>
    <w:rsid w:val="00746E54"/>
    <w:rsid w:val="00746E76"/>
    <w:rsid w:val="00746F15"/>
    <w:rsid w:val="0074702D"/>
    <w:rsid w:val="0074706B"/>
    <w:rsid w:val="007470AE"/>
    <w:rsid w:val="007471EB"/>
    <w:rsid w:val="00747223"/>
    <w:rsid w:val="007472CD"/>
    <w:rsid w:val="00747314"/>
    <w:rsid w:val="007473F7"/>
    <w:rsid w:val="00747518"/>
    <w:rsid w:val="007475A2"/>
    <w:rsid w:val="007475C0"/>
    <w:rsid w:val="007475C1"/>
    <w:rsid w:val="007475C3"/>
    <w:rsid w:val="00747713"/>
    <w:rsid w:val="00747872"/>
    <w:rsid w:val="00747A8C"/>
    <w:rsid w:val="00747BCC"/>
    <w:rsid w:val="00747D9D"/>
    <w:rsid w:val="00747E57"/>
    <w:rsid w:val="00750020"/>
    <w:rsid w:val="0075009C"/>
    <w:rsid w:val="00750226"/>
    <w:rsid w:val="0075027B"/>
    <w:rsid w:val="0075056F"/>
    <w:rsid w:val="007506C7"/>
    <w:rsid w:val="00750721"/>
    <w:rsid w:val="007508FF"/>
    <w:rsid w:val="00750938"/>
    <w:rsid w:val="007509D6"/>
    <w:rsid w:val="00750AA3"/>
    <w:rsid w:val="00750BD4"/>
    <w:rsid w:val="00750C53"/>
    <w:rsid w:val="00750CED"/>
    <w:rsid w:val="00750D5D"/>
    <w:rsid w:val="00750DCF"/>
    <w:rsid w:val="00750E8C"/>
    <w:rsid w:val="00750EBF"/>
    <w:rsid w:val="007510AF"/>
    <w:rsid w:val="007510D9"/>
    <w:rsid w:val="00751165"/>
    <w:rsid w:val="007512DF"/>
    <w:rsid w:val="007512E8"/>
    <w:rsid w:val="00751330"/>
    <w:rsid w:val="0075135D"/>
    <w:rsid w:val="00751571"/>
    <w:rsid w:val="007515E2"/>
    <w:rsid w:val="007515EA"/>
    <w:rsid w:val="00751630"/>
    <w:rsid w:val="007517D2"/>
    <w:rsid w:val="00751826"/>
    <w:rsid w:val="0075199A"/>
    <w:rsid w:val="007519AE"/>
    <w:rsid w:val="007519BD"/>
    <w:rsid w:val="00751A30"/>
    <w:rsid w:val="00751B0E"/>
    <w:rsid w:val="00751B69"/>
    <w:rsid w:val="00751D3A"/>
    <w:rsid w:val="00751D54"/>
    <w:rsid w:val="00751D6A"/>
    <w:rsid w:val="00751F49"/>
    <w:rsid w:val="00752091"/>
    <w:rsid w:val="007520E2"/>
    <w:rsid w:val="00752154"/>
    <w:rsid w:val="00752253"/>
    <w:rsid w:val="00752301"/>
    <w:rsid w:val="00752336"/>
    <w:rsid w:val="007523EA"/>
    <w:rsid w:val="007524CC"/>
    <w:rsid w:val="007525A4"/>
    <w:rsid w:val="00752655"/>
    <w:rsid w:val="007526F0"/>
    <w:rsid w:val="00752798"/>
    <w:rsid w:val="0075289E"/>
    <w:rsid w:val="007529F4"/>
    <w:rsid w:val="00752A51"/>
    <w:rsid w:val="00752B3A"/>
    <w:rsid w:val="00752BDB"/>
    <w:rsid w:val="00752D73"/>
    <w:rsid w:val="00752DBA"/>
    <w:rsid w:val="00752F33"/>
    <w:rsid w:val="00752F5D"/>
    <w:rsid w:val="00752FFF"/>
    <w:rsid w:val="00753079"/>
    <w:rsid w:val="00753298"/>
    <w:rsid w:val="0075336F"/>
    <w:rsid w:val="00753379"/>
    <w:rsid w:val="007534CE"/>
    <w:rsid w:val="007534FC"/>
    <w:rsid w:val="00753543"/>
    <w:rsid w:val="0075361D"/>
    <w:rsid w:val="00753660"/>
    <w:rsid w:val="0075368C"/>
    <w:rsid w:val="007536FB"/>
    <w:rsid w:val="00753A2A"/>
    <w:rsid w:val="00753AD8"/>
    <w:rsid w:val="00753B9E"/>
    <w:rsid w:val="00753BAA"/>
    <w:rsid w:val="00753D95"/>
    <w:rsid w:val="00753E61"/>
    <w:rsid w:val="00753EF7"/>
    <w:rsid w:val="00753EFA"/>
    <w:rsid w:val="00753F7E"/>
    <w:rsid w:val="00754012"/>
    <w:rsid w:val="00754121"/>
    <w:rsid w:val="0075415D"/>
    <w:rsid w:val="007541C2"/>
    <w:rsid w:val="00754224"/>
    <w:rsid w:val="007543BC"/>
    <w:rsid w:val="00754591"/>
    <w:rsid w:val="007545E6"/>
    <w:rsid w:val="007546EA"/>
    <w:rsid w:val="00754781"/>
    <w:rsid w:val="007548D1"/>
    <w:rsid w:val="007548EF"/>
    <w:rsid w:val="00754910"/>
    <w:rsid w:val="0075496A"/>
    <w:rsid w:val="00754B50"/>
    <w:rsid w:val="00754C2D"/>
    <w:rsid w:val="00754D69"/>
    <w:rsid w:val="00754F55"/>
    <w:rsid w:val="00755017"/>
    <w:rsid w:val="00755076"/>
    <w:rsid w:val="0075511E"/>
    <w:rsid w:val="00755184"/>
    <w:rsid w:val="007551E7"/>
    <w:rsid w:val="007551FE"/>
    <w:rsid w:val="00755310"/>
    <w:rsid w:val="00755419"/>
    <w:rsid w:val="007554B8"/>
    <w:rsid w:val="0075571A"/>
    <w:rsid w:val="00755920"/>
    <w:rsid w:val="007559E2"/>
    <w:rsid w:val="00755A3A"/>
    <w:rsid w:val="00755AD9"/>
    <w:rsid w:val="00755B19"/>
    <w:rsid w:val="00755B5C"/>
    <w:rsid w:val="00755C14"/>
    <w:rsid w:val="00755C19"/>
    <w:rsid w:val="00755D73"/>
    <w:rsid w:val="00755DCC"/>
    <w:rsid w:val="00755E20"/>
    <w:rsid w:val="00755F12"/>
    <w:rsid w:val="00755F4F"/>
    <w:rsid w:val="00755F64"/>
    <w:rsid w:val="0075609A"/>
    <w:rsid w:val="007560BE"/>
    <w:rsid w:val="00756281"/>
    <w:rsid w:val="007563C1"/>
    <w:rsid w:val="0075641E"/>
    <w:rsid w:val="00756476"/>
    <w:rsid w:val="007564E5"/>
    <w:rsid w:val="00756A00"/>
    <w:rsid w:val="00756A07"/>
    <w:rsid w:val="00756AEA"/>
    <w:rsid w:val="00756BF4"/>
    <w:rsid w:val="00756C31"/>
    <w:rsid w:val="00756C68"/>
    <w:rsid w:val="00756DE7"/>
    <w:rsid w:val="00756DFE"/>
    <w:rsid w:val="00756E3C"/>
    <w:rsid w:val="00756EC4"/>
    <w:rsid w:val="00757056"/>
    <w:rsid w:val="00757332"/>
    <w:rsid w:val="00757397"/>
    <w:rsid w:val="007573A4"/>
    <w:rsid w:val="00757446"/>
    <w:rsid w:val="007574CC"/>
    <w:rsid w:val="00757579"/>
    <w:rsid w:val="00757674"/>
    <w:rsid w:val="007576C1"/>
    <w:rsid w:val="00757AAD"/>
    <w:rsid w:val="00757AE5"/>
    <w:rsid w:val="00757CF7"/>
    <w:rsid w:val="00757DCC"/>
    <w:rsid w:val="00757E96"/>
    <w:rsid w:val="00757F7C"/>
    <w:rsid w:val="00760360"/>
    <w:rsid w:val="00760386"/>
    <w:rsid w:val="007604C0"/>
    <w:rsid w:val="00760535"/>
    <w:rsid w:val="00760700"/>
    <w:rsid w:val="007607FE"/>
    <w:rsid w:val="00760917"/>
    <w:rsid w:val="0076099F"/>
    <w:rsid w:val="00760CE8"/>
    <w:rsid w:val="00760CFA"/>
    <w:rsid w:val="007610B2"/>
    <w:rsid w:val="00761170"/>
    <w:rsid w:val="007614BE"/>
    <w:rsid w:val="0076154D"/>
    <w:rsid w:val="00761718"/>
    <w:rsid w:val="00761747"/>
    <w:rsid w:val="00761A60"/>
    <w:rsid w:val="00761AA0"/>
    <w:rsid w:val="00761B4D"/>
    <w:rsid w:val="00761C95"/>
    <w:rsid w:val="00761CA6"/>
    <w:rsid w:val="00761CD5"/>
    <w:rsid w:val="00761D9B"/>
    <w:rsid w:val="00762144"/>
    <w:rsid w:val="0076214F"/>
    <w:rsid w:val="00762290"/>
    <w:rsid w:val="0076229A"/>
    <w:rsid w:val="007622D0"/>
    <w:rsid w:val="00762415"/>
    <w:rsid w:val="0076244B"/>
    <w:rsid w:val="007624AD"/>
    <w:rsid w:val="00762724"/>
    <w:rsid w:val="007627B8"/>
    <w:rsid w:val="0076280D"/>
    <w:rsid w:val="0076287A"/>
    <w:rsid w:val="00762A7C"/>
    <w:rsid w:val="00762CD1"/>
    <w:rsid w:val="00762E1C"/>
    <w:rsid w:val="00762E41"/>
    <w:rsid w:val="00762E96"/>
    <w:rsid w:val="0076303D"/>
    <w:rsid w:val="00763233"/>
    <w:rsid w:val="00763297"/>
    <w:rsid w:val="007632C7"/>
    <w:rsid w:val="00763307"/>
    <w:rsid w:val="0076337B"/>
    <w:rsid w:val="007637D0"/>
    <w:rsid w:val="00763909"/>
    <w:rsid w:val="007639C4"/>
    <w:rsid w:val="00763A5E"/>
    <w:rsid w:val="00763B26"/>
    <w:rsid w:val="00763DB0"/>
    <w:rsid w:val="00763DD5"/>
    <w:rsid w:val="00763E98"/>
    <w:rsid w:val="00763F48"/>
    <w:rsid w:val="0076408A"/>
    <w:rsid w:val="007640E9"/>
    <w:rsid w:val="007641FD"/>
    <w:rsid w:val="00764219"/>
    <w:rsid w:val="0076436A"/>
    <w:rsid w:val="0076443B"/>
    <w:rsid w:val="0076450A"/>
    <w:rsid w:val="00764544"/>
    <w:rsid w:val="00764545"/>
    <w:rsid w:val="007646F0"/>
    <w:rsid w:val="007647E4"/>
    <w:rsid w:val="0076485C"/>
    <w:rsid w:val="0076488B"/>
    <w:rsid w:val="00764928"/>
    <w:rsid w:val="007649B7"/>
    <w:rsid w:val="00764E94"/>
    <w:rsid w:val="00764EDA"/>
    <w:rsid w:val="00765091"/>
    <w:rsid w:val="00765294"/>
    <w:rsid w:val="007654D8"/>
    <w:rsid w:val="007654E2"/>
    <w:rsid w:val="00765545"/>
    <w:rsid w:val="0076580A"/>
    <w:rsid w:val="00765822"/>
    <w:rsid w:val="00765A20"/>
    <w:rsid w:val="00765A69"/>
    <w:rsid w:val="00765B62"/>
    <w:rsid w:val="00765C6D"/>
    <w:rsid w:val="00765D13"/>
    <w:rsid w:val="00765DE4"/>
    <w:rsid w:val="00765E1C"/>
    <w:rsid w:val="00765F5D"/>
    <w:rsid w:val="00765FF2"/>
    <w:rsid w:val="00766081"/>
    <w:rsid w:val="007660AA"/>
    <w:rsid w:val="0076631B"/>
    <w:rsid w:val="00766354"/>
    <w:rsid w:val="00766391"/>
    <w:rsid w:val="00766430"/>
    <w:rsid w:val="00766565"/>
    <w:rsid w:val="00766633"/>
    <w:rsid w:val="007668E0"/>
    <w:rsid w:val="00766BA7"/>
    <w:rsid w:val="00766BF5"/>
    <w:rsid w:val="00766C43"/>
    <w:rsid w:val="00766D6A"/>
    <w:rsid w:val="00766FB4"/>
    <w:rsid w:val="00767021"/>
    <w:rsid w:val="00767432"/>
    <w:rsid w:val="007674F0"/>
    <w:rsid w:val="0076750F"/>
    <w:rsid w:val="00767549"/>
    <w:rsid w:val="0076767D"/>
    <w:rsid w:val="0076771A"/>
    <w:rsid w:val="007678B9"/>
    <w:rsid w:val="00767A00"/>
    <w:rsid w:val="00767A32"/>
    <w:rsid w:val="00767BB5"/>
    <w:rsid w:val="00767C62"/>
    <w:rsid w:val="00767CFE"/>
    <w:rsid w:val="00767F98"/>
    <w:rsid w:val="00767FB1"/>
    <w:rsid w:val="0077000F"/>
    <w:rsid w:val="00770132"/>
    <w:rsid w:val="007701B6"/>
    <w:rsid w:val="007701FD"/>
    <w:rsid w:val="007703A6"/>
    <w:rsid w:val="007704AD"/>
    <w:rsid w:val="007704E7"/>
    <w:rsid w:val="00770682"/>
    <w:rsid w:val="0077075D"/>
    <w:rsid w:val="007707D1"/>
    <w:rsid w:val="00770814"/>
    <w:rsid w:val="00770893"/>
    <w:rsid w:val="007708B4"/>
    <w:rsid w:val="00770937"/>
    <w:rsid w:val="00770982"/>
    <w:rsid w:val="007709AA"/>
    <w:rsid w:val="007709C4"/>
    <w:rsid w:val="00770B21"/>
    <w:rsid w:val="00770B24"/>
    <w:rsid w:val="00770D3B"/>
    <w:rsid w:val="00770F06"/>
    <w:rsid w:val="00770F08"/>
    <w:rsid w:val="00770F9B"/>
    <w:rsid w:val="00771175"/>
    <w:rsid w:val="00771579"/>
    <w:rsid w:val="00771599"/>
    <w:rsid w:val="00771608"/>
    <w:rsid w:val="0077175A"/>
    <w:rsid w:val="0077180A"/>
    <w:rsid w:val="00771CDC"/>
    <w:rsid w:val="00771D6F"/>
    <w:rsid w:val="00771D83"/>
    <w:rsid w:val="0077201D"/>
    <w:rsid w:val="0077211E"/>
    <w:rsid w:val="00772478"/>
    <w:rsid w:val="007724AD"/>
    <w:rsid w:val="007724B5"/>
    <w:rsid w:val="00772524"/>
    <w:rsid w:val="007725D0"/>
    <w:rsid w:val="007728C1"/>
    <w:rsid w:val="0077293F"/>
    <w:rsid w:val="007729E9"/>
    <w:rsid w:val="00772AFB"/>
    <w:rsid w:val="00772B08"/>
    <w:rsid w:val="00772B90"/>
    <w:rsid w:val="00772C7A"/>
    <w:rsid w:val="00772D37"/>
    <w:rsid w:val="00772D4F"/>
    <w:rsid w:val="00772E29"/>
    <w:rsid w:val="00772F94"/>
    <w:rsid w:val="00772F95"/>
    <w:rsid w:val="007730E5"/>
    <w:rsid w:val="0077323E"/>
    <w:rsid w:val="007735BE"/>
    <w:rsid w:val="00773610"/>
    <w:rsid w:val="0077397E"/>
    <w:rsid w:val="007739AA"/>
    <w:rsid w:val="00773ABF"/>
    <w:rsid w:val="00773B89"/>
    <w:rsid w:val="00773BC4"/>
    <w:rsid w:val="00773DD8"/>
    <w:rsid w:val="00773E1F"/>
    <w:rsid w:val="00773EBB"/>
    <w:rsid w:val="00773ED9"/>
    <w:rsid w:val="00773EEC"/>
    <w:rsid w:val="00774000"/>
    <w:rsid w:val="007740B4"/>
    <w:rsid w:val="007740BE"/>
    <w:rsid w:val="007740E3"/>
    <w:rsid w:val="00774255"/>
    <w:rsid w:val="00774308"/>
    <w:rsid w:val="00774407"/>
    <w:rsid w:val="0077449B"/>
    <w:rsid w:val="007745F6"/>
    <w:rsid w:val="0077476B"/>
    <w:rsid w:val="00774845"/>
    <w:rsid w:val="00774A83"/>
    <w:rsid w:val="00774B19"/>
    <w:rsid w:val="00774BFA"/>
    <w:rsid w:val="00774D8E"/>
    <w:rsid w:val="00774DFF"/>
    <w:rsid w:val="00774F23"/>
    <w:rsid w:val="00774F38"/>
    <w:rsid w:val="00774F6A"/>
    <w:rsid w:val="00775071"/>
    <w:rsid w:val="007750D1"/>
    <w:rsid w:val="007751ED"/>
    <w:rsid w:val="007753F3"/>
    <w:rsid w:val="00775688"/>
    <w:rsid w:val="0077590C"/>
    <w:rsid w:val="00775BEF"/>
    <w:rsid w:val="00775C44"/>
    <w:rsid w:val="00775CB7"/>
    <w:rsid w:val="00775E93"/>
    <w:rsid w:val="00775F59"/>
    <w:rsid w:val="007761F6"/>
    <w:rsid w:val="0077620E"/>
    <w:rsid w:val="00776382"/>
    <w:rsid w:val="007763A4"/>
    <w:rsid w:val="007763AE"/>
    <w:rsid w:val="00776451"/>
    <w:rsid w:val="007765CB"/>
    <w:rsid w:val="00776632"/>
    <w:rsid w:val="00776745"/>
    <w:rsid w:val="0077686D"/>
    <w:rsid w:val="007768E5"/>
    <w:rsid w:val="00776904"/>
    <w:rsid w:val="00776AA0"/>
    <w:rsid w:val="00776AD9"/>
    <w:rsid w:val="00776D81"/>
    <w:rsid w:val="00776DC7"/>
    <w:rsid w:val="00776E21"/>
    <w:rsid w:val="00776E74"/>
    <w:rsid w:val="00776FBA"/>
    <w:rsid w:val="00777039"/>
    <w:rsid w:val="007770D0"/>
    <w:rsid w:val="007770FB"/>
    <w:rsid w:val="00777105"/>
    <w:rsid w:val="0077718F"/>
    <w:rsid w:val="0077739A"/>
    <w:rsid w:val="0077748A"/>
    <w:rsid w:val="00777555"/>
    <w:rsid w:val="00777586"/>
    <w:rsid w:val="007775B8"/>
    <w:rsid w:val="0077763E"/>
    <w:rsid w:val="0077764E"/>
    <w:rsid w:val="00777782"/>
    <w:rsid w:val="007777D6"/>
    <w:rsid w:val="00777800"/>
    <w:rsid w:val="00777AC3"/>
    <w:rsid w:val="00777ADC"/>
    <w:rsid w:val="00777B98"/>
    <w:rsid w:val="00777CE9"/>
    <w:rsid w:val="00777CFD"/>
    <w:rsid w:val="00777E63"/>
    <w:rsid w:val="00777E7F"/>
    <w:rsid w:val="00777EFB"/>
    <w:rsid w:val="00777EFD"/>
    <w:rsid w:val="00777F70"/>
    <w:rsid w:val="007800B7"/>
    <w:rsid w:val="007803B2"/>
    <w:rsid w:val="00780423"/>
    <w:rsid w:val="00780450"/>
    <w:rsid w:val="0078049C"/>
    <w:rsid w:val="007805DB"/>
    <w:rsid w:val="007808EE"/>
    <w:rsid w:val="007809C5"/>
    <w:rsid w:val="00780B06"/>
    <w:rsid w:val="00780B3E"/>
    <w:rsid w:val="00780C31"/>
    <w:rsid w:val="00780DAE"/>
    <w:rsid w:val="00780E49"/>
    <w:rsid w:val="00780ED9"/>
    <w:rsid w:val="0078135D"/>
    <w:rsid w:val="00781407"/>
    <w:rsid w:val="007814D4"/>
    <w:rsid w:val="00781560"/>
    <w:rsid w:val="0078163C"/>
    <w:rsid w:val="0078165F"/>
    <w:rsid w:val="007816D8"/>
    <w:rsid w:val="0078173A"/>
    <w:rsid w:val="007817E7"/>
    <w:rsid w:val="00781A2E"/>
    <w:rsid w:val="00781A79"/>
    <w:rsid w:val="00781B54"/>
    <w:rsid w:val="00781BEE"/>
    <w:rsid w:val="00781C06"/>
    <w:rsid w:val="00781C5A"/>
    <w:rsid w:val="00781C60"/>
    <w:rsid w:val="00781CE6"/>
    <w:rsid w:val="00781D7D"/>
    <w:rsid w:val="00781DF1"/>
    <w:rsid w:val="00781F96"/>
    <w:rsid w:val="00781FD6"/>
    <w:rsid w:val="0078203B"/>
    <w:rsid w:val="007820E7"/>
    <w:rsid w:val="0078215F"/>
    <w:rsid w:val="007823B0"/>
    <w:rsid w:val="00782411"/>
    <w:rsid w:val="007824D1"/>
    <w:rsid w:val="00782718"/>
    <w:rsid w:val="00782796"/>
    <w:rsid w:val="007828BE"/>
    <w:rsid w:val="00782CD2"/>
    <w:rsid w:val="00782EFF"/>
    <w:rsid w:val="00782F5F"/>
    <w:rsid w:val="00782FE2"/>
    <w:rsid w:val="00782FF4"/>
    <w:rsid w:val="0078306E"/>
    <w:rsid w:val="007830D2"/>
    <w:rsid w:val="00783127"/>
    <w:rsid w:val="0078317F"/>
    <w:rsid w:val="007831B5"/>
    <w:rsid w:val="00783234"/>
    <w:rsid w:val="007832C0"/>
    <w:rsid w:val="0078335A"/>
    <w:rsid w:val="007833E7"/>
    <w:rsid w:val="00783403"/>
    <w:rsid w:val="00783445"/>
    <w:rsid w:val="007835C6"/>
    <w:rsid w:val="00783662"/>
    <w:rsid w:val="00783732"/>
    <w:rsid w:val="007837BB"/>
    <w:rsid w:val="007837CC"/>
    <w:rsid w:val="00783B78"/>
    <w:rsid w:val="00783BEF"/>
    <w:rsid w:val="00783C43"/>
    <w:rsid w:val="007840C1"/>
    <w:rsid w:val="007841FA"/>
    <w:rsid w:val="007842BD"/>
    <w:rsid w:val="00784406"/>
    <w:rsid w:val="00784556"/>
    <w:rsid w:val="007848FA"/>
    <w:rsid w:val="0078492A"/>
    <w:rsid w:val="00784995"/>
    <w:rsid w:val="007849A7"/>
    <w:rsid w:val="00784A47"/>
    <w:rsid w:val="00784B01"/>
    <w:rsid w:val="00784B33"/>
    <w:rsid w:val="00784B7C"/>
    <w:rsid w:val="00784BC4"/>
    <w:rsid w:val="00784CAD"/>
    <w:rsid w:val="00784D30"/>
    <w:rsid w:val="007850A5"/>
    <w:rsid w:val="007850D6"/>
    <w:rsid w:val="0078531D"/>
    <w:rsid w:val="007853DF"/>
    <w:rsid w:val="00785466"/>
    <w:rsid w:val="0078556C"/>
    <w:rsid w:val="007855EF"/>
    <w:rsid w:val="00785678"/>
    <w:rsid w:val="00785767"/>
    <w:rsid w:val="00785A17"/>
    <w:rsid w:val="00785A6F"/>
    <w:rsid w:val="00785AA3"/>
    <w:rsid w:val="00785B72"/>
    <w:rsid w:val="00785CB1"/>
    <w:rsid w:val="00785CE2"/>
    <w:rsid w:val="00785CE3"/>
    <w:rsid w:val="00785D13"/>
    <w:rsid w:val="00785D2F"/>
    <w:rsid w:val="00785DB2"/>
    <w:rsid w:val="007860BF"/>
    <w:rsid w:val="00786371"/>
    <w:rsid w:val="007863D4"/>
    <w:rsid w:val="00786403"/>
    <w:rsid w:val="00786627"/>
    <w:rsid w:val="007866E7"/>
    <w:rsid w:val="00786751"/>
    <w:rsid w:val="007868AC"/>
    <w:rsid w:val="00786B4C"/>
    <w:rsid w:val="00786B4E"/>
    <w:rsid w:val="00786BD7"/>
    <w:rsid w:val="00786C43"/>
    <w:rsid w:val="00786DAC"/>
    <w:rsid w:val="00787243"/>
    <w:rsid w:val="00787374"/>
    <w:rsid w:val="00787593"/>
    <w:rsid w:val="00787664"/>
    <w:rsid w:val="007876D6"/>
    <w:rsid w:val="007876DC"/>
    <w:rsid w:val="00787BAE"/>
    <w:rsid w:val="00787D7C"/>
    <w:rsid w:val="00787DA6"/>
    <w:rsid w:val="00787F94"/>
    <w:rsid w:val="00790056"/>
    <w:rsid w:val="00790523"/>
    <w:rsid w:val="007905DA"/>
    <w:rsid w:val="007908B5"/>
    <w:rsid w:val="007908BA"/>
    <w:rsid w:val="00790979"/>
    <w:rsid w:val="00790A69"/>
    <w:rsid w:val="00790A71"/>
    <w:rsid w:val="00790AB9"/>
    <w:rsid w:val="00790C6B"/>
    <w:rsid w:val="00790CFE"/>
    <w:rsid w:val="00790DEC"/>
    <w:rsid w:val="00790E35"/>
    <w:rsid w:val="00790F09"/>
    <w:rsid w:val="00790F24"/>
    <w:rsid w:val="007910AB"/>
    <w:rsid w:val="0079118B"/>
    <w:rsid w:val="007911F6"/>
    <w:rsid w:val="00791446"/>
    <w:rsid w:val="0079154A"/>
    <w:rsid w:val="0079162E"/>
    <w:rsid w:val="0079167F"/>
    <w:rsid w:val="0079171F"/>
    <w:rsid w:val="00791955"/>
    <w:rsid w:val="00791AB8"/>
    <w:rsid w:val="00791CAB"/>
    <w:rsid w:val="00791D25"/>
    <w:rsid w:val="00791DC1"/>
    <w:rsid w:val="00791E54"/>
    <w:rsid w:val="00791E8B"/>
    <w:rsid w:val="00792013"/>
    <w:rsid w:val="00792199"/>
    <w:rsid w:val="00792288"/>
    <w:rsid w:val="00792333"/>
    <w:rsid w:val="00792485"/>
    <w:rsid w:val="00792835"/>
    <w:rsid w:val="007928B5"/>
    <w:rsid w:val="0079297B"/>
    <w:rsid w:val="00792A16"/>
    <w:rsid w:val="00792A46"/>
    <w:rsid w:val="00792B88"/>
    <w:rsid w:val="00792CAB"/>
    <w:rsid w:val="00792DD9"/>
    <w:rsid w:val="00792E3E"/>
    <w:rsid w:val="00792EB0"/>
    <w:rsid w:val="00792EE7"/>
    <w:rsid w:val="00792F5B"/>
    <w:rsid w:val="007930B2"/>
    <w:rsid w:val="00793205"/>
    <w:rsid w:val="00793353"/>
    <w:rsid w:val="0079342F"/>
    <w:rsid w:val="0079344F"/>
    <w:rsid w:val="007934AF"/>
    <w:rsid w:val="007935D0"/>
    <w:rsid w:val="00793827"/>
    <w:rsid w:val="0079385F"/>
    <w:rsid w:val="00793874"/>
    <w:rsid w:val="00793AC7"/>
    <w:rsid w:val="00793D7E"/>
    <w:rsid w:val="00793D9A"/>
    <w:rsid w:val="00793E84"/>
    <w:rsid w:val="00793EBE"/>
    <w:rsid w:val="00794048"/>
    <w:rsid w:val="00794087"/>
    <w:rsid w:val="007940C4"/>
    <w:rsid w:val="00794118"/>
    <w:rsid w:val="0079427B"/>
    <w:rsid w:val="007942A5"/>
    <w:rsid w:val="007942C2"/>
    <w:rsid w:val="007942D5"/>
    <w:rsid w:val="007942E2"/>
    <w:rsid w:val="007942F4"/>
    <w:rsid w:val="007943E4"/>
    <w:rsid w:val="00794645"/>
    <w:rsid w:val="0079464E"/>
    <w:rsid w:val="00794728"/>
    <w:rsid w:val="0079493B"/>
    <w:rsid w:val="007949B2"/>
    <w:rsid w:val="00794A6A"/>
    <w:rsid w:val="00794BC3"/>
    <w:rsid w:val="00794C19"/>
    <w:rsid w:val="00794E31"/>
    <w:rsid w:val="00794E7B"/>
    <w:rsid w:val="00795010"/>
    <w:rsid w:val="00795026"/>
    <w:rsid w:val="007951AC"/>
    <w:rsid w:val="007951AE"/>
    <w:rsid w:val="0079525D"/>
    <w:rsid w:val="007953BB"/>
    <w:rsid w:val="007954ED"/>
    <w:rsid w:val="00795840"/>
    <w:rsid w:val="00795881"/>
    <w:rsid w:val="00795987"/>
    <w:rsid w:val="00795D6B"/>
    <w:rsid w:val="00796098"/>
    <w:rsid w:val="0079609D"/>
    <w:rsid w:val="007960E6"/>
    <w:rsid w:val="0079612B"/>
    <w:rsid w:val="007961C9"/>
    <w:rsid w:val="00796288"/>
    <w:rsid w:val="007962C2"/>
    <w:rsid w:val="00796496"/>
    <w:rsid w:val="0079649F"/>
    <w:rsid w:val="007964CF"/>
    <w:rsid w:val="007964DE"/>
    <w:rsid w:val="00796533"/>
    <w:rsid w:val="00796659"/>
    <w:rsid w:val="007967EB"/>
    <w:rsid w:val="00796832"/>
    <w:rsid w:val="00796882"/>
    <w:rsid w:val="00796D89"/>
    <w:rsid w:val="00796EA2"/>
    <w:rsid w:val="00797065"/>
    <w:rsid w:val="00797104"/>
    <w:rsid w:val="007971B5"/>
    <w:rsid w:val="0079726A"/>
    <w:rsid w:val="0079738C"/>
    <w:rsid w:val="007974FA"/>
    <w:rsid w:val="007976A7"/>
    <w:rsid w:val="007978EB"/>
    <w:rsid w:val="00797969"/>
    <w:rsid w:val="00797A9E"/>
    <w:rsid w:val="00797B14"/>
    <w:rsid w:val="00797E0D"/>
    <w:rsid w:val="00797FFC"/>
    <w:rsid w:val="007A0311"/>
    <w:rsid w:val="007A049B"/>
    <w:rsid w:val="007A05F0"/>
    <w:rsid w:val="007A0642"/>
    <w:rsid w:val="007A08FE"/>
    <w:rsid w:val="007A0AE8"/>
    <w:rsid w:val="007A0B1D"/>
    <w:rsid w:val="007A0B8B"/>
    <w:rsid w:val="007A0E25"/>
    <w:rsid w:val="007A0F2B"/>
    <w:rsid w:val="007A0F2D"/>
    <w:rsid w:val="007A0F46"/>
    <w:rsid w:val="007A0F81"/>
    <w:rsid w:val="007A118A"/>
    <w:rsid w:val="007A11F4"/>
    <w:rsid w:val="007A121F"/>
    <w:rsid w:val="007A13BB"/>
    <w:rsid w:val="007A13C2"/>
    <w:rsid w:val="007A143B"/>
    <w:rsid w:val="007A15C2"/>
    <w:rsid w:val="007A16F4"/>
    <w:rsid w:val="007A19ED"/>
    <w:rsid w:val="007A1A8C"/>
    <w:rsid w:val="007A1B62"/>
    <w:rsid w:val="007A1C6F"/>
    <w:rsid w:val="007A1D65"/>
    <w:rsid w:val="007A2010"/>
    <w:rsid w:val="007A2056"/>
    <w:rsid w:val="007A208C"/>
    <w:rsid w:val="007A20A2"/>
    <w:rsid w:val="007A214F"/>
    <w:rsid w:val="007A2196"/>
    <w:rsid w:val="007A21F9"/>
    <w:rsid w:val="007A2340"/>
    <w:rsid w:val="007A23A7"/>
    <w:rsid w:val="007A23D8"/>
    <w:rsid w:val="007A247A"/>
    <w:rsid w:val="007A2499"/>
    <w:rsid w:val="007A2784"/>
    <w:rsid w:val="007A2996"/>
    <w:rsid w:val="007A29C5"/>
    <w:rsid w:val="007A2AA0"/>
    <w:rsid w:val="007A2B62"/>
    <w:rsid w:val="007A2D08"/>
    <w:rsid w:val="007A2D51"/>
    <w:rsid w:val="007A2DA2"/>
    <w:rsid w:val="007A2DDB"/>
    <w:rsid w:val="007A2E41"/>
    <w:rsid w:val="007A2EDA"/>
    <w:rsid w:val="007A2F06"/>
    <w:rsid w:val="007A2F7D"/>
    <w:rsid w:val="007A2FE8"/>
    <w:rsid w:val="007A3055"/>
    <w:rsid w:val="007A3249"/>
    <w:rsid w:val="007A32CB"/>
    <w:rsid w:val="007A344E"/>
    <w:rsid w:val="007A349E"/>
    <w:rsid w:val="007A3553"/>
    <w:rsid w:val="007A37B5"/>
    <w:rsid w:val="007A39EE"/>
    <w:rsid w:val="007A3A93"/>
    <w:rsid w:val="007A3AB7"/>
    <w:rsid w:val="007A3D35"/>
    <w:rsid w:val="007A3DA1"/>
    <w:rsid w:val="007A3FBA"/>
    <w:rsid w:val="007A42D7"/>
    <w:rsid w:val="007A42D9"/>
    <w:rsid w:val="007A42DC"/>
    <w:rsid w:val="007A44FA"/>
    <w:rsid w:val="007A4575"/>
    <w:rsid w:val="007A45DA"/>
    <w:rsid w:val="007A4644"/>
    <w:rsid w:val="007A471F"/>
    <w:rsid w:val="007A4A30"/>
    <w:rsid w:val="007A4A5F"/>
    <w:rsid w:val="007A4A9C"/>
    <w:rsid w:val="007A4AAB"/>
    <w:rsid w:val="007A4AE7"/>
    <w:rsid w:val="007A4B36"/>
    <w:rsid w:val="007A4DC0"/>
    <w:rsid w:val="007A4DD2"/>
    <w:rsid w:val="007A4E0B"/>
    <w:rsid w:val="007A51DE"/>
    <w:rsid w:val="007A51E9"/>
    <w:rsid w:val="007A5226"/>
    <w:rsid w:val="007A532E"/>
    <w:rsid w:val="007A53BB"/>
    <w:rsid w:val="007A53CB"/>
    <w:rsid w:val="007A53F9"/>
    <w:rsid w:val="007A5A0E"/>
    <w:rsid w:val="007A5D48"/>
    <w:rsid w:val="007A5D67"/>
    <w:rsid w:val="007A5E2A"/>
    <w:rsid w:val="007A5E3C"/>
    <w:rsid w:val="007A5F8F"/>
    <w:rsid w:val="007A5FD5"/>
    <w:rsid w:val="007A6008"/>
    <w:rsid w:val="007A61EF"/>
    <w:rsid w:val="007A6221"/>
    <w:rsid w:val="007A62A8"/>
    <w:rsid w:val="007A647B"/>
    <w:rsid w:val="007A666D"/>
    <w:rsid w:val="007A66C2"/>
    <w:rsid w:val="007A6715"/>
    <w:rsid w:val="007A6997"/>
    <w:rsid w:val="007A69B1"/>
    <w:rsid w:val="007A6BB8"/>
    <w:rsid w:val="007A6C9D"/>
    <w:rsid w:val="007A6D5C"/>
    <w:rsid w:val="007A6DAC"/>
    <w:rsid w:val="007A6ED2"/>
    <w:rsid w:val="007A6EFF"/>
    <w:rsid w:val="007A7180"/>
    <w:rsid w:val="007A7200"/>
    <w:rsid w:val="007A7315"/>
    <w:rsid w:val="007A740C"/>
    <w:rsid w:val="007A7424"/>
    <w:rsid w:val="007A7433"/>
    <w:rsid w:val="007A74E8"/>
    <w:rsid w:val="007A75B6"/>
    <w:rsid w:val="007A7608"/>
    <w:rsid w:val="007A7869"/>
    <w:rsid w:val="007A7986"/>
    <w:rsid w:val="007A7ADC"/>
    <w:rsid w:val="007A7BF0"/>
    <w:rsid w:val="007A7D3C"/>
    <w:rsid w:val="007A7D8C"/>
    <w:rsid w:val="007A7DBB"/>
    <w:rsid w:val="007A7EAC"/>
    <w:rsid w:val="007A7EC9"/>
    <w:rsid w:val="007A7F0F"/>
    <w:rsid w:val="007A7FDC"/>
    <w:rsid w:val="007A7FFB"/>
    <w:rsid w:val="007B0094"/>
    <w:rsid w:val="007B01BB"/>
    <w:rsid w:val="007B01CD"/>
    <w:rsid w:val="007B01E9"/>
    <w:rsid w:val="007B0246"/>
    <w:rsid w:val="007B038F"/>
    <w:rsid w:val="007B03C6"/>
    <w:rsid w:val="007B04EE"/>
    <w:rsid w:val="007B06A5"/>
    <w:rsid w:val="007B083F"/>
    <w:rsid w:val="007B0BBE"/>
    <w:rsid w:val="007B0CB6"/>
    <w:rsid w:val="007B0DDE"/>
    <w:rsid w:val="007B0E2B"/>
    <w:rsid w:val="007B0F6E"/>
    <w:rsid w:val="007B1022"/>
    <w:rsid w:val="007B108C"/>
    <w:rsid w:val="007B1206"/>
    <w:rsid w:val="007B1282"/>
    <w:rsid w:val="007B14AD"/>
    <w:rsid w:val="007B15D7"/>
    <w:rsid w:val="007B1731"/>
    <w:rsid w:val="007B175E"/>
    <w:rsid w:val="007B19BF"/>
    <w:rsid w:val="007B1AAA"/>
    <w:rsid w:val="007B1E11"/>
    <w:rsid w:val="007B1E27"/>
    <w:rsid w:val="007B1F99"/>
    <w:rsid w:val="007B1FD0"/>
    <w:rsid w:val="007B200F"/>
    <w:rsid w:val="007B21C6"/>
    <w:rsid w:val="007B21F9"/>
    <w:rsid w:val="007B2264"/>
    <w:rsid w:val="007B262A"/>
    <w:rsid w:val="007B2666"/>
    <w:rsid w:val="007B2674"/>
    <w:rsid w:val="007B288D"/>
    <w:rsid w:val="007B2A8F"/>
    <w:rsid w:val="007B2B15"/>
    <w:rsid w:val="007B2F1C"/>
    <w:rsid w:val="007B33B0"/>
    <w:rsid w:val="007B359E"/>
    <w:rsid w:val="007B3676"/>
    <w:rsid w:val="007B38D7"/>
    <w:rsid w:val="007B38FA"/>
    <w:rsid w:val="007B3BA9"/>
    <w:rsid w:val="007B3BD9"/>
    <w:rsid w:val="007B3C57"/>
    <w:rsid w:val="007B3CEB"/>
    <w:rsid w:val="007B3D10"/>
    <w:rsid w:val="007B3E0E"/>
    <w:rsid w:val="007B3EDD"/>
    <w:rsid w:val="007B3FB9"/>
    <w:rsid w:val="007B4027"/>
    <w:rsid w:val="007B4168"/>
    <w:rsid w:val="007B4385"/>
    <w:rsid w:val="007B43A8"/>
    <w:rsid w:val="007B43B8"/>
    <w:rsid w:val="007B4413"/>
    <w:rsid w:val="007B4435"/>
    <w:rsid w:val="007B4658"/>
    <w:rsid w:val="007B472A"/>
    <w:rsid w:val="007B4736"/>
    <w:rsid w:val="007B488D"/>
    <w:rsid w:val="007B492B"/>
    <w:rsid w:val="007B498A"/>
    <w:rsid w:val="007B4A8B"/>
    <w:rsid w:val="007B4BEA"/>
    <w:rsid w:val="007B5066"/>
    <w:rsid w:val="007B5233"/>
    <w:rsid w:val="007B5652"/>
    <w:rsid w:val="007B5667"/>
    <w:rsid w:val="007B56E8"/>
    <w:rsid w:val="007B5803"/>
    <w:rsid w:val="007B581B"/>
    <w:rsid w:val="007B5936"/>
    <w:rsid w:val="007B5951"/>
    <w:rsid w:val="007B5BEF"/>
    <w:rsid w:val="007B5C33"/>
    <w:rsid w:val="007B5D18"/>
    <w:rsid w:val="007B5DF4"/>
    <w:rsid w:val="007B5F40"/>
    <w:rsid w:val="007B606D"/>
    <w:rsid w:val="007B6104"/>
    <w:rsid w:val="007B61BA"/>
    <w:rsid w:val="007B6232"/>
    <w:rsid w:val="007B628C"/>
    <w:rsid w:val="007B64C0"/>
    <w:rsid w:val="007B655E"/>
    <w:rsid w:val="007B66AB"/>
    <w:rsid w:val="007B67BC"/>
    <w:rsid w:val="007B685D"/>
    <w:rsid w:val="007B68D0"/>
    <w:rsid w:val="007B68F7"/>
    <w:rsid w:val="007B6BA1"/>
    <w:rsid w:val="007B6D00"/>
    <w:rsid w:val="007B6DF8"/>
    <w:rsid w:val="007B6F5B"/>
    <w:rsid w:val="007B6F74"/>
    <w:rsid w:val="007B6F7C"/>
    <w:rsid w:val="007B7083"/>
    <w:rsid w:val="007B718A"/>
    <w:rsid w:val="007B7207"/>
    <w:rsid w:val="007B734F"/>
    <w:rsid w:val="007B73FB"/>
    <w:rsid w:val="007B7865"/>
    <w:rsid w:val="007B7A84"/>
    <w:rsid w:val="007B7D03"/>
    <w:rsid w:val="007B7E5A"/>
    <w:rsid w:val="007B7E6E"/>
    <w:rsid w:val="007B7F25"/>
    <w:rsid w:val="007B7FD6"/>
    <w:rsid w:val="007C00B3"/>
    <w:rsid w:val="007C00BE"/>
    <w:rsid w:val="007C00CA"/>
    <w:rsid w:val="007C0164"/>
    <w:rsid w:val="007C0220"/>
    <w:rsid w:val="007C0277"/>
    <w:rsid w:val="007C0284"/>
    <w:rsid w:val="007C0365"/>
    <w:rsid w:val="007C05F2"/>
    <w:rsid w:val="007C063F"/>
    <w:rsid w:val="007C06DB"/>
    <w:rsid w:val="007C090D"/>
    <w:rsid w:val="007C0AEC"/>
    <w:rsid w:val="007C0BCC"/>
    <w:rsid w:val="007C0C7B"/>
    <w:rsid w:val="007C0CCD"/>
    <w:rsid w:val="007C0D38"/>
    <w:rsid w:val="007C0F27"/>
    <w:rsid w:val="007C0FD2"/>
    <w:rsid w:val="007C118D"/>
    <w:rsid w:val="007C11B5"/>
    <w:rsid w:val="007C11FC"/>
    <w:rsid w:val="007C12BE"/>
    <w:rsid w:val="007C141B"/>
    <w:rsid w:val="007C161F"/>
    <w:rsid w:val="007C1683"/>
    <w:rsid w:val="007C1721"/>
    <w:rsid w:val="007C17BF"/>
    <w:rsid w:val="007C17CD"/>
    <w:rsid w:val="007C1849"/>
    <w:rsid w:val="007C19ED"/>
    <w:rsid w:val="007C1A5E"/>
    <w:rsid w:val="007C1AF2"/>
    <w:rsid w:val="007C1D7D"/>
    <w:rsid w:val="007C1DC5"/>
    <w:rsid w:val="007C1DF0"/>
    <w:rsid w:val="007C1F87"/>
    <w:rsid w:val="007C22DD"/>
    <w:rsid w:val="007C22E4"/>
    <w:rsid w:val="007C22FE"/>
    <w:rsid w:val="007C2457"/>
    <w:rsid w:val="007C27A7"/>
    <w:rsid w:val="007C27D4"/>
    <w:rsid w:val="007C29CD"/>
    <w:rsid w:val="007C2AB7"/>
    <w:rsid w:val="007C2C38"/>
    <w:rsid w:val="007C2CFA"/>
    <w:rsid w:val="007C2ECF"/>
    <w:rsid w:val="007C2F6B"/>
    <w:rsid w:val="007C2F93"/>
    <w:rsid w:val="007C2FBD"/>
    <w:rsid w:val="007C3190"/>
    <w:rsid w:val="007C3323"/>
    <w:rsid w:val="007C3462"/>
    <w:rsid w:val="007C34F5"/>
    <w:rsid w:val="007C359F"/>
    <w:rsid w:val="007C35D8"/>
    <w:rsid w:val="007C3836"/>
    <w:rsid w:val="007C3893"/>
    <w:rsid w:val="007C3B76"/>
    <w:rsid w:val="007C3CD2"/>
    <w:rsid w:val="007C3D4B"/>
    <w:rsid w:val="007C3DF7"/>
    <w:rsid w:val="007C3EBD"/>
    <w:rsid w:val="007C3EF3"/>
    <w:rsid w:val="007C3F2F"/>
    <w:rsid w:val="007C3F31"/>
    <w:rsid w:val="007C40F1"/>
    <w:rsid w:val="007C4359"/>
    <w:rsid w:val="007C4366"/>
    <w:rsid w:val="007C46DC"/>
    <w:rsid w:val="007C46E3"/>
    <w:rsid w:val="007C473C"/>
    <w:rsid w:val="007C4879"/>
    <w:rsid w:val="007C4A47"/>
    <w:rsid w:val="007C4A61"/>
    <w:rsid w:val="007C4AD2"/>
    <w:rsid w:val="007C4BAF"/>
    <w:rsid w:val="007C4CE6"/>
    <w:rsid w:val="007C4D31"/>
    <w:rsid w:val="007C4E5E"/>
    <w:rsid w:val="007C4EE3"/>
    <w:rsid w:val="007C5060"/>
    <w:rsid w:val="007C507C"/>
    <w:rsid w:val="007C50A6"/>
    <w:rsid w:val="007C5121"/>
    <w:rsid w:val="007C51B8"/>
    <w:rsid w:val="007C5225"/>
    <w:rsid w:val="007C52BD"/>
    <w:rsid w:val="007C53BC"/>
    <w:rsid w:val="007C53C7"/>
    <w:rsid w:val="007C5485"/>
    <w:rsid w:val="007C553B"/>
    <w:rsid w:val="007C55C9"/>
    <w:rsid w:val="007C55D4"/>
    <w:rsid w:val="007C561E"/>
    <w:rsid w:val="007C56AE"/>
    <w:rsid w:val="007C572A"/>
    <w:rsid w:val="007C582A"/>
    <w:rsid w:val="007C5849"/>
    <w:rsid w:val="007C584F"/>
    <w:rsid w:val="007C58E6"/>
    <w:rsid w:val="007C59F2"/>
    <w:rsid w:val="007C5AFD"/>
    <w:rsid w:val="007C5B52"/>
    <w:rsid w:val="007C5C98"/>
    <w:rsid w:val="007C5CFD"/>
    <w:rsid w:val="007C5CFE"/>
    <w:rsid w:val="007C5D65"/>
    <w:rsid w:val="007C5D80"/>
    <w:rsid w:val="007C608C"/>
    <w:rsid w:val="007C6177"/>
    <w:rsid w:val="007C6462"/>
    <w:rsid w:val="007C647E"/>
    <w:rsid w:val="007C64EA"/>
    <w:rsid w:val="007C653C"/>
    <w:rsid w:val="007C65C0"/>
    <w:rsid w:val="007C66F3"/>
    <w:rsid w:val="007C672C"/>
    <w:rsid w:val="007C6892"/>
    <w:rsid w:val="007C698C"/>
    <w:rsid w:val="007C6A1C"/>
    <w:rsid w:val="007C6A78"/>
    <w:rsid w:val="007C6EC6"/>
    <w:rsid w:val="007C70C7"/>
    <w:rsid w:val="007C70E2"/>
    <w:rsid w:val="007C7112"/>
    <w:rsid w:val="007C727B"/>
    <w:rsid w:val="007C7434"/>
    <w:rsid w:val="007C743F"/>
    <w:rsid w:val="007C74AF"/>
    <w:rsid w:val="007C753F"/>
    <w:rsid w:val="007C7540"/>
    <w:rsid w:val="007C768E"/>
    <w:rsid w:val="007C7760"/>
    <w:rsid w:val="007C77F4"/>
    <w:rsid w:val="007C79C2"/>
    <w:rsid w:val="007C7D4D"/>
    <w:rsid w:val="007C7D67"/>
    <w:rsid w:val="007C7D6D"/>
    <w:rsid w:val="007C7F03"/>
    <w:rsid w:val="007D0045"/>
    <w:rsid w:val="007D0149"/>
    <w:rsid w:val="007D01C1"/>
    <w:rsid w:val="007D03BB"/>
    <w:rsid w:val="007D0497"/>
    <w:rsid w:val="007D055E"/>
    <w:rsid w:val="007D057B"/>
    <w:rsid w:val="007D0638"/>
    <w:rsid w:val="007D072C"/>
    <w:rsid w:val="007D07CB"/>
    <w:rsid w:val="007D0833"/>
    <w:rsid w:val="007D08E7"/>
    <w:rsid w:val="007D08E9"/>
    <w:rsid w:val="007D09AE"/>
    <w:rsid w:val="007D09E3"/>
    <w:rsid w:val="007D0A61"/>
    <w:rsid w:val="007D0AB8"/>
    <w:rsid w:val="007D0CF5"/>
    <w:rsid w:val="007D0D20"/>
    <w:rsid w:val="007D0E6A"/>
    <w:rsid w:val="007D0EC1"/>
    <w:rsid w:val="007D0F1B"/>
    <w:rsid w:val="007D111B"/>
    <w:rsid w:val="007D112C"/>
    <w:rsid w:val="007D1241"/>
    <w:rsid w:val="007D1324"/>
    <w:rsid w:val="007D13C7"/>
    <w:rsid w:val="007D144E"/>
    <w:rsid w:val="007D16D0"/>
    <w:rsid w:val="007D18FB"/>
    <w:rsid w:val="007D1991"/>
    <w:rsid w:val="007D1A1E"/>
    <w:rsid w:val="007D1DC2"/>
    <w:rsid w:val="007D1F1E"/>
    <w:rsid w:val="007D1F4C"/>
    <w:rsid w:val="007D1FAE"/>
    <w:rsid w:val="007D1FD9"/>
    <w:rsid w:val="007D2053"/>
    <w:rsid w:val="007D20C4"/>
    <w:rsid w:val="007D219E"/>
    <w:rsid w:val="007D2336"/>
    <w:rsid w:val="007D2550"/>
    <w:rsid w:val="007D2593"/>
    <w:rsid w:val="007D261A"/>
    <w:rsid w:val="007D26ED"/>
    <w:rsid w:val="007D28F1"/>
    <w:rsid w:val="007D290B"/>
    <w:rsid w:val="007D2B5A"/>
    <w:rsid w:val="007D2B6A"/>
    <w:rsid w:val="007D2E20"/>
    <w:rsid w:val="007D2E30"/>
    <w:rsid w:val="007D3035"/>
    <w:rsid w:val="007D311C"/>
    <w:rsid w:val="007D3217"/>
    <w:rsid w:val="007D324B"/>
    <w:rsid w:val="007D327F"/>
    <w:rsid w:val="007D33F7"/>
    <w:rsid w:val="007D3455"/>
    <w:rsid w:val="007D3474"/>
    <w:rsid w:val="007D3712"/>
    <w:rsid w:val="007D39EF"/>
    <w:rsid w:val="007D3B4D"/>
    <w:rsid w:val="007D3BB8"/>
    <w:rsid w:val="007D3D4F"/>
    <w:rsid w:val="007D3D62"/>
    <w:rsid w:val="007D4104"/>
    <w:rsid w:val="007D4155"/>
    <w:rsid w:val="007D4201"/>
    <w:rsid w:val="007D436A"/>
    <w:rsid w:val="007D43A9"/>
    <w:rsid w:val="007D44AF"/>
    <w:rsid w:val="007D4581"/>
    <w:rsid w:val="007D4641"/>
    <w:rsid w:val="007D4859"/>
    <w:rsid w:val="007D4991"/>
    <w:rsid w:val="007D4ABF"/>
    <w:rsid w:val="007D4BCC"/>
    <w:rsid w:val="007D4CD7"/>
    <w:rsid w:val="007D4CEA"/>
    <w:rsid w:val="007D4D76"/>
    <w:rsid w:val="007D4D94"/>
    <w:rsid w:val="007D4E53"/>
    <w:rsid w:val="007D4EF9"/>
    <w:rsid w:val="007D5098"/>
    <w:rsid w:val="007D50EE"/>
    <w:rsid w:val="007D5359"/>
    <w:rsid w:val="007D544F"/>
    <w:rsid w:val="007D5474"/>
    <w:rsid w:val="007D55D1"/>
    <w:rsid w:val="007D566F"/>
    <w:rsid w:val="007D57C3"/>
    <w:rsid w:val="007D58E8"/>
    <w:rsid w:val="007D58E9"/>
    <w:rsid w:val="007D593F"/>
    <w:rsid w:val="007D5B7E"/>
    <w:rsid w:val="007D5B9F"/>
    <w:rsid w:val="007D5BAF"/>
    <w:rsid w:val="007D5C1E"/>
    <w:rsid w:val="007D5EF6"/>
    <w:rsid w:val="007D63AF"/>
    <w:rsid w:val="007D647F"/>
    <w:rsid w:val="007D6567"/>
    <w:rsid w:val="007D656A"/>
    <w:rsid w:val="007D6586"/>
    <w:rsid w:val="007D6724"/>
    <w:rsid w:val="007D6772"/>
    <w:rsid w:val="007D6859"/>
    <w:rsid w:val="007D691E"/>
    <w:rsid w:val="007D69DC"/>
    <w:rsid w:val="007D6CDB"/>
    <w:rsid w:val="007D70FF"/>
    <w:rsid w:val="007D717C"/>
    <w:rsid w:val="007D7380"/>
    <w:rsid w:val="007D74A3"/>
    <w:rsid w:val="007D758B"/>
    <w:rsid w:val="007D76EC"/>
    <w:rsid w:val="007D76F5"/>
    <w:rsid w:val="007D7703"/>
    <w:rsid w:val="007D78E8"/>
    <w:rsid w:val="007D7C07"/>
    <w:rsid w:val="007D7D3A"/>
    <w:rsid w:val="007D7D42"/>
    <w:rsid w:val="007D7EAA"/>
    <w:rsid w:val="007D7EBB"/>
    <w:rsid w:val="007E0163"/>
    <w:rsid w:val="007E02BB"/>
    <w:rsid w:val="007E031C"/>
    <w:rsid w:val="007E031F"/>
    <w:rsid w:val="007E05DE"/>
    <w:rsid w:val="007E0627"/>
    <w:rsid w:val="007E089F"/>
    <w:rsid w:val="007E0952"/>
    <w:rsid w:val="007E09A5"/>
    <w:rsid w:val="007E0B76"/>
    <w:rsid w:val="007E0C66"/>
    <w:rsid w:val="007E0C75"/>
    <w:rsid w:val="007E10A7"/>
    <w:rsid w:val="007E11AB"/>
    <w:rsid w:val="007E11B4"/>
    <w:rsid w:val="007E11C2"/>
    <w:rsid w:val="007E1262"/>
    <w:rsid w:val="007E12C1"/>
    <w:rsid w:val="007E12FB"/>
    <w:rsid w:val="007E13DE"/>
    <w:rsid w:val="007E14B5"/>
    <w:rsid w:val="007E1680"/>
    <w:rsid w:val="007E176D"/>
    <w:rsid w:val="007E178F"/>
    <w:rsid w:val="007E18FD"/>
    <w:rsid w:val="007E1A71"/>
    <w:rsid w:val="007E1A7B"/>
    <w:rsid w:val="007E1B1E"/>
    <w:rsid w:val="007E1B20"/>
    <w:rsid w:val="007E1C23"/>
    <w:rsid w:val="007E1DAB"/>
    <w:rsid w:val="007E20D8"/>
    <w:rsid w:val="007E2118"/>
    <w:rsid w:val="007E21BF"/>
    <w:rsid w:val="007E2293"/>
    <w:rsid w:val="007E22F3"/>
    <w:rsid w:val="007E23AC"/>
    <w:rsid w:val="007E2467"/>
    <w:rsid w:val="007E2604"/>
    <w:rsid w:val="007E288D"/>
    <w:rsid w:val="007E2911"/>
    <w:rsid w:val="007E2A8C"/>
    <w:rsid w:val="007E2BD0"/>
    <w:rsid w:val="007E2D32"/>
    <w:rsid w:val="007E2D75"/>
    <w:rsid w:val="007E2DAA"/>
    <w:rsid w:val="007E2F3B"/>
    <w:rsid w:val="007E2FD7"/>
    <w:rsid w:val="007E2FF5"/>
    <w:rsid w:val="007E320C"/>
    <w:rsid w:val="007E33E6"/>
    <w:rsid w:val="007E3AA2"/>
    <w:rsid w:val="007E3B2B"/>
    <w:rsid w:val="007E3C01"/>
    <w:rsid w:val="007E3C30"/>
    <w:rsid w:val="007E3D05"/>
    <w:rsid w:val="007E3F88"/>
    <w:rsid w:val="007E403F"/>
    <w:rsid w:val="007E4231"/>
    <w:rsid w:val="007E4298"/>
    <w:rsid w:val="007E4363"/>
    <w:rsid w:val="007E43F2"/>
    <w:rsid w:val="007E443B"/>
    <w:rsid w:val="007E443D"/>
    <w:rsid w:val="007E4481"/>
    <w:rsid w:val="007E44A8"/>
    <w:rsid w:val="007E4541"/>
    <w:rsid w:val="007E47A8"/>
    <w:rsid w:val="007E4985"/>
    <w:rsid w:val="007E49DB"/>
    <w:rsid w:val="007E4A78"/>
    <w:rsid w:val="007E4B9D"/>
    <w:rsid w:val="007E4C05"/>
    <w:rsid w:val="007E4D29"/>
    <w:rsid w:val="007E4D48"/>
    <w:rsid w:val="007E4D7E"/>
    <w:rsid w:val="007E4D80"/>
    <w:rsid w:val="007E4ED7"/>
    <w:rsid w:val="007E4FB5"/>
    <w:rsid w:val="007E4FC6"/>
    <w:rsid w:val="007E4FEE"/>
    <w:rsid w:val="007E513E"/>
    <w:rsid w:val="007E5171"/>
    <w:rsid w:val="007E51C8"/>
    <w:rsid w:val="007E5225"/>
    <w:rsid w:val="007E5454"/>
    <w:rsid w:val="007E5497"/>
    <w:rsid w:val="007E55A7"/>
    <w:rsid w:val="007E5617"/>
    <w:rsid w:val="007E56AA"/>
    <w:rsid w:val="007E5733"/>
    <w:rsid w:val="007E580C"/>
    <w:rsid w:val="007E5853"/>
    <w:rsid w:val="007E58AE"/>
    <w:rsid w:val="007E5933"/>
    <w:rsid w:val="007E59F4"/>
    <w:rsid w:val="007E5A25"/>
    <w:rsid w:val="007E5ADA"/>
    <w:rsid w:val="007E5BB1"/>
    <w:rsid w:val="007E5C73"/>
    <w:rsid w:val="007E5FB6"/>
    <w:rsid w:val="007E5FE5"/>
    <w:rsid w:val="007E608D"/>
    <w:rsid w:val="007E6130"/>
    <w:rsid w:val="007E61FC"/>
    <w:rsid w:val="007E63A6"/>
    <w:rsid w:val="007E641E"/>
    <w:rsid w:val="007E643B"/>
    <w:rsid w:val="007E6572"/>
    <w:rsid w:val="007E66C8"/>
    <w:rsid w:val="007E67BF"/>
    <w:rsid w:val="007E67EE"/>
    <w:rsid w:val="007E6808"/>
    <w:rsid w:val="007E6B8C"/>
    <w:rsid w:val="007E6BD3"/>
    <w:rsid w:val="007E6BD5"/>
    <w:rsid w:val="007E6D41"/>
    <w:rsid w:val="007E715B"/>
    <w:rsid w:val="007E718B"/>
    <w:rsid w:val="007E720C"/>
    <w:rsid w:val="007E74DD"/>
    <w:rsid w:val="007E7673"/>
    <w:rsid w:val="007E76E5"/>
    <w:rsid w:val="007E780C"/>
    <w:rsid w:val="007E780D"/>
    <w:rsid w:val="007E7903"/>
    <w:rsid w:val="007E799F"/>
    <w:rsid w:val="007E7A56"/>
    <w:rsid w:val="007E7B50"/>
    <w:rsid w:val="007E7B60"/>
    <w:rsid w:val="007E7BB3"/>
    <w:rsid w:val="007E7BE5"/>
    <w:rsid w:val="007E7D94"/>
    <w:rsid w:val="007E7EE1"/>
    <w:rsid w:val="007E7F49"/>
    <w:rsid w:val="007E7F85"/>
    <w:rsid w:val="007E7F9B"/>
    <w:rsid w:val="007F00AD"/>
    <w:rsid w:val="007F00C6"/>
    <w:rsid w:val="007F0187"/>
    <w:rsid w:val="007F0225"/>
    <w:rsid w:val="007F03BA"/>
    <w:rsid w:val="007F041F"/>
    <w:rsid w:val="007F058A"/>
    <w:rsid w:val="007F05F0"/>
    <w:rsid w:val="007F060C"/>
    <w:rsid w:val="007F0667"/>
    <w:rsid w:val="007F06DA"/>
    <w:rsid w:val="007F06E3"/>
    <w:rsid w:val="007F0738"/>
    <w:rsid w:val="007F079A"/>
    <w:rsid w:val="007F0C0D"/>
    <w:rsid w:val="007F0C91"/>
    <w:rsid w:val="007F0CA5"/>
    <w:rsid w:val="007F0D23"/>
    <w:rsid w:val="007F0D4E"/>
    <w:rsid w:val="007F0E75"/>
    <w:rsid w:val="007F0FCE"/>
    <w:rsid w:val="007F110C"/>
    <w:rsid w:val="007F1154"/>
    <w:rsid w:val="007F11F2"/>
    <w:rsid w:val="007F121B"/>
    <w:rsid w:val="007F1324"/>
    <w:rsid w:val="007F134E"/>
    <w:rsid w:val="007F13BD"/>
    <w:rsid w:val="007F1553"/>
    <w:rsid w:val="007F1690"/>
    <w:rsid w:val="007F16AC"/>
    <w:rsid w:val="007F16E6"/>
    <w:rsid w:val="007F16EA"/>
    <w:rsid w:val="007F1B31"/>
    <w:rsid w:val="007F1BED"/>
    <w:rsid w:val="007F1C28"/>
    <w:rsid w:val="007F1C29"/>
    <w:rsid w:val="007F1FA8"/>
    <w:rsid w:val="007F2014"/>
    <w:rsid w:val="007F2062"/>
    <w:rsid w:val="007F20BC"/>
    <w:rsid w:val="007F211B"/>
    <w:rsid w:val="007F211F"/>
    <w:rsid w:val="007F215C"/>
    <w:rsid w:val="007F21A5"/>
    <w:rsid w:val="007F21CD"/>
    <w:rsid w:val="007F2213"/>
    <w:rsid w:val="007F2234"/>
    <w:rsid w:val="007F2349"/>
    <w:rsid w:val="007F2382"/>
    <w:rsid w:val="007F23CD"/>
    <w:rsid w:val="007F2483"/>
    <w:rsid w:val="007F2502"/>
    <w:rsid w:val="007F2604"/>
    <w:rsid w:val="007F262E"/>
    <w:rsid w:val="007F281B"/>
    <w:rsid w:val="007F2989"/>
    <w:rsid w:val="007F29BF"/>
    <w:rsid w:val="007F2C5E"/>
    <w:rsid w:val="007F2C9F"/>
    <w:rsid w:val="007F2D4C"/>
    <w:rsid w:val="007F2D7C"/>
    <w:rsid w:val="007F2F82"/>
    <w:rsid w:val="007F3025"/>
    <w:rsid w:val="007F318C"/>
    <w:rsid w:val="007F31C0"/>
    <w:rsid w:val="007F3310"/>
    <w:rsid w:val="007F3356"/>
    <w:rsid w:val="007F34F0"/>
    <w:rsid w:val="007F34F2"/>
    <w:rsid w:val="007F36D6"/>
    <w:rsid w:val="007F36F3"/>
    <w:rsid w:val="007F3722"/>
    <w:rsid w:val="007F37B4"/>
    <w:rsid w:val="007F3835"/>
    <w:rsid w:val="007F392A"/>
    <w:rsid w:val="007F39CD"/>
    <w:rsid w:val="007F3A41"/>
    <w:rsid w:val="007F3ADC"/>
    <w:rsid w:val="007F3D28"/>
    <w:rsid w:val="007F3D4F"/>
    <w:rsid w:val="007F406B"/>
    <w:rsid w:val="007F40E6"/>
    <w:rsid w:val="007F413C"/>
    <w:rsid w:val="007F41F4"/>
    <w:rsid w:val="007F4336"/>
    <w:rsid w:val="007F43A9"/>
    <w:rsid w:val="007F460A"/>
    <w:rsid w:val="007F46FB"/>
    <w:rsid w:val="007F474D"/>
    <w:rsid w:val="007F4769"/>
    <w:rsid w:val="007F47FC"/>
    <w:rsid w:val="007F4922"/>
    <w:rsid w:val="007F4AC6"/>
    <w:rsid w:val="007F4BB8"/>
    <w:rsid w:val="007F4C55"/>
    <w:rsid w:val="007F4D84"/>
    <w:rsid w:val="007F4EF7"/>
    <w:rsid w:val="007F4FAB"/>
    <w:rsid w:val="007F4FEB"/>
    <w:rsid w:val="007F52DB"/>
    <w:rsid w:val="007F5385"/>
    <w:rsid w:val="007F53A2"/>
    <w:rsid w:val="007F54BB"/>
    <w:rsid w:val="007F55B6"/>
    <w:rsid w:val="007F55ED"/>
    <w:rsid w:val="007F5657"/>
    <w:rsid w:val="007F586C"/>
    <w:rsid w:val="007F587D"/>
    <w:rsid w:val="007F58DC"/>
    <w:rsid w:val="007F5918"/>
    <w:rsid w:val="007F5971"/>
    <w:rsid w:val="007F597D"/>
    <w:rsid w:val="007F5A57"/>
    <w:rsid w:val="007F5B10"/>
    <w:rsid w:val="007F5BF7"/>
    <w:rsid w:val="007F5C13"/>
    <w:rsid w:val="007F5C45"/>
    <w:rsid w:val="007F5EA1"/>
    <w:rsid w:val="007F5ED0"/>
    <w:rsid w:val="007F5F8A"/>
    <w:rsid w:val="007F5FE3"/>
    <w:rsid w:val="007F60B0"/>
    <w:rsid w:val="007F61C9"/>
    <w:rsid w:val="007F656F"/>
    <w:rsid w:val="007F65AF"/>
    <w:rsid w:val="007F6685"/>
    <w:rsid w:val="007F6857"/>
    <w:rsid w:val="007F68A2"/>
    <w:rsid w:val="007F6A75"/>
    <w:rsid w:val="007F6D48"/>
    <w:rsid w:val="007F6DBA"/>
    <w:rsid w:val="007F6E4F"/>
    <w:rsid w:val="007F6F0F"/>
    <w:rsid w:val="007F6FAD"/>
    <w:rsid w:val="007F7007"/>
    <w:rsid w:val="007F7074"/>
    <w:rsid w:val="007F71C3"/>
    <w:rsid w:val="007F71E7"/>
    <w:rsid w:val="007F7203"/>
    <w:rsid w:val="007F72C0"/>
    <w:rsid w:val="007F72DA"/>
    <w:rsid w:val="007F7365"/>
    <w:rsid w:val="007F74EB"/>
    <w:rsid w:val="007F74FC"/>
    <w:rsid w:val="007F77D3"/>
    <w:rsid w:val="007F77FC"/>
    <w:rsid w:val="007F780E"/>
    <w:rsid w:val="007F7960"/>
    <w:rsid w:val="007F7AC3"/>
    <w:rsid w:val="007F7AD4"/>
    <w:rsid w:val="007F7C02"/>
    <w:rsid w:val="007F7CF1"/>
    <w:rsid w:val="007F7DCC"/>
    <w:rsid w:val="007F7E7B"/>
    <w:rsid w:val="008000EA"/>
    <w:rsid w:val="00800124"/>
    <w:rsid w:val="0080022C"/>
    <w:rsid w:val="00800309"/>
    <w:rsid w:val="008003D2"/>
    <w:rsid w:val="00800452"/>
    <w:rsid w:val="008005C2"/>
    <w:rsid w:val="008005DD"/>
    <w:rsid w:val="0080084F"/>
    <w:rsid w:val="00800ADC"/>
    <w:rsid w:val="00800AEB"/>
    <w:rsid w:val="00800B1A"/>
    <w:rsid w:val="00800CAA"/>
    <w:rsid w:val="00800E07"/>
    <w:rsid w:val="00800ED6"/>
    <w:rsid w:val="00800EF7"/>
    <w:rsid w:val="0080101A"/>
    <w:rsid w:val="008010BA"/>
    <w:rsid w:val="008011AA"/>
    <w:rsid w:val="008012A3"/>
    <w:rsid w:val="00801352"/>
    <w:rsid w:val="008016C6"/>
    <w:rsid w:val="0080197E"/>
    <w:rsid w:val="008019DF"/>
    <w:rsid w:val="008019FC"/>
    <w:rsid w:val="00801A1F"/>
    <w:rsid w:val="00801AF5"/>
    <w:rsid w:val="00801B15"/>
    <w:rsid w:val="00801C48"/>
    <w:rsid w:val="00801C6D"/>
    <w:rsid w:val="00801D9F"/>
    <w:rsid w:val="00801E2F"/>
    <w:rsid w:val="00801E33"/>
    <w:rsid w:val="00801E3C"/>
    <w:rsid w:val="00801E6F"/>
    <w:rsid w:val="00801F6D"/>
    <w:rsid w:val="00801F9E"/>
    <w:rsid w:val="00801FC8"/>
    <w:rsid w:val="0080201D"/>
    <w:rsid w:val="008020DB"/>
    <w:rsid w:val="008022C2"/>
    <w:rsid w:val="008023EF"/>
    <w:rsid w:val="008024B0"/>
    <w:rsid w:val="008024C7"/>
    <w:rsid w:val="008025A3"/>
    <w:rsid w:val="008025FB"/>
    <w:rsid w:val="0080273C"/>
    <w:rsid w:val="00802913"/>
    <w:rsid w:val="00802965"/>
    <w:rsid w:val="00802AED"/>
    <w:rsid w:val="00802BDF"/>
    <w:rsid w:val="00802C5C"/>
    <w:rsid w:val="00802D77"/>
    <w:rsid w:val="00802DED"/>
    <w:rsid w:val="00802E14"/>
    <w:rsid w:val="00802E26"/>
    <w:rsid w:val="00802ED9"/>
    <w:rsid w:val="00802F75"/>
    <w:rsid w:val="0080312D"/>
    <w:rsid w:val="00803214"/>
    <w:rsid w:val="00803219"/>
    <w:rsid w:val="00803379"/>
    <w:rsid w:val="0080337D"/>
    <w:rsid w:val="008033AC"/>
    <w:rsid w:val="0080341F"/>
    <w:rsid w:val="008034A9"/>
    <w:rsid w:val="00803518"/>
    <w:rsid w:val="008036BA"/>
    <w:rsid w:val="008036F0"/>
    <w:rsid w:val="0080375F"/>
    <w:rsid w:val="00803813"/>
    <w:rsid w:val="008038AA"/>
    <w:rsid w:val="00803A34"/>
    <w:rsid w:val="00803A68"/>
    <w:rsid w:val="00803BE0"/>
    <w:rsid w:val="00803CF9"/>
    <w:rsid w:val="00803E61"/>
    <w:rsid w:val="00803EB5"/>
    <w:rsid w:val="00804106"/>
    <w:rsid w:val="008041D2"/>
    <w:rsid w:val="008042D6"/>
    <w:rsid w:val="00804426"/>
    <w:rsid w:val="008044B9"/>
    <w:rsid w:val="008045DC"/>
    <w:rsid w:val="0080468B"/>
    <w:rsid w:val="00804750"/>
    <w:rsid w:val="00804820"/>
    <w:rsid w:val="00804923"/>
    <w:rsid w:val="00804A24"/>
    <w:rsid w:val="00804A63"/>
    <w:rsid w:val="00804CE9"/>
    <w:rsid w:val="00804DF2"/>
    <w:rsid w:val="00804EB1"/>
    <w:rsid w:val="00804EF3"/>
    <w:rsid w:val="008050A1"/>
    <w:rsid w:val="008052F6"/>
    <w:rsid w:val="008053D3"/>
    <w:rsid w:val="008055C3"/>
    <w:rsid w:val="0080575D"/>
    <w:rsid w:val="008057B2"/>
    <w:rsid w:val="008057E8"/>
    <w:rsid w:val="008058AF"/>
    <w:rsid w:val="008059DC"/>
    <w:rsid w:val="00805EA9"/>
    <w:rsid w:val="008060BE"/>
    <w:rsid w:val="008060CA"/>
    <w:rsid w:val="008060F0"/>
    <w:rsid w:val="00806259"/>
    <w:rsid w:val="0080630E"/>
    <w:rsid w:val="0080633E"/>
    <w:rsid w:val="00806694"/>
    <w:rsid w:val="00806715"/>
    <w:rsid w:val="008067C3"/>
    <w:rsid w:val="00806819"/>
    <w:rsid w:val="0080699E"/>
    <w:rsid w:val="00806B05"/>
    <w:rsid w:val="00806BBE"/>
    <w:rsid w:val="00806BD5"/>
    <w:rsid w:val="00806C17"/>
    <w:rsid w:val="00806C57"/>
    <w:rsid w:val="00806C6A"/>
    <w:rsid w:val="00806D5C"/>
    <w:rsid w:val="00806E39"/>
    <w:rsid w:val="00806E6C"/>
    <w:rsid w:val="00806EBA"/>
    <w:rsid w:val="00806EFA"/>
    <w:rsid w:val="008073FE"/>
    <w:rsid w:val="00807480"/>
    <w:rsid w:val="008075AA"/>
    <w:rsid w:val="008076DB"/>
    <w:rsid w:val="0080770A"/>
    <w:rsid w:val="00807825"/>
    <w:rsid w:val="00807885"/>
    <w:rsid w:val="00807A2B"/>
    <w:rsid w:val="00807B8A"/>
    <w:rsid w:val="00807C76"/>
    <w:rsid w:val="00807CD6"/>
    <w:rsid w:val="00807D1F"/>
    <w:rsid w:val="00807D26"/>
    <w:rsid w:val="00807D48"/>
    <w:rsid w:val="00807D99"/>
    <w:rsid w:val="00807DEC"/>
    <w:rsid w:val="00807E19"/>
    <w:rsid w:val="00807E3B"/>
    <w:rsid w:val="00807F60"/>
    <w:rsid w:val="008102A0"/>
    <w:rsid w:val="00810371"/>
    <w:rsid w:val="0081050F"/>
    <w:rsid w:val="00810598"/>
    <w:rsid w:val="00810618"/>
    <w:rsid w:val="008106A0"/>
    <w:rsid w:val="008106CE"/>
    <w:rsid w:val="008107CF"/>
    <w:rsid w:val="008108E8"/>
    <w:rsid w:val="00810B38"/>
    <w:rsid w:val="00810CFC"/>
    <w:rsid w:val="00810D18"/>
    <w:rsid w:val="00810F24"/>
    <w:rsid w:val="00810FD8"/>
    <w:rsid w:val="00811033"/>
    <w:rsid w:val="008110B1"/>
    <w:rsid w:val="008110F2"/>
    <w:rsid w:val="0081128A"/>
    <w:rsid w:val="00811398"/>
    <w:rsid w:val="00811420"/>
    <w:rsid w:val="008114D1"/>
    <w:rsid w:val="0081168B"/>
    <w:rsid w:val="00811ACE"/>
    <w:rsid w:val="00811AF5"/>
    <w:rsid w:val="00811B14"/>
    <w:rsid w:val="00811C91"/>
    <w:rsid w:val="00811E91"/>
    <w:rsid w:val="00811ECC"/>
    <w:rsid w:val="00811FA4"/>
    <w:rsid w:val="00811FDB"/>
    <w:rsid w:val="008120DA"/>
    <w:rsid w:val="00812104"/>
    <w:rsid w:val="008121C3"/>
    <w:rsid w:val="0081231E"/>
    <w:rsid w:val="0081233C"/>
    <w:rsid w:val="008123EB"/>
    <w:rsid w:val="008124A3"/>
    <w:rsid w:val="0081254D"/>
    <w:rsid w:val="008125D0"/>
    <w:rsid w:val="0081263E"/>
    <w:rsid w:val="0081275E"/>
    <w:rsid w:val="008128A5"/>
    <w:rsid w:val="008128D5"/>
    <w:rsid w:val="0081297A"/>
    <w:rsid w:val="00812B32"/>
    <w:rsid w:val="00812D0A"/>
    <w:rsid w:val="00813083"/>
    <w:rsid w:val="0081320E"/>
    <w:rsid w:val="00813338"/>
    <w:rsid w:val="00813456"/>
    <w:rsid w:val="00813504"/>
    <w:rsid w:val="00813507"/>
    <w:rsid w:val="008135D7"/>
    <w:rsid w:val="00813681"/>
    <w:rsid w:val="00813702"/>
    <w:rsid w:val="00813854"/>
    <w:rsid w:val="00813AFB"/>
    <w:rsid w:val="00813B92"/>
    <w:rsid w:val="00813C70"/>
    <w:rsid w:val="00813E76"/>
    <w:rsid w:val="00813E7F"/>
    <w:rsid w:val="00813F29"/>
    <w:rsid w:val="00813F9B"/>
    <w:rsid w:val="00813FA4"/>
    <w:rsid w:val="0081410C"/>
    <w:rsid w:val="00814135"/>
    <w:rsid w:val="008141CA"/>
    <w:rsid w:val="0081427C"/>
    <w:rsid w:val="00814359"/>
    <w:rsid w:val="0081448C"/>
    <w:rsid w:val="008145BA"/>
    <w:rsid w:val="00814896"/>
    <w:rsid w:val="0081496B"/>
    <w:rsid w:val="00814A7A"/>
    <w:rsid w:val="00814C9F"/>
    <w:rsid w:val="00814D10"/>
    <w:rsid w:val="00814D65"/>
    <w:rsid w:val="00814DB8"/>
    <w:rsid w:val="00814E23"/>
    <w:rsid w:val="00814FAF"/>
    <w:rsid w:val="00815131"/>
    <w:rsid w:val="0081517A"/>
    <w:rsid w:val="008151A5"/>
    <w:rsid w:val="00815291"/>
    <w:rsid w:val="008152D0"/>
    <w:rsid w:val="008152DB"/>
    <w:rsid w:val="008153D1"/>
    <w:rsid w:val="0081544C"/>
    <w:rsid w:val="008154D5"/>
    <w:rsid w:val="00815719"/>
    <w:rsid w:val="008157C9"/>
    <w:rsid w:val="00815810"/>
    <w:rsid w:val="00815895"/>
    <w:rsid w:val="00815903"/>
    <w:rsid w:val="0081598C"/>
    <w:rsid w:val="00815ACB"/>
    <w:rsid w:val="00815B35"/>
    <w:rsid w:val="00815B3F"/>
    <w:rsid w:val="00815DB9"/>
    <w:rsid w:val="00815FA9"/>
    <w:rsid w:val="008162C6"/>
    <w:rsid w:val="008162D2"/>
    <w:rsid w:val="00816325"/>
    <w:rsid w:val="008163D6"/>
    <w:rsid w:val="008163EB"/>
    <w:rsid w:val="008164F7"/>
    <w:rsid w:val="00816604"/>
    <w:rsid w:val="008166FB"/>
    <w:rsid w:val="00816759"/>
    <w:rsid w:val="0081681F"/>
    <w:rsid w:val="008168B2"/>
    <w:rsid w:val="0081692F"/>
    <w:rsid w:val="0081697A"/>
    <w:rsid w:val="00816AEF"/>
    <w:rsid w:val="00816B7F"/>
    <w:rsid w:val="00816BAC"/>
    <w:rsid w:val="00816C09"/>
    <w:rsid w:val="00816D8A"/>
    <w:rsid w:val="00816DBD"/>
    <w:rsid w:val="00816F92"/>
    <w:rsid w:val="0081717A"/>
    <w:rsid w:val="0081725C"/>
    <w:rsid w:val="00817474"/>
    <w:rsid w:val="008174FD"/>
    <w:rsid w:val="0081764D"/>
    <w:rsid w:val="00817679"/>
    <w:rsid w:val="008176F3"/>
    <w:rsid w:val="0081777B"/>
    <w:rsid w:val="00817803"/>
    <w:rsid w:val="008178C4"/>
    <w:rsid w:val="00817941"/>
    <w:rsid w:val="008179D8"/>
    <w:rsid w:val="00817A6F"/>
    <w:rsid w:val="00817B4D"/>
    <w:rsid w:val="00817BB8"/>
    <w:rsid w:val="00817C47"/>
    <w:rsid w:val="00817CE8"/>
    <w:rsid w:val="00817EF0"/>
    <w:rsid w:val="00817FB4"/>
    <w:rsid w:val="00820035"/>
    <w:rsid w:val="008200BF"/>
    <w:rsid w:val="0082010F"/>
    <w:rsid w:val="00820206"/>
    <w:rsid w:val="0082033A"/>
    <w:rsid w:val="00820421"/>
    <w:rsid w:val="00820573"/>
    <w:rsid w:val="00820667"/>
    <w:rsid w:val="008206FC"/>
    <w:rsid w:val="0082078F"/>
    <w:rsid w:val="00820796"/>
    <w:rsid w:val="00820A09"/>
    <w:rsid w:val="00820A66"/>
    <w:rsid w:val="00820A79"/>
    <w:rsid w:val="00820AF1"/>
    <w:rsid w:val="00820B70"/>
    <w:rsid w:val="00820B92"/>
    <w:rsid w:val="00820E29"/>
    <w:rsid w:val="00820E6D"/>
    <w:rsid w:val="00820E79"/>
    <w:rsid w:val="00820E99"/>
    <w:rsid w:val="00820EBA"/>
    <w:rsid w:val="00820EEF"/>
    <w:rsid w:val="00820F39"/>
    <w:rsid w:val="00820F58"/>
    <w:rsid w:val="00820F6A"/>
    <w:rsid w:val="00821045"/>
    <w:rsid w:val="008210E7"/>
    <w:rsid w:val="00821285"/>
    <w:rsid w:val="008214BB"/>
    <w:rsid w:val="0082180F"/>
    <w:rsid w:val="00821852"/>
    <w:rsid w:val="008218D6"/>
    <w:rsid w:val="008218DD"/>
    <w:rsid w:val="0082197E"/>
    <w:rsid w:val="00821988"/>
    <w:rsid w:val="008219FA"/>
    <w:rsid w:val="00821A70"/>
    <w:rsid w:val="00821BD0"/>
    <w:rsid w:val="00821DD6"/>
    <w:rsid w:val="00821E0B"/>
    <w:rsid w:val="00821EDC"/>
    <w:rsid w:val="00822032"/>
    <w:rsid w:val="0082226F"/>
    <w:rsid w:val="008222DC"/>
    <w:rsid w:val="008223C6"/>
    <w:rsid w:val="008224B8"/>
    <w:rsid w:val="00822567"/>
    <w:rsid w:val="00822913"/>
    <w:rsid w:val="0082295F"/>
    <w:rsid w:val="008229BB"/>
    <w:rsid w:val="008229F4"/>
    <w:rsid w:val="00822C79"/>
    <w:rsid w:val="00822DC2"/>
    <w:rsid w:val="00823020"/>
    <w:rsid w:val="008231B2"/>
    <w:rsid w:val="0082321E"/>
    <w:rsid w:val="00823291"/>
    <w:rsid w:val="008232AC"/>
    <w:rsid w:val="008235F8"/>
    <w:rsid w:val="00823658"/>
    <w:rsid w:val="008238B6"/>
    <w:rsid w:val="00823987"/>
    <w:rsid w:val="00823B0C"/>
    <w:rsid w:val="00823CAB"/>
    <w:rsid w:val="00823FAD"/>
    <w:rsid w:val="0082403A"/>
    <w:rsid w:val="0082422B"/>
    <w:rsid w:val="008242B7"/>
    <w:rsid w:val="008242E1"/>
    <w:rsid w:val="00824514"/>
    <w:rsid w:val="0082453B"/>
    <w:rsid w:val="0082457F"/>
    <w:rsid w:val="008245C7"/>
    <w:rsid w:val="00824681"/>
    <w:rsid w:val="0082476C"/>
    <w:rsid w:val="00824836"/>
    <w:rsid w:val="00824875"/>
    <w:rsid w:val="0082489C"/>
    <w:rsid w:val="0082498E"/>
    <w:rsid w:val="008249C0"/>
    <w:rsid w:val="008249FB"/>
    <w:rsid w:val="00824B53"/>
    <w:rsid w:val="00824C2E"/>
    <w:rsid w:val="00824C66"/>
    <w:rsid w:val="00824D5A"/>
    <w:rsid w:val="00824E82"/>
    <w:rsid w:val="00824EE9"/>
    <w:rsid w:val="00825060"/>
    <w:rsid w:val="00825135"/>
    <w:rsid w:val="008251C2"/>
    <w:rsid w:val="0082537D"/>
    <w:rsid w:val="008253E7"/>
    <w:rsid w:val="008254F4"/>
    <w:rsid w:val="0082554A"/>
    <w:rsid w:val="0082568E"/>
    <w:rsid w:val="00825742"/>
    <w:rsid w:val="00825893"/>
    <w:rsid w:val="00825B67"/>
    <w:rsid w:val="00825C1E"/>
    <w:rsid w:val="00825EA0"/>
    <w:rsid w:val="00826141"/>
    <w:rsid w:val="008262E8"/>
    <w:rsid w:val="008263B8"/>
    <w:rsid w:val="00826503"/>
    <w:rsid w:val="008265E8"/>
    <w:rsid w:val="008266C3"/>
    <w:rsid w:val="008268A1"/>
    <w:rsid w:val="008268FC"/>
    <w:rsid w:val="00826956"/>
    <w:rsid w:val="008269FA"/>
    <w:rsid w:val="00826A3E"/>
    <w:rsid w:val="00826B1E"/>
    <w:rsid w:val="00826CDF"/>
    <w:rsid w:val="00826D33"/>
    <w:rsid w:val="00826E78"/>
    <w:rsid w:val="00826F11"/>
    <w:rsid w:val="00826F36"/>
    <w:rsid w:val="00826F68"/>
    <w:rsid w:val="00827177"/>
    <w:rsid w:val="00827321"/>
    <w:rsid w:val="008273D1"/>
    <w:rsid w:val="00827478"/>
    <w:rsid w:val="0082749D"/>
    <w:rsid w:val="008274B7"/>
    <w:rsid w:val="00827696"/>
    <w:rsid w:val="00827826"/>
    <w:rsid w:val="00827B04"/>
    <w:rsid w:val="00827B28"/>
    <w:rsid w:val="00827E8B"/>
    <w:rsid w:val="00830112"/>
    <w:rsid w:val="00830139"/>
    <w:rsid w:val="0083021A"/>
    <w:rsid w:val="0083046A"/>
    <w:rsid w:val="008304FC"/>
    <w:rsid w:val="00830565"/>
    <w:rsid w:val="008307AD"/>
    <w:rsid w:val="008307FA"/>
    <w:rsid w:val="00830838"/>
    <w:rsid w:val="008308E8"/>
    <w:rsid w:val="00830910"/>
    <w:rsid w:val="00830934"/>
    <w:rsid w:val="00830964"/>
    <w:rsid w:val="00830A1B"/>
    <w:rsid w:val="00830BCF"/>
    <w:rsid w:val="00830D3B"/>
    <w:rsid w:val="00830E4D"/>
    <w:rsid w:val="00830E80"/>
    <w:rsid w:val="00830EB9"/>
    <w:rsid w:val="00830EBA"/>
    <w:rsid w:val="00830F8C"/>
    <w:rsid w:val="00830FA6"/>
    <w:rsid w:val="00831184"/>
    <w:rsid w:val="008311BE"/>
    <w:rsid w:val="00831276"/>
    <w:rsid w:val="008312A5"/>
    <w:rsid w:val="008312B4"/>
    <w:rsid w:val="00831316"/>
    <w:rsid w:val="0083139E"/>
    <w:rsid w:val="008313AA"/>
    <w:rsid w:val="008313C7"/>
    <w:rsid w:val="00831559"/>
    <w:rsid w:val="0083158B"/>
    <w:rsid w:val="008315B0"/>
    <w:rsid w:val="008315F4"/>
    <w:rsid w:val="008316C6"/>
    <w:rsid w:val="00831734"/>
    <w:rsid w:val="0083178D"/>
    <w:rsid w:val="008318EB"/>
    <w:rsid w:val="00831945"/>
    <w:rsid w:val="00831A1D"/>
    <w:rsid w:val="00831B6C"/>
    <w:rsid w:val="00831D18"/>
    <w:rsid w:val="00831D74"/>
    <w:rsid w:val="00831D86"/>
    <w:rsid w:val="00831D91"/>
    <w:rsid w:val="00831E19"/>
    <w:rsid w:val="00831E2A"/>
    <w:rsid w:val="00831F8F"/>
    <w:rsid w:val="00831FDB"/>
    <w:rsid w:val="00832022"/>
    <w:rsid w:val="008320EB"/>
    <w:rsid w:val="00832109"/>
    <w:rsid w:val="0083219A"/>
    <w:rsid w:val="0083237A"/>
    <w:rsid w:val="0083238D"/>
    <w:rsid w:val="00832488"/>
    <w:rsid w:val="0083255C"/>
    <w:rsid w:val="008325F1"/>
    <w:rsid w:val="0083276A"/>
    <w:rsid w:val="00832818"/>
    <w:rsid w:val="008328EA"/>
    <w:rsid w:val="0083297A"/>
    <w:rsid w:val="008329A5"/>
    <w:rsid w:val="00832BA6"/>
    <w:rsid w:val="00832BAD"/>
    <w:rsid w:val="00832DF7"/>
    <w:rsid w:val="00832FB2"/>
    <w:rsid w:val="00833298"/>
    <w:rsid w:val="00833489"/>
    <w:rsid w:val="0083368D"/>
    <w:rsid w:val="008336B0"/>
    <w:rsid w:val="008336B8"/>
    <w:rsid w:val="0083373E"/>
    <w:rsid w:val="008337CF"/>
    <w:rsid w:val="008339C8"/>
    <w:rsid w:val="00833A34"/>
    <w:rsid w:val="00833BCF"/>
    <w:rsid w:val="00833C62"/>
    <w:rsid w:val="00833CDA"/>
    <w:rsid w:val="00833D4A"/>
    <w:rsid w:val="00833EE9"/>
    <w:rsid w:val="00833FCB"/>
    <w:rsid w:val="00834129"/>
    <w:rsid w:val="008341A8"/>
    <w:rsid w:val="00834208"/>
    <w:rsid w:val="008342A0"/>
    <w:rsid w:val="0083430A"/>
    <w:rsid w:val="00834319"/>
    <w:rsid w:val="00834526"/>
    <w:rsid w:val="0083455D"/>
    <w:rsid w:val="008345DB"/>
    <w:rsid w:val="00834638"/>
    <w:rsid w:val="008348FB"/>
    <w:rsid w:val="00834938"/>
    <w:rsid w:val="008349A4"/>
    <w:rsid w:val="00834AA4"/>
    <w:rsid w:val="00834AB0"/>
    <w:rsid w:val="00834B3B"/>
    <w:rsid w:val="00834BB9"/>
    <w:rsid w:val="00834C26"/>
    <w:rsid w:val="00834E57"/>
    <w:rsid w:val="00835136"/>
    <w:rsid w:val="0083514F"/>
    <w:rsid w:val="00835332"/>
    <w:rsid w:val="00835390"/>
    <w:rsid w:val="008353AB"/>
    <w:rsid w:val="0083543A"/>
    <w:rsid w:val="008354E2"/>
    <w:rsid w:val="00835623"/>
    <w:rsid w:val="0083573B"/>
    <w:rsid w:val="00835898"/>
    <w:rsid w:val="008359BA"/>
    <w:rsid w:val="008359D8"/>
    <w:rsid w:val="00835A99"/>
    <w:rsid w:val="00835C78"/>
    <w:rsid w:val="00835C9D"/>
    <w:rsid w:val="00835CA4"/>
    <w:rsid w:val="00835CD2"/>
    <w:rsid w:val="00835D03"/>
    <w:rsid w:val="00835DCE"/>
    <w:rsid w:val="00835F9C"/>
    <w:rsid w:val="00836173"/>
    <w:rsid w:val="008361E8"/>
    <w:rsid w:val="0083622B"/>
    <w:rsid w:val="0083626E"/>
    <w:rsid w:val="00836900"/>
    <w:rsid w:val="00836AD6"/>
    <w:rsid w:val="00836B39"/>
    <w:rsid w:val="00836CB4"/>
    <w:rsid w:val="00836E7D"/>
    <w:rsid w:val="00836EB1"/>
    <w:rsid w:val="00836F51"/>
    <w:rsid w:val="0083715E"/>
    <w:rsid w:val="008371AD"/>
    <w:rsid w:val="008375D1"/>
    <w:rsid w:val="0083763E"/>
    <w:rsid w:val="00837640"/>
    <w:rsid w:val="0083776A"/>
    <w:rsid w:val="00837871"/>
    <w:rsid w:val="00837A1A"/>
    <w:rsid w:val="00837A1D"/>
    <w:rsid w:val="00837A2D"/>
    <w:rsid w:val="00837CBC"/>
    <w:rsid w:val="00837E89"/>
    <w:rsid w:val="00837EA5"/>
    <w:rsid w:val="00837F21"/>
    <w:rsid w:val="00837F30"/>
    <w:rsid w:val="00837F66"/>
    <w:rsid w:val="0084001D"/>
    <w:rsid w:val="008400B8"/>
    <w:rsid w:val="00840142"/>
    <w:rsid w:val="008402E8"/>
    <w:rsid w:val="008403E4"/>
    <w:rsid w:val="00840409"/>
    <w:rsid w:val="008407B0"/>
    <w:rsid w:val="00840832"/>
    <w:rsid w:val="00840921"/>
    <w:rsid w:val="00840A45"/>
    <w:rsid w:val="00840AB3"/>
    <w:rsid w:val="00840C5E"/>
    <w:rsid w:val="00840C66"/>
    <w:rsid w:val="00840EE4"/>
    <w:rsid w:val="00840FB8"/>
    <w:rsid w:val="00840FBB"/>
    <w:rsid w:val="00841041"/>
    <w:rsid w:val="008410D6"/>
    <w:rsid w:val="008411BE"/>
    <w:rsid w:val="0084125B"/>
    <w:rsid w:val="0084129F"/>
    <w:rsid w:val="008412F4"/>
    <w:rsid w:val="0084160D"/>
    <w:rsid w:val="00841634"/>
    <w:rsid w:val="00841A1F"/>
    <w:rsid w:val="00841A37"/>
    <w:rsid w:val="00841A53"/>
    <w:rsid w:val="00841AAC"/>
    <w:rsid w:val="00841AF4"/>
    <w:rsid w:val="00841B08"/>
    <w:rsid w:val="00841B25"/>
    <w:rsid w:val="00841BB3"/>
    <w:rsid w:val="00841CFC"/>
    <w:rsid w:val="00841D3E"/>
    <w:rsid w:val="00841DCB"/>
    <w:rsid w:val="00841E6E"/>
    <w:rsid w:val="00841E73"/>
    <w:rsid w:val="00841FC0"/>
    <w:rsid w:val="00842116"/>
    <w:rsid w:val="00842275"/>
    <w:rsid w:val="00842505"/>
    <w:rsid w:val="008425BA"/>
    <w:rsid w:val="0084262B"/>
    <w:rsid w:val="00842638"/>
    <w:rsid w:val="00842796"/>
    <w:rsid w:val="00842A6E"/>
    <w:rsid w:val="00842B43"/>
    <w:rsid w:val="00842BB8"/>
    <w:rsid w:val="00842BD3"/>
    <w:rsid w:val="00842BFC"/>
    <w:rsid w:val="00842C75"/>
    <w:rsid w:val="00842E68"/>
    <w:rsid w:val="00842F38"/>
    <w:rsid w:val="00842F45"/>
    <w:rsid w:val="0084311C"/>
    <w:rsid w:val="0084316C"/>
    <w:rsid w:val="0084327C"/>
    <w:rsid w:val="00843384"/>
    <w:rsid w:val="00843470"/>
    <w:rsid w:val="00843585"/>
    <w:rsid w:val="008439A6"/>
    <w:rsid w:val="008439DE"/>
    <w:rsid w:val="00843A69"/>
    <w:rsid w:val="00843A7F"/>
    <w:rsid w:val="00843AED"/>
    <w:rsid w:val="00843C6C"/>
    <w:rsid w:val="00843D23"/>
    <w:rsid w:val="00843DC5"/>
    <w:rsid w:val="00843F0B"/>
    <w:rsid w:val="008441BA"/>
    <w:rsid w:val="008442DD"/>
    <w:rsid w:val="0084434A"/>
    <w:rsid w:val="008443F1"/>
    <w:rsid w:val="00844422"/>
    <w:rsid w:val="008448C1"/>
    <w:rsid w:val="00844A32"/>
    <w:rsid w:val="00844CF9"/>
    <w:rsid w:val="00844DE2"/>
    <w:rsid w:val="00844FFF"/>
    <w:rsid w:val="008452F1"/>
    <w:rsid w:val="008453C4"/>
    <w:rsid w:val="00845501"/>
    <w:rsid w:val="008456A1"/>
    <w:rsid w:val="008457F5"/>
    <w:rsid w:val="00845894"/>
    <w:rsid w:val="008459EF"/>
    <w:rsid w:val="00845A0D"/>
    <w:rsid w:val="00845A94"/>
    <w:rsid w:val="00845AA1"/>
    <w:rsid w:val="00845C27"/>
    <w:rsid w:val="00845D63"/>
    <w:rsid w:val="00845DFE"/>
    <w:rsid w:val="00846088"/>
    <w:rsid w:val="0084612A"/>
    <w:rsid w:val="0084616B"/>
    <w:rsid w:val="008462E0"/>
    <w:rsid w:val="008463DD"/>
    <w:rsid w:val="00846461"/>
    <w:rsid w:val="00846526"/>
    <w:rsid w:val="008465CA"/>
    <w:rsid w:val="00846661"/>
    <w:rsid w:val="008466D9"/>
    <w:rsid w:val="008466E7"/>
    <w:rsid w:val="00846727"/>
    <w:rsid w:val="00846754"/>
    <w:rsid w:val="0084676A"/>
    <w:rsid w:val="008467AF"/>
    <w:rsid w:val="0084682B"/>
    <w:rsid w:val="00846B0D"/>
    <w:rsid w:val="00846B4B"/>
    <w:rsid w:val="00846C07"/>
    <w:rsid w:val="00846CF6"/>
    <w:rsid w:val="00846DA8"/>
    <w:rsid w:val="00846E11"/>
    <w:rsid w:val="00846E30"/>
    <w:rsid w:val="00846E37"/>
    <w:rsid w:val="00847007"/>
    <w:rsid w:val="00847378"/>
    <w:rsid w:val="008475DB"/>
    <w:rsid w:val="00847723"/>
    <w:rsid w:val="00847938"/>
    <w:rsid w:val="00847B39"/>
    <w:rsid w:val="00847B49"/>
    <w:rsid w:val="00847B53"/>
    <w:rsid w:val="00847B7B"/>
    <w:rsid w:val="00847BA2"/>
    <w:rsid w:val="00847BBA"/>
    <w:rsid w:val="00847BEA"/>
    <w:rsid w:val="00847C82"/>
    <w:rsid w:val="00847CB8"/>
    <w:rsid w:val="00847ED4"/>
    <w:rsid w:val="00847F45"/>
    <w:rsid w:val="00847FE5"/>
    <w:rsid w:val="0085001E"/>
    <w:rsid w:val="00850048"/>
    <w:rsid w:val="00850055"/>
    <w:rsid w:val="00850098"/>
    <w:rsid w:val="008500B6"/>
    <w:rsid w:val="00850101"/>
    <w:rsid w:val="00850321"/>
    <w:rsid w:val="00850571"/>
    <w:rsid w:val="008505BD"/>
    <w:rsid w:val="0085065C"/>
    <w:rsid w:val="008507DE"/>
    <w:rsid w:val="00850923"/>
    <w:rsid w:val="008509CD"/>
    <w:rsid w:val="00850A5C"/>
    <w:rsid w:val="00850B09"/>
    <w:rsid w:val="00850B90"/>
    <w:rsid w:val="00850C23"/>
    <w:rsid w:val="00850C2E"/>
    <w:rsid w:val="00850C48"/>
    <w:rsid w:val="00850CAA"/>
    <w:rsid w:val="00850CD6"/>
    <w:rsid w:val="00850CE4"/>
    <w:rsid w:val="00850D90"/>
    <w:rsid w:val="00850E84"/>
    <w:rsid w:val="00850F21"/>
    <w:rsid w:val="00850F7F"/>
    <w:rsid w:val="00851051"/>
    <w:rsid w:val="00851215"/>
    <w:rsid w:val="008513EE"/>
    <w:rsid w:val="008515E0"/>
    <w:rsid w:val="00851912"/>
    <w:rsid w:val="00851AA5"/>
    <w:rsid w:val="00851AC3"/>
    <w:rsid w:val="00851B71"/>
    <w:rsid w:val="00851C51"/>
    <w:rsid w:val="00851C7C"/>
    <w:rsid w:val="00851D31"/>
    <w:rsid w:val="00851D51"/>
    <w:rsid w:val="00851DD5"/>
    <w:rsid w:val="00851E8C"/>
    <w:rsid w:val="00851EA0"/>
    <w:rsid w:val="00852004"/>
    <w:rsid w:val="008520AA"/>
    <w:rsid w:val="00852289"/>
    <w:rsid w:val="00852366"/>
    <w:rsid w:val="00852419"/>
    <w:rsid w:val="0085252A"/>
    <w:rsid w:val="00852675"/>
    <w:rsid w:val="008526D9"/>
    <w:rsid w:val="00852A6B"/>
    <w:rsid w:val="00852CB7"/>
    <w:rsid w:val="00852E77"/>
    <w:rsid w:val="00852EC5"/>
    <w:rsid w:val="00852ED1"/>
    <w:rsid w:val="00852F10"/>
    <w:rsid w:val="00852F67"/>
    <w:rsid w:val="0085308C"/>
    <w:rsid w:val="008530D0"/>
    <w:rsid w:val="00853119"/>
    <w:rsid w:val="008531C0"/>
    <w:rsid w:val="00853325"/>
    <w:rsid w:val="008533A3"/>
    <w:rsid w:val="0085359F"/>
    <w:rsid w:val="008536A3"/>
    <w:rsid w:val="0085375A"/>
    <w:rsid w:val="008537CE"/>
    <w:rsid w:val="0085393F"/>
    <w:rsid w:val="00853977"/>
    <w:rsid w:val="00853AEC"/>
    <w:rsid w:val="00853B3E"/>
    <w:rsid w:val="00853C0E"/>
    <w:rsid w:val="00853E72"/>
    <w:rsid w:val="00853F4F"/>
    <w:rsid w:val="00853F7F"/>
    <w:rsid w:val="0085413B"/>
    <w:rsid w:val="008542A6"/>
    <w:rsid w:val="008542B4"/>
    <w:rsid w:val="00854361"/>
    <w:rsid w:val="008544CC"/>
    <w:rsid w:val="0085459B"/>
    <w:rsid w:val="008545E6"/>
    <w:rsid w:val="00854800"/>
    <w:rsid w:val="0085497D"/>
    <w:rsid w:val="00854A35"/>
    <w:rsid w:val="00854A40"/>
    <w:rsid w:val="0085509E"/>
    <w:rsid w:val="008550A8"/>
    <w:rsid w:val="008550B6"/>
    <w:rsid w:val="008550E6"/>
    <w:rsid w:val="00855133"/>
    <w:rsid w:val="00855392"/>
    <w:rsid w:val="0085539A"/>
    <w:rsid w:val="008553ED"/>
    <w:rsid w:val="0085556A"/>
    <w:rsid w:val="00855585"/>
    <w:rsid w:val="008556B1"/>
    <w:rsid w:val="008557C7"/>
    <w:rsid w:val="00855843"/>
    <w:rsid w:val="0085596D"/>
    <w:rsid w:val="00855A8F"/>
    <w:rsid w:val="00855B83"/>
    <w:rsid w:val="00855C1B"/>
    <w:rsid w:val="00855C4B"/>
    <w:rsid w:val="00855C85"/>
    <w:rsid w:val="00855CAD"/>
    <w:rsid w:val="00855CD2"/>
    <w:rsid w:val="00855CDF"/>
    <w:rsid w:val="00855D8E"/>
    <w:rsid w:val="00855DE4"/>
    <w:rsid w:val="00855E4F"/>
    <w:rsid w:val="00855F51"/>
    <w:rsid w:val="00856018"/>
    <w:rsid w:val="0085619B"/>
    <w:rsid w:val="0085628E"/>
    <w:rsid w:val="008563CA"/>
    <w:rsid w:val="008563FA"/>
    <w:rsid w:val="00856413"/>
    <w:rsid w:val="008566DB"/>
    <w:rsid w:val="008566FC"/>
    <w:rsid w:val="00856751"/>
    <w:rsid w:val="00856851"/>
    <w:rsid w:val="0085696B"/>
    <w:rsid w:val="0085697C"/>
    <w:rsid w:val="00856B51"/>
    <w:rsid w:val="00856BA3"/>
    <w:rsid w:val="00856C98"/>
    <w:rsid w:val="00856F6C"/>
    <w:rsid w:val="00856F80"/>
    <w:rsid w:val="00856F9C"/>
    <w:rsid w:val="00857055"/>
    <w:rsid w:val="00857136"/>
    <w:rsid w:val="008571B7"/>
    <w:rsid w:val="008571C6"/>
    <w:rsid w:val="00857489"/>
    <w:rsid w:val="00857528"/>
    <w:rsid w:val="0085752B"/>
    <w:rsid w:val="0085755F"/>
    <w:rsid w:val="008575FC"/>
    <w:rsid w:val="00857691"/>
    <w:rsid w:val="008577B5"/>
    <w:rsid w:val="0085785B"/>
    <w:rsid w:val="00857893"/>
    <w:rsid w:val="00857967"/>
    <w:rsid w:val="008579C6"/>
    <w:rsid w:val="00857A83"/>
    <w:rsid w:val="00857B41"/>
    <w:rsid w:val="00857B4C"/>
    <w:rsid w:val="00857B72"/>
    <w:rsid w:val="00857CB0"/>
    <w:rsid w:val="00857CC1"/>
    <w:rsid w:val="00857E29"/>
    <w:rsid w:val="00857F2A"/>
    <w:rsid w:val="00857FEB"/>
    <w:rsid w:val="008600CD"/>
    <w:rsid w:val="0086014E"/>
    <w:rsid w:val="0086015E"/>
    <w:rsid w:val="00860181"/>
    <w:rsid w:val="008601A2"/>
    <w:rsid w:val="00860315"/>
    <w:rsid w:val="00860357"/>
    <w:rsid w:val="00860395"/>
    <w:rsid w:val="0086056F"/>
    <w:rsid w:val="00860587"/>
    <w:rsid w:val="008605DF"/>
    <w:rsid w:val="00860808"/>
    <w:rsid w:val="00860A47"/>
    <w:rsid w:val="00860B4E"/>
    <w:rsid w:val="00860BC2"/>
    <w:rsid w:val="00860CAF"/>
    <w:rsid w:val="00860DF0"/>
    <w:rsid w:val="00860DFA"/>
    <w:rsid w:val="008610D7"/>
    <w:rsid w:val="00861112"/>
    <w:rsid w:val="0086114B"/>
    <w:rsid w:val="00861206"/>
    <w:rsid w:val="00861243"/>
    <w:rsid w:val="008613CC"/>
    <w:rsid w:val="0086149B"/>
    <w:rsid w:val="00861704"/>
    <w:rsid w:val="008617CB"/>
    <w:rsid w:val="008617E7"/>
    <w:rsid w:val="00861807"/>
    <w:rsid w:val="008618E3"/>
    <w:rsid w:val="008619AD"/>
    <w:rsid w:val="00861AB3"/>
    <w:rsid w:val="00861AD7"/>
    <w:rsid w:val="00861B52"/>
    <w:rsid w:val="00861C91"/>
    <w:rsid w:val="00861CB4"/>
    <w:rsid w:val="00861E27"/>
    <w:rsid w:val="00861E38"/>
    <w:rsid w:val="0086204C"/>
    <w:rsid w:val="0086206F"/>
    <w:rsid w:val="008620E7"/>
    <w:rsid w:val="0086220B"/>
    <w:rsid w:val="0086231D"/>
    <w:rsid w:val="008623B2"/>
    <w:rsid w:val="008623B8"/>
    <w:rsid w:val="008623F7"/>
    <w:rsid w:val="008623FB"/>
    <w:rsid w:val="008624CB"/>
    <w:rsid w:val="0086251B"/>
    <w:rsid w:val="008627CF"/>
    <w:rsid w:val="0086282C"/>
    <w:rsid w:val="0086289A"/>
    <w:rsid w:val="00862B1E"/>
    <w:rsid w:val="00862C81"/>
    <w:rsid w:val="00862D55"/>
    <w:rsid w:val="00862D90"/>
    <w:rsid w:val="00862EC1"/>
    <w:rsid w:val="00862F0C"/>
    <w:rsid w:val="00862F61"/>
    <w:rsid w:val="00863069"/>
    <w:rsid w:val="008630EF"/>
    <w:rsid w:val="00863115"/>
    <w:rsid w:val="00863227"/>
    <w:rsid w:val="00863232"/>
    <w:rsid w:val="00863233"/>
    <w:rsid w:val="0086354B"/>
    <w:rsid w:val="008635C7"/>
    <w:rsid w:val="0086366B"/>
    <w:rsid w:val="00863916"/>
    <w:rsid w:val="00863A22"/>
    <w:rsid w:val="00863BF1"/>
    <w:rsid w:val="00863EC9"/>
    <w:rsid w:val="00863F3E"/>
    <w:rsid w:val="00863FC6"/>
    <w:rsid w:val="008642F8"/>
    <w:rsid w:val="008644CF"/>
    <w:rsid w:val="00864574"/>
    <w:rsid w:val="00864782"/>
    <w:rsid w:val="00864929"/>
    <w:rsid w:val="00864B2C"/>
    <w:rsid w:val="00864B2F"/>
    <w:rsid w:val="00864BF6"/>
    <w:rsid w:val="00864C19"/>
    <w:rsid w:val="00864C2F"/>
    <w:rsid w:val="00864C50"/>
    <w:rsid w:val="00864F17"/>
    <w:rsid w:val="00865088"/>
    <w:rsid w:val="008650B8"/>
    <w:rsid w:val="008650CE"/>
    <w:rsid w:val="0086517F"/>
    <w:rsid w:val="00865275"/>
    <w:rsid w:val="008652F5"/>
    <w:rsid w:val="00865422"/>
    <w:rsid w:val="00865435"/>
    <w:rsid w:val="00865611"/>
    <w:rsid w:val="0086574E"/>
    <w:rsid w:val="00865806"/>
    <w:rsid w:val="00865835"/>
    <w:rsid w:val="0086583C"/>
    <w:rsid w:val="008658A2"/>
    <w:rsid w:val="008658EE"/>
    <w:rsid w:val="00865A18"/>
    <w:rsid w:val="00865A1D"/>
    <w:rsid w:val="00865A91"/>
    <w:rsid w:val="00865AC5"/>
    <w:rsid w:val="00865CB1"/>
    <w:rsid w:val="00865D6F"/>
    <w:rsid w:val="00865DE2"/>
    <w:rsid w:val="00865FF5"/>
    <w:rsid w:val="008660B7"/>
    <w:rsid w:val="008660C5"/>
    <w:rsid w:val="008660E2"/>
    <w:rsid w:val="00866214"/>
    <w:rsid w:val="0086625A"/>
    <w:rsid w:val="008663C2"/>
    <w:rsid w:val="00866423"/>
    <w:rsid w:val="0086660B"/>
    <w:rsid w:val="00866665"/>
    <w:rsid w:val="00866676"/>
    <w:rsid w:val="00866684"/>
    <w:rsid w:val="0086668A"/>
    <w:rsid w:val="00866A3D"/>
    <w:rsid w:val="00866BDC"/>
    <w:rsid w:val="00866C36"/>
    <w:rsid w:val="00866D03"/>
    <w:rsid w:val="00866D3A"/>
    <w:rsid w:val="00866D97"/>
    <w:rsid w:val="00866EF6"/>
    <w:rsid w:val="00866FC9"/>
    <w:rsid w:val="0086730E"/>
    <w:rsid w:val="0086737E"/>
    <w:rsid w:val="008673D7"/>
    <w:rsid w:val="008673E7"/>
    <w:rsid w:val="0086743B"/>
    <w:rsid w:val="0086748C"/>
    <w:rsid w:val="00867509"/>
    <w:rsid w:val="0086751D"/>
    <w:rsid w:val="008675FE"/>
    <w:rsid w:val="00867987"/>
    <w:rsid w:val="00867A1A"/>
    <w:rsid w:val="00867AA1"/>
    <w:rsid w:val="00867AE0"/>
    <w:rsid w:val="00867B58"/>
    <w:rsid w:val="00867C9B"/>
    <w:rsid w:val="00867DEC"/>
    <w:rsid w:val="00867E0D"/>
    <w:rsid w:val="00867EC6"/>
    <w:rsid w:val="00867F04"/>
    <w:rsid w:val="0087015B"/>
    <w:rsid w:val="008701AC"/>
    <w:rsid w:val="008701EF"/>
    <w:rsid w:val="00870271"/>
    <w:rsid w:val="0087030B"/>
    <w:rsid w:val="0087035A"/>
    <w:rsid w:val="008703C8"/>
    <w:rsid w:val="00870402"/>
    <w:rsid w:val="00870430"/>
    <w:rsid w:val="00870487"/>
    <w:rsid w:val="0087073B"/>
    <w:rsid w:val="008707D4"/>
    <w:rsid w:val="008708EC"/>
    <w:rsid w:val="00870A34"/>
    <w:rsid w:val="008710C7"/>
    <w:rsid w:val="008710E9"/>
    <w:rsid w:val="00871171"/>
    <w:rsid w:val="00871385"/>
    <w:rsid w:val="00871453"/>
    <w:rsid w:val="008714B9"/>
    <w:rsid w:val="00871609"/>
    <w:rsid w:val="0087189A"/>
    <w:rsid w:val="008719DF"/>
    <w:rsid w:val="00871BD8"/>
    <w:rsid w:val="00871CB3"/>
    <w:rsid w:val="00871D5E"/>
    <w:rsid w:val="00871D61"/>
    <w:rsid w:val="00871D72"/>
    <w:rsid w:val="00871E81"/>
    <w:rsid w:val="00871F7A"/>
    <w:rsid w:val="008721C6"/>
    <w:rsid w:val="00872631"/>
    <w:rsid w:val="00872647"/>
    <w:rsid w:val="00872691"/>
    <w:rsid w:val="00872767"/>
    <w:rsid w:val="00872782"/>
    <w:rsid w:val="0087288D"/>
    <w:rsid w:val="0087293A"/>
    <w:rsid w:val="00872C94"/>
    <w:rsid w:val="00872DA1"/>
    <w:rsid w:val="00872DD1"/>
    <w:rsid w:val="008730BD"/>
    <w:rsid w:val="0087312F"/>
    <w:rsid w:val="00873305"/>
    <w:rsid w:val="00873380"/>
    <w:rsid w:val="008733C1"/>
    <w:rsid w:val="008733C9"/>
    <w:rsid w:val="008733E6"/>
    <w:rsid w:val="008733F1"/>
    <w:rsid w:val="00873494"/>
    <w:rsid w:val="00873498"/>
    <w:rsid w:val="008734F7"/>
    <w:rsid w:val="00873679"/>
    <w:rsid w:val="00873980"/>
    <w:rsid w:val="00873A63"/>
    <w:rsid w:val="00873AE9"/>
    <w:rsid w:val="00873AF7"/>
    <w:rsid w:val="00873E7F"/>
    <w:rsid w:val="00873F01"/>
    <w:rsid w:val="00874003"/>
    <w:rsid w:val="00874090"/>
    <w:rsid w:val="008741D2"/>
    <w:rsid w:val="008741F8"/>
    <w:rsid w:val="0087458E"/>
    <w:rsid w:val="00874596"/>
    <w:rsid w:val="008745F6"/>
    <w:rsid w:val="0087465C"/>
    <w:rsid w:val="008746A4"/>
    <w:rsid w:val="008746EE"/>
    <w:rsid w:val="0087482A"/>
    <w:rsid w:val="008748E8"/>
    <w:rsid w:val="00874A88"/>
    <w:rsid w:val="00874B7B"/>
    <w:rsid w:val="00874C14"/>
    <w:rsid w:val="00874CD8"/>
    <w:rsid w:val="00874E91"/>
    <w:rsid w:val="00874EAE"/>
    <w:rsid w:val="00874F96"/>
    <w:rsid w:val="0087503D"/>
    <w:rsid w:val="008752C8"/>
    <w:rsid w:val="008753B4"/>
    <w:rsid w:val="008753FA"/>
    <w:rsid w:val="008754D2"/>
    <w:rsid w:val="008755CD"/>
    <w:rsid w:val="00875666"/>
    <w:rsid w:val="00875681"/>
    <w:rsid w:val="008758B9"/>
    <w:rsid w:val="00875C2E"/>
    <w:rsid w:val="00875D38"/>
    <w:rsid w:val="00875E5C"/>
    <w:rsid w:val="00875ECD"/>
    <w:rsid w:val="00875ED0"/>
    <w:rsid w:val="008761ED"/>
    <w:rsid w:val="008762F8"/>
    <w:rsid w:val="008763E9"/>
    <w:rsid w:val="00876489"/>
    <w:rsid w:val="00876494"/>
    <w:rsid w:val="008765B8"/>
    <w:rsid w:val="008765C2"/>
    <w:rsid w:val="008765CB"/>
    <w:rsid w:val="0087662A"/>
    <w:rsid w:val="0087663B"/>
    <w:rsid w:val="008766CD"/>
    <w:rsid w:val="00876713"/>
    <w:rsid w:val="0087674A"/>
    <w:rsid w:val="008767C4"/>
    <w:rsid w:val="008767D4"/>
    <w:rsid w:val="008767E0"/>
    <w:rsid w:val="008767F7"/>
    <w:rsid w:val="00876AA7"/>
    <w:rsid w:val="00876B72"/>
    <w:rsid w:val="00876BAD"/>
    <w:rsid w:val="00876BD6"/>
    <w:rsid w:val="00876C2E"/>
    <w:rsid w:val="00876DF4"/>
    <w:rsid w:val="00876E0D"/>
    <w:rsid w:val="00876ED5"/>
    <w:rsid w:val="00876F32"/>
    <w:rsid w:val="0087703C"/>
    <w:rsid w:val="00877077"/>
    <w:rsid w:val="0087707A"/>
    <w:rsid w:val="008770B4"/>
    <w:rsid w:val="008772C1"/>
    <w:rsid w:val="00877567"/>
    <w:rsid w:val="00877614"/>
    <w:rsid w:val="00877712"/>
    <w:rsid w:val="0087786F"/>
    <w:rsid w:val="00877875"/>
    <w:rsid w:val="008778FD"/>
    <w:rsid w:val="00877A2A"/>
    <w:rsid w:val="00877AB7"/>
    <w:rsid w:val="00877B28"/>
    <w:rsid w:val="00877BAF"/>
    <w:rsid w:val="00877C54"/>
    <w:rsid w:val="00877C83"/>
    <w:rsid w:val="00877D67"/>
    <w:rsid w:val="00877D9F"/>
    <w:rsid w:val="00877DAB"/>
    <w:rsid w:val="00877E16"/>
    <w:rsid w:val="00877E7D"/>
    <w:rsid w:val="00877F9D"/>
    <w:rsid w:val="008800CE"/>
    <w:rsid w:val="00880390"/>
    <w:rsid w:val="008803D2"/>
    <w:rsid w:val="00880466"/>
    <w:rsid w:val="008804E0"/>
    <w:rsid w:val="00880800"/>
    <w:rsid w:val="008808E8"/>
    <w:rsid w:val="0088097F"/>
    <w:rsid w:val="008809DF"/>
    <w:rsid w:val="00880A47"/>
    <w:rsid w:val="00880A74"/>
    <w:rsid w:val="00880CA3"/>
    <w:rsid w:val="00880E86"/>
    <w:rsid w:val="0088101C"/>
    <w:rsid w:val="00881028"/>
    <w:rsid w:val="00881103"/>
    <w:rsid w:val="00881192"/>
    <w:rsid w:val="0088129D"/>
    <w:rsid w:val="00881309"/>
    <w:rsid w:val="00881488"/>
    <w:rsid w:val="00881834"/>
    <w:rsid w:val="00881B85"/>
    <w:rsid w:val="00881BCC"/>
    <w:rsid w:val="00881BE5"/>
    <w:rsid w:val="00881C87"/>
    <w:rsid w:val="00881E4E"/>
    <w:rsid w:val="00881EC8"/>
    <w:rsid w:val="00881FBA"/>
    <w:rsid w:val="00882063"/>
    <w:rsid w:val="008820BD"/>
    <w:rsid w:val="00882162"/>
    <w:rsid w:val="00882278"/>
    <w:rsid w:val="0088229F"/>
    <w:rsid w:val="00882374"/>
    <w:rsid w:val="0088238D"/>
    <w:rsid w:val="0088241B"/>
    <w:rsid w:val="008824A9"/>
    <w:rsid w:val="008825E0"/>
    <w:rsid w:val="0088266D"/>
    <w:rsid w:val="00882675"/>
    <w:rsid w:val="00882862"/>
    <w:rsid w:val="00882910"/>
    <w:rsid w:val="00882A10"/>
    <w:rsid w:val="00882A3D"/>
    <w:rsid w:val="00882A6B"/>
    <w:rsid w:val="00882B2C"/>
    <w:rsid w:val="00882C29"/>
    <w:rsid w:val="00882CFB"/>
    <w:rsid w:val="00882E1F"/>
    <w:rsid w:val="00882F67"/>
    <w:rsid w:val="00882F93"/>
    <w:rsid w:val="00883022"/>
    <w:rsid w:val="008831B7"/>
    <w:rsid w:val="008832BA"/>
    <w:rsid w:val="00883324"/>
    <w:rsid w:val="0088332A"/>
    <w:rsid w:val="0088338D"/>
    <w:rsid w:val="008833B0"/>
    <w:rsid w:val="00883441"/>
    <w:rsid w:val="00883493"/>
    <w:rsid w:val="008834D3"/>
    <w:rsid w:val="00883533"/>
    <w:rsid w:val="0088363C"/>
    <w:rsid w:val="0088364B"/>
    <w:rsid w:val="008836D3"/>
    <w:rsid w:val="00883710"/>
    <w:rsid w:val="008837AD"/>
    <w:rsid w:val="008838AC"/>
    <w:rsid w:val="00883B03"/>
    <w:rsid w:val="00883BFA"/>
    <w:rsid w:val="00883CCB"/>
    <w:rsid w:val="00883F8A"/>
    <w:rsid w:val="00884171"/>
    <w:rsid w:val="008842B9"/>
    <w:rsid w:val="0088433D"/>
    <w:rsid w:val="008843CF"/>
    <w:rsid w:val="0088442C"/>
    <w:rsid w:val="008846BB"/>
    <w:rsid w:val="008847A3"/>
    <w:rsid w:val="008847E4"/>
    <w:rsid w:val="008848C9"/>
    <w:rsid w:val="008848FD"/>
    <w:rsid w:val="00884901"/>
    <w:rsid w:val="00884A1F"/>
    <w:rsid w:val="00884ABD"/>
    <w:rsid w:val="00884CAE"/>
    <w:rsid w:val="00884CD2"/>
    <w:rsid w:val="00884DE7"/>
    <w:rsid w:val="00884E36"/>
    <w:rsid w:val="00884E52"/>
    <w:rsid w:val="00884E8E"/>
    <w:rsid w:val="00884F6C"/>
    <w:rsid w:val="0088518A"/>
    <w:rsid w:val="008851B5"/>
    <w:rsid w:val="008851B7"/>
    <w:rsid w:val="008851D8"/>
    <w:rsid w:val="008851E5"/>
    <w:rsid w:val="00885474"/>
    <w:rsid w:val="0088550E"/>
    <w:rsid w:val="008855CB"/>
    <w:rsid w:val="008855D9"/>
    <w:rsid w:val="0088566D"/>
    <w:rsid w:val="008856CD"/>
    <w:rsid w:val="0088585C"/>
    <w:rsid w:val="00885860"/>
    <w:rsid w:val="00885895"/>
    <w:rsid w:val="00885A54"/>
    <w:rsid w:val="00885A59"/>
    <w:rsid w:val="00885D28"/>
    <w:rsid w:val="00885DC4"/>
    <w:rsid w:val="00885DE9"/>
    <w:rsid w:val="00886015"/>
    <w:rsid w:val="00886035"/>
    <w:rsid w:val="00886040"/>
    <w:rsid w:val="008860BC"/>
    <w:rsid w:val="0088618F"/>
    <w:rsid w:val="008861BD"/>
    <w:rsid w:val="0088622B"/>
    <w:rsid w:val="008862AE"/>
    <w:rsid w:val="00886350"/>
    <w:rsid w:val="008863EA"/>
    <w:rsid w:val="0088647A"/>
    <w:rsid w:val="008866B3"/>
    <w:rsid w:val="008866C3"/>
    <w:rsid w:val="0088679D"/>
    <w:rsid w:val="0088682C"/>
    <w:rsid w:val="0088684E"/>
    <w:rsid w:val="00886945"/>
    <w:rsid w:val="00886B65"/>
    <w:rsid w:val="00886BDA"/>
    <w:rsid w:val="00886C48"/>
    <w:rsid w:val="00886CD8"/>
    <w:rsid w:val="00886F84"/>
    <w:rsid w:val="00886FFB"/>
    <w:rsid w:val="0088700B"/>
    <w:rsid w:val="00887079"/>
    <w:rsid w:val="00887117"/>
    <w:rsid w:val="008872F6"/>
    <w:rsid w:val="00887343"/>
    <w:rsid w:val="00887366"/>
    <w:rsid w:val="00887444"/>
    <w:rsid w:val="00887529"/>
    <w:rsid w:val="008875FF"/>
    <w:rsid w:val="00887648"/>
    <w:rsid w:val="00887681"/>
    <w:rsid w:val="00887716"/>
    <w:rsid w:val="008877BC"/>
    <w:rsid w:val="00887AD0"/>
    <w:rsid w:val="00887C07"/>
    <w:rsid w:val="00887C9A"/>
    <w:rsid w:val="00887D4E"/>
    <w:rsid w:val="00887D50"/>
    <w:rsid w:val="00887D85"/>
    <w:rsid w:val="00887E50"/>
    <w:rsid w:val="00887E98"/>
    <w:rsid w:val="00887E9B"/>
    <w:rsid w:val="008900CE"/>
    <w:rsid w:val="008900E7"/>
    <w:rsid w:val="00890148"/>
    <w:rsid w:val="00890288"/>
    <w:rsid w:val="008903C1"/>
    <w:rsid w:val="0089058F"/>
    <w:rsid w:val="008905D8"/>
    <w:rsid w:val="00890611"/>
    <w:rsid w:val="0089062B"/>
    <w:rsid w:val="0089072B"/>
    <w:rsid w:val="00890879"/>
    <w:rsid w:val="0089089D"/>
    <w:rsid w:val="008908D3"/>
    <w:rsid w:val="00890AF8"/>
    <w:rsid w:val="00890BBF"/>
    <w:rsid w:val="00890E45"/>
    <w:rsid w:val="00890E7A"/>
    <w:rsid w:val="00890EBF"/>
    <w:rsid w:val="008910F1"/>
    <w:rsid w:val="008911A3"/>
    <w:rsid w:val="008912C8"/>
    <w:rsid w:val="008914B6"/>
    <w:rsid w:val="008914D3"/>
    <w:rsid w:val="00891661"/>
    <w:rsid w:val="00891A08"/>
    <w:rsid w:val="00891A9A"/>
    <w:rsid w:val="00891C05"/>
    <w:rsid w:val="00891D7F"/>
    <w:rsid w:val="00891DD2"/>
    <w:rsid w:val="00891E7D"/>
    <w:rsid w:val="00891F58"/>
    <w:rsid w:val="00892054"/>
    <w:rsid w:val="0089209C"/>
    <w:rsid w:val="0089213C"/>
    <w:rsid w:val="0089220C"/>
    <w:rsid w:val="00892218"/>
    <w:rsid w:val="00892260"/>
    <w:rsid w:val="008922AE"/>
    <w:rsid w:val="0089237E"/>
    <w:rsid w:val="008924B6"/>
    <w:rsid w:val="008924C4"/>
    <w:rsid w:val="0089250D"/>
    <w:rsid w:val="0089253D"/>
    <w:rsid w:val="008925B0"/>
    <w:rsid w:val="00892888"/>
    <w:rsid w:val="0089295D"/>
    <w:rsid w:val="00892A34"/>
    <w:rsid w:val="00892B34"/>
    <w:rsid w:val="00892B5B"/>
    <w:rsid w:val="00892BA3"/>
    <w:rsid w:val="00892D0A"/>
    <w:rsid w:val="00892D4F"/>
    <w:rsid w:val="00892E48"/>
    <w:rsid w:val="00893132"/>
    <w:rsid w:val="008931D5"/>
    <w:rsid w:val="0089326A"/>
    <w:rsid w:val="008932B6"/>
    <w:rsid w:val="00893371"/>
    <w:rsid w:val="008933C2"/>
    <w:rsid w:val="00893498"/>
    <w:rsid w:val="008935A6"/>
    <w:rsid w:val="008935AD"/>
    <w:rsid w:val="0089376B"/>
    <w:rsid w:val="008937CA"/>
    <w:rsid w:val="008938E1"/>
    <w:rsid w:val="008938ED"/>
    <w:rsid w:val="0089393D"/>
    <w:rsid w:val="00893A8B"/>
    <w:rsid w:val="00893C0D"/>
    <w:rsid w:val="00893C20"/>
    <w:rsid w:val="00893D11"/>
    <w:rsid w:val="00893E1D"/>
    <w:rsid w:val="00893E52"/>
    <w:rsid w:val="0089414F"/>
    <w:rsid w:val="008941FF"/>
    <w:rsid w:val="0089420A"/>
    <w:rsid w:val="00894224"/>
    <w:rsid w:val="00894375"/>
    <w:rsid w:val="008943A4"/>
    <w:rsid w:val="008943BD"/>
    <w:rsid w:val="0089440C"/>
    <w:rsid w:val="0089449C"/>
    <w:rsid w:val="008945FE"/>
    <w:rsid w:val="00894630"/>
    <w:rsid w:val="008946D5"/>
    <w:rsid w:val="008947F2"/>
    <w:rsid w:val="00894866"/>
    <w:rsid w:val="00894988"/>
    <w:rsid w:val="008949F4"/>
    <w:rsid w:val="00894ADC"/>
    <w:rsid w:val="00894B18"/>
    <w:rsid w:val="00894B1A"/>
    <w:rsid w:val="00894BBA"/>
    <w:rsid w:val="00894C7D"/>
    <w:rsid w:val="00894DA3"/>
    <w:rsid w:val="00894E07"/>
    <w:rsid w:val="00894FF2"/>
    <w:rsid w:val="00895017"/>
    <w:rsid w:val="00895138"/>
    <w:rsid w:val="00895147"/>
    <w:rsid w:val="008954DC"/>
    <w:rsid w:val="0089550E"/>
    <w:rsid w:val="008958D6"/>
    <w:rsid w:val="0089595A"/>
    <w:rsid w:val="00895996"/>
    <w:rsid w:val="00895A30"/>
    <w:rsid w:val="00895A54"/>
    <w:rsid w:val="00895B18"/>
    <w:rsid w:val="00895CFC"/>
    <w:rsid w:val="008960C6"/>
    <w:rsid w:val="008963E1"/>
    <w:rsid w:val="00896540"/>
    <w:rsid w:val="0089663A"/>
    <w:rsid w:val="00896643"/>
    <w:rsid w:val="0089679C"/>
    <w:rsid w:val="0089692A"/>
    <w:rsid w:val="00896A05"/>
    <w:rsid w:val="00896AE3"/>
    <w:rsid w:val="00896B0F"/>
    <w:rsid w:val="00896C8F"/>
    <w:rsid w:val="00896D2B"/>
    <w:rsid w:val="00896DB4"/>
    <w:rsid w:val="00896E59"/>
    <w:rsid w:val="00896F5A"/>
    <w:rsid w:val="00897013"/>
    <w:rsid w:val="00897088"/>
    <w:rsid w:val="008970C4"/>
    <w:rsid w:val="00897270"/>
    <w:rsid w:val="00897322"/>
    <w:rsid w:val="008974A7"/>
    <w:rsid w:val="008975E2"/>
    <w:rsid w:val="008977C6"/>
    <w:rsid w:val="008979A8"/>
    <w:rsid w:val="00897B90"/>
    <w:rsid w:val="00897BA2"/>
    <w:rsid w:val="00897D24"/>
    <w:rsid w:val="00897D48"/>
    <w:rsid w:val="00897D55"/>
    <w:rsid w:val="00897E5A"/>
    <w:rsid w:val="00897EBA"/>
    <w:rsid w:val="00897F7B"/>
    <w:rsid w:val="008A0110"/>
    <w:rsid w:val="008A013B"/>
    <w:rsid w:val="008A0151"/>
    <w:rsid w:val="008A019C"/>
    <w:rsid w:val="008A01E7"/>
    <w:rsid w:val="008A0298"/>
    <w:rsid w:val="008A0412"/>
    <w:rsid w:val="008A059B"/>
    <w:rsid w:val="008A05F1"/>
    <w:rsid w:val="008A05FB"/>
    <w:rsid w:val="008A064D"/>
    <w:rsid w:val="008A06FC"/>
    <w:rsid w:val="008A076E"/>
    <w:rsid w:val="008A08D8"/>
    <w:rsid w:val="008A0D9C"/>
    <w:rsid w:val="008A1011"/>
    <w:rsid w:val="008A10B6"/>
    <w:rsid w:val="008A1315"/>
    <w:rsid w:val="008A135D"/>
    <w:rsid w:val="008A13B3"/>
    <w:rsid w:val="008A1415"/>
    <w:rsid w:val="008A1470"/>
    <w:rsid w:val="008A1487"/>
    <w:rsid w:val="008A149B"/>
    <w:rsid w:val="008A167C"/>
    <w:rsid w:val="008A16EC"/>
    <w:rsid w:val="008A184B"/>
    <w:rsid w:val="008A1881"/>
    <w:rsid w:val="008A199D"/>
    <w:rsid w:val="008A19EA"/>
    <w:rsid w:val="008A1A0D"/>
    <w:rsid w:val="008A1B67"/>
    <w:rsid w:val="008A1D2C"/>
    <w:rsid w:val="008A1E14"/>
    <w:rsid w:val="008A1EE6"/>
    <w:rsid w:val="008A1F27"/>
    <w:rsid w:val="008A1F2A"/>
    <w:rsid w:val="008A2105"/>
    <w:rsid w:val="008A21FF"/>
    <w:rsid w:val="008A2208"/>
    <w:rsid w:val="008A222D"/>
    <w:rsid w:val="008A22FE"/>
    <w:rsid w:val="008A24A9"/>
    <w:rsid w:val="008A2756"/>
    <w:rsid w:val="008A28E7"/>
    <w:rsid w:val="008A292D"/>
    <w:rsid w:val="008A2AD0"/>
    <w:rsid w:val="008A2B2F"/>
    <w:rsid w:val="008A2E0D"/>
    <w:rsid w:val="008A2E11"/>
    <w:rsid w:val="008A2E82"/>
    <w:rsid w:val="008A31E9"/>
    <w:rsid w:val="008A3244"/>
    <w:rsid w:val="008A3269"/>
    <w:rsid w:val="008A33A9"/>
    <w:rsid w:val="008A3450"/>
    <w:rsid w:val="008A350E"/>
    <w:rsid w:val="008A358E"/>
    <w:rsid w:val="008A374F"/>
    <w:rsid w:val="008A37C1"/>
    <w:rsid w:val="008A3B09"/>
    <w:rsid w:val="008A3C9B"/>
    <w:rsid w:val="008A3D18"/>
    <w:rsid w:val="008A417E"/>
    <w:rsid w:val="008A42B7"/>
    <w:rsid w:val="008A43AC"/>
    <w:rsid w:val="008A4479"/>
    <w:rsid w:val="008A44B9"/>
    <w:rsid w:val="008A4523"/>
    <w:rsid w:val="008A45C0"/>
    <w:rsid w:val="008A47C7"/>
    <w:rsid w:val="008A4845"/>
    <w:rsid w:val="008A496A"/>
    <w:rsid w:val="008A4AB9"/>
    <w:rsid w:val="008A4B7F"/>
    <w:rsid w:val="008A4CA1"/>
    <w:rsid w:val="008A4D0F"/>
    <w:rsid w:val="008A4D15"/>
    <w:rsid w:val="008A4D8E"/>
    <w:rsid w:val="008A5078"/>
    <w:rsid w:val="008A507C"/>
    <w:rsid w:val="008A50C5"/>
    <w:rsid w:val="008A5154"/>
    <w:rsid w:val="008A5193"/>
    <w:rsid w:val="008A5252"/>
    <w:rsid w:val="008A52B4"/>
    <w:rsid w:val="008A537A"/>
    <w:rsid w:val="008A5481"/>
    <w:rsid w:val="008A5538"/>
    <w:rsid w:val="008A575F"/>
    <w:rsid w:val="008A58AA"/>
    <w:rsid w:val="008A590C"/>
    <w:rsid w:val="008A5957"/>
    <w:rsid w:val="008A5B6B"/>
    <w:rsid w:val="008A5CE3"/>
    <w:rsid w:val="008A5E46"/>
    <w:rsid w:val="008A5E94"/>
    <w:rsid w:val="008A5EE1"/>
    <w:rsid w:val="008A5F5E"/>
    <w:rsid w:val="008A600A"/>
    <w:rsid w:val="008A6093"/>
    <w:rsid w:val="008A6172"/>
    <w:rsid w:val="008A61D6"/>
    <w:rsid w:val="008A627C"/>
    <w:rsid w:val="008A633D"/>
    <w:rsid w:val="008A636E"/>
    <w:rsid w:val="008A6421"/>
    <w:rsid w:val="008A6451"/>
    <w:rsid w:val="008A64EE"/>
    <w:rsid w:val="008A64FF"/>
    <w:rsid w:val="008A655A"/>
    <w:rsid w:val="008A66A0"/>
    <w:rsid w:val="008A66D4"/>
    <w:rsid w:val="008A6798"/>
    <w:rsid w:val="008A67C6"/>
    <w:rsid w:val="008A68A8"/>
    <w:rsid w:val="008A69AE"/>
    <w:rsid w:val="008A6A57"/>
    <w:rsid w:val="008A6C0B"/>
    <w:rsid w:val="008A6DF8"/>
    <w:rsid w:val="008A70BA"/>
    <w:rsid w:val="008A71A5"/>
    <w:rsid w:val="008A71A9"/>
    <w:rsid w:val="008A7294"/>
    <w:rsid w:val="008A7304"/>
    <w:rsid w:val="008A7347"/>
    <w:rsid w:val="008A73BE"/>
    <w:rsid w:val="008A75AB"/>
    <w:rsid w:val="008A782E"/>
    <w:rsid w:val="008A7943"/>
    <w:rsid w:val="008A7A40"/>
    <w:rsid w:val="008A7B63"/>
    <w:rsid w:val="008A7CFA"/>
    <w:rsid w:val="008A7F0F"/>
    <w:rsid w:val="008B0189"/>
    <w:rsid w:val="008B04A2"/>
    <w:rsid w:val="008B04B3"/>
    <w:rsid w:val="008B04D5"/>
    <w:rsid w:val="008B04DF"/>
    <w:rsid w:val="008B04E6"/>
    <w:rsid w:val="008B05D4"/>
    <w:rsid w:val="008B05F3"/>
    <w:rsid w:val="008B066A"/>
    <w:rsid w:val="008B0686"/>
    <w:rsid w:val="008B07DE"/>
    <w:rsid w:val="008B08CA"/>
    <w:rsid w:val="008B0953"/>
    <w:rsid w:val="008B0A7E"/>
    <w:rsid w:val="008B0BED"/>
    <w:rsid w:val="008B0C4F"/>
    <w:rsid w:val="008B0D70"/>
    <w:rsid w:val="008B0D95"/>
    <w:rsid w:val="008B0E43"/>
    <w:rsid w:val="008B0E86"/>
    <w:rsid w:val="008B0F9A"/>
    <w:rsid w:val="008B0FD9"/>
    <w:rsid w:val="008B1028"/>
    <w:rsid w:val="008B1131"/>
    <w:rsid w:val="008B145B"/>
    <w:rsid w:val="008B1470"/>
    <w:rsid w:val="008B14DD"/>
    <w:rsid w:val="008B15BB"/>
    <w:rsid w:val="008B18E2"/>
    <w:rsid w:val="008B19C4"/>
    <w:rsid w:val="008B1AF6"/>
    <w:rsid w:val="008B1B35"/>
    <w:rsid w:val="008B1B59"/>
    <w:rsid w:val="008B1B92"/>
    <w:rsid w:val="008B1CC8"/>
    <w:rsid w:val="008B1EA3"/>
    <w:rsid w:val="008B1F58"/>
    <w:rsid w:val="008B21C2"/>
    <w:rsid w:val="008B21D8"/>
    <w:rsid w:val="008B2438"/>
    <w:rsid w:val="008B2473"/>
    <w:rsid w:val="008B2723"/>
    <w:rsid w:val="008B2864"/>
    <w:rsid w:val="008B28E3"/>
    <w:rsid w:val="008B2A14"/>
    <w:rsid w:val="008B2B2E"/>
    <w:rsid w:val="008B2B4B"/>
    <w:rsid w:val="008B2BA7"/>
    <w:rsid w:val="008B2E55"/>
    <w:rsid w:val="008B3015"/>
    <w:rsid w:val="008B3059"/>
    <w:rsid w:val="008B318D"/>
    <w:rsid w:val="008B3397"/>
    <w:rsid w:val="008B3471"/>
    <w:rsid w:val="008B3590"/>
    <w:rsid w:val="008B35A3"/>
    <w:rsid w:val="008B35BC"/>
    <w:rsid w:val="008B360E"/>
    <w:rsid w:val="008B37CF"/>
    <w:rsid w:val="008B3956"/>
    <w:rsid w:val="008B399B"/>
    <w:rsid w:val="008B39D8"/>
    <w:rsid w:val="008B3A09"/>
    <w:rsid w:val="008B3B00"/>
    <w:rsid w:val="008B3B7D"/>
    <w:rsid w:val="008B3CD7"/>
    <w:rsid w:val="008B3CD9"/>
    <w:rsid w:val="008B3CEA"/>
    <w:rsid w:val="008B3F78"/>
    <w:rsid w:val="008B4342"/>
    <w:rsid w:val="008B44E3"/>
    <w:rsid w:val="008B44EE"/>
    <w:rsid w:val="008B4514"/>
    <w:rsid w:val="008B4565"/>
    <w:rsid w:val="008B45B8"/>
    <w:rsid w:val="008B4773"/>
    <w:rsid w:val="008B4877"/>
    <w:rsid w:val="008B48E3"/>
    <w:rsid w:val="008B4A18"/>
    <w:rsid w:val="008B4A3A"/>
    <w:rsid w:val="008B4A5B"/>
    <w:rsid w:val="008B4A60"/>
    <w:rsid w:val="008B4B38"/>
    <w:rsid w:val="008B4D0C"/>
    <w:rsid w:val="008B4F60"/>
    <w:rsid w:val="008B5020"/>
    <w:rsid w:val="008B5135"/>
    <w:rsid w:val="008B523A"/>
    <w:rsid w:val="008B5462"/>
    <w:rsid w:val="008B5488"/>
    <w:rsid w:val="008B5530"/>
    <w:rsid w:val="008B558D"/>
    <w:rsid w:val="008B5846"/>
    <w:rsid w:val="008B58E4"/>
    <w:rsid w:val="008B595A"/>
    <w:rsid w:val="008B5A42"/>
    <w:rsid w:val="008B5AAD"/>
    <w:rsid w:val="008B5BC5"/>
    <w:rsid w:val="008B5C4D"/>
    <w:rsid w:val="008B5C83"/>
    <w:rsid w:val="008B5DAD"/>
    <w:rsid w:val="008B5FD3"/>
    <w:rsid w:val="008B610B"/>
    <w:rsid w:val="008B6114"/>
    <w:rsid w:val="008B6124"/>
    <w:rsid w:val="008B612A"/>
    <w:rsid w:val="008B618A"/>
    <w:rsid w:val="008B6339"/>
    <w:rsid w:val="008B633A"/>
    <w:rsid w:val="008B6425"/>
    <w:rsid w:val="008B64E5"/>
    <w:rsid w:val="008B652A"/>
    <w:rsid w:val="008B6671"/>
    <w:rsid w:val="008B66DA"/>
    <w:rsid w:val="008B67E7"/>
    <w:rsid w:val="008B68B5"/>
    <w:rsid w:val="008B6958"/>
    <w:rsid w:val="008B69AB"/>
    <w:rsid w:val="008B69EE"/>
    <w:rsid w:val="008B6A82"/>
    <w:rsid w:val="008B6B95"/>
    <w:rsid w:val="008B6BA6"/>
    <w:rsid w:val="008B6BB7"/>
    <w:rsid w:val="008B6CB2"/>
    <w:rsid w:val="008B6F7B"/>
    <w:rsid w:val="008B7122"/>
    <w:rsid w:val="008B7176"/>
    <w:rsid w:val="008B7179"/>
    <w:rsid w:val="008B71D2"/>
    <w:rsid w:val="008B71EB"/>
    <w:rsid w:val="008B71FF"/>
    <w:rsid w:val="008B723B"/>
    <w:rsid w:val="008B726B"/>
    <w:rsid w:val="008B7425"/>
    <w:rsid w:val="008B744A"/>
    <w:rsid w:val="008B74D5"/>
    <w:rsid w:val="008B7732"/>
    <w:rsid w:val="008B7812"/>
    <w:rsid w:val="008B796A"/>
    <w:rsid w:val="008B7A87"/>
    <w:rsid w:val="008B7D03"/>
    <w:rsid w:val="008B7E42"/>
    <w:rsid w:val="008B7E68"/>
    <w:rsid w:val="008B7EFB"/>
    <w:rsid w:val="008C001C"/>
    <w:rsid w:val="008C0056"/>
    <w:rsid w:val="008C0149"/>
    <w:rsid w:val="008C01C9"/>
    <w:rsid w:val="008C01E8"/>
    <w:rsid w:val="008C0213"/>
    <w:rsid w:val="008C0338"/>
    <w:rsid w:val="008C0341"/>
    <w:rsid w:val="008C0351"/>
    <w:rsid w:val="008C0382"/>
    <w:rsid w:val="008C03D6"/>
    <w:rsid w:val="008C03F2"/>
    <w:rsid w:val="008C059C"/>
    <w:rsid w:val="008C0615"/>
    <w:rsid w:val="008C06C8"/>
    <w:rsid w:val="008C06D8"/>
    <w:rsid w:val="008C08B4"/>
    <w:rsid w:val="008C0A0E"/>
    <w:rsid w:val="008C0B5D"/>
    <w:rsid w:val="008C0DB4"/>
    <w:rsid w:val="008C0F6C"/>
    <w:rsid w:val="008C1070"/>
    <w:rsid w:val="008C1098"/>
    <w:rsid w:val="008C10D3"/>
    <w:rsid w:val="008C132A"/>
    <w:rsid w:val="008C1332"/>
    <w:rsid w:val="008C136D"/>
    <w:rsid w:val="008C1399"/>
    <w:rsid w:val="008C1511"/>
    <w:rsid w:val="008C1600"/>
    <w:rsid w:val="008C16B5"/>
    <w:rsid w:val="008C1799"/>
    <w:rsid w:val="008C1825"/>
    <w:rsid w:val="008C19E8"/>
    <w:rsid w:val="008C1A17"/>
    <w:rsid w:val="008C1A38"/>
    <w:rsid w:val="008C1A3A"/>
    <w:rsid w:val="008C1B4C"/>
    <w:rsid w:val="008C1C55"/>
    <w:rsid w:val="008C1CEC"/>
    <w:rsid w:val="008C1D31"/>
    <w:rsid w:val="008C1D64"/>
    <w:rsid w:val="008C1FF1"/>
    <w:rsid w:val="008C25A2"/>
    <w:rsid w:val="008C25E6"/>
    <w:rsid w:val="008C263A"/>
    <w:rsid w:val="008C2778"/>
    <w:rsid w:val="008C2901"/>
    <w:rsid w:val="008C2937"/>
    <w:rsid w:val="008C296C"/>
    <w:rsid w:val="008C2971"/>
    <w:rsid w:val="008C2A22"/>
    <w:rsid w:val="008C2A28"/>
    <w:rsid w:val="008C2C58"/>
    <w:rsid w:val="008C2DC3"/>
    <w:rsid w:val="008C2DEC"/>
    <w:rsid w:val="008C2F1C"/>
    <w:rsid w:val="008C2F44"/>
    <w:rsid w:val="008C2F79"/>
    <w:rsid w:val="008C30D6"/>
    <w:rsid w:val="008C321E"/>
    <w:rsid w:val="008C323A"/>
    <w:rsid w:val="008C334B"/>
    <w:rsid w:val="008C3377"/>
    <w:rsid w:val="008C3488"/>
    <w:rsid w:val="008C34CC"/>
    <w:rsid w:val="008C34E7"/>
    <w:rsid w:val="008C3702"/>
    <w:rsid w:val="008C377C"/>
    <w:rsid w:val="008C379B"/>
    <w:rsid w:val="008C3848"/>
    <w:rsid w:val="008C398B"/>
    <w:rsid w:val="008C39D9"/>
    <w:rsid w:val="008C3A40"/>
    <w:rsid w:val="008C3A98"/>
    <w:rsid w:val="008C3AB6"/>
    <w:rsid w:val="008C3AB7"/>
    <w:rsid w:val="008C3AC9"/>
    <w:rsid w:val="008C3B35"/>
    <w:rsid w:val="008C3BE3"/>
    <w:rsid w:val="008C3CD8"/>
    <w:rsid w:val="008C3D66"/>
    <w:rsid w:val="008C3D85"/>
    <w:rsid w:val="008C42AE"/>
    <w:rsid w:val="008C42FF"/>
    <w:rsid w:val="008C452B"/>
    <w:rsid w:val="008C48F5"/>
    <w:rsid w:val="008C498E"/>
    <w:rsid w:val="008C4B74"/>
    <w:rsid w:val="008C4C6E"/>
    <w:rsid w:val="008C4F35"/>
    <w:rsid w:val="008C4F7C"/>
    <w:rsid w:val="008C510B"/>
    <w:rsid w:val="008C511B"/>
    <w:rsid w:val="008C515C"/>
    <w:rsid w:val="008C5175"/>
    <w:rsid w:val="008C51D4"/>
    <w:rsid w:val="008C5205"/>
    <w:rsid w:val="008C5234"/>
    <w:rsid w:val="008C5236"/>
    <w:rsid w:val="008C5239"/>
    <w:rsid w:val="008C52DB"/>
    <w:rsid w:val="008C5316"/>
    <w:rsid w:val="008C5338"/>
    <w:rsid w:val="008C539E"/>
    <w:rsid w:val="008C53D4"/>
    <w:rsid w:val="008C5646"/>
    <w:rsid w:val="008C56D0"/>
    <w:rsid w:val="008C56F4"/>
    <w:rsid w:val="008C59AC"/>
    <w:rsid w:val="008C5A5C"/>
    <w:rsid w:val="008C5B00"/>
    <w:rsid w:val="008C5D68"/>
    <w:rsid w:val="008C5E08"/>
    <w:rsid w:val="008C5E3D"/>
    <w:rsid w:val="008C5EDD"/>
    <w:rsid w:val="008C5F21"/>
    <w:rsid w:val="008C5F26"/>
    <w:rsid w:val="008C5F9F"/>
    <w:rsid w:val="008C608D"/>
    <w:rsid w:val="008C6159"/>
    <w:rsid w:val="008C61E9"/>
    <w:rsid w:val="008C6226"/>
    <w:rsid w:val="008C62EA"/>
    <w:rsid w:val="008C638D"/>
    <w:rsid w:val="008C63AA"/>
    <w:rsid w:val="008C6457"/>
    <w:rsid w:val="008C64D6"/>
    <w:rsid w:val="008C65D5"/>
    <w:rsid w:val="008C66D3"/>
    <w:rsid w:val="008C678F"/>
    <w:rsid w:val="008C68D3"/>
    <w:rsid w:val="008C6902"/>
    <w:rsid w:val="008C6C30"/>
    <w:rsid w:val="008C6CFA"/>
    <w:rsid w:val="008C6EC0"/>
    <w:rsid w:val="008C6FD0"/>
    <w:rsid w:val="008C6FEA"/>
    <w:rsid w:val="008C6FF3"/>
    <w:rsid w:val="008C7153"/>
    <w:rsid w:val="008C7375"/>
    <w:rsid w:val="008C74C8"/>
    <w:rsid w:val="008C75A1"/>
    <w:rsid w:val="008C781A"/>
    <w:rsid w:val="008C78E8"/>
    <w:rsid w:val="008C7AE9"/>
    <w:rsid w:val="008C7B3E"/>
    <w:rsid w:val="008C7BB6"/>
    <w:rsid w:val="008C7BD9"/>
    <w:rsid w:val="008C7E1D"/>
    <w:rsid w:val="008C7EB3"/>
    <w:rsid w:val="008D0142"/>
    <w:rsid w:val="008D01A0"/>
    <w:rsid w:val="008D0203"/>
    <w:rsid w:val="008D05B0"/>
    <w:rsid w:val="008D0604"/>
    <w:rsid w:val="008D06CF"/>
    <w:rsid w:val="008D06ED"/>
    <w:rsid w:val="008D07A8"/>
    <w:rsid w:val="008D083E"/>
    <w:rsid w:val="008D08F4"/>
    <w:rsid w:val="008D0A5D"/>
    <w:rsid w:val="008D0B2B"/>
    <w:rsid w:val="008D0C40"/>
    <w:rsid w:val="008D0C64"/>
    <w:rsid w:val="008D0D89"/>
    <w:rsid w:val="008D0E53"/>
    <w:rsid w:val="008D11F0"/>
    <w:rsid w:val="008D14F1"/>
    <w:rsid w:val="008D15BB"/>
    <w:rsid w:val="008D164C"/>
    <w:rsid w:val="008D16FB"/>
    <w:rsid w:val="008D181E"/>
    <w:rsid w:val="008D1842"/>
    <w:rsid w:val="008D1914"/>
    <w:rsid w:val="008D194F"/>
    <w:rsid w:val="008D1AF5"/>
    <w:rsid w:val="008D1AFA"/>
    <w:rsid w:val="008D1B90"/>
    <w:rsid w:val="008D1BD2"/>
    <w:rsid w:val="008D1BFF"/>
    <w:rsid w:val="008D1D83"/>
    <w:rsid w:val="008D2139"/>
    <w:rsid w:val="008D21A8"/>
    <w:rsid w:val="008D21B5"/>
    <w:rsid w:val="008D22A5"/>
    <w:rsid w:val="008D236B"/>
    <w:rsid w:val="008D2429"/>
    <w:rsid w:val="008D2456"/>
    <w:rsid w:val="008D2599"/>
    <w:rsid w:val="008D27CF"/>
    <w:rsid w:val="008D27DE"/>
    <w:rsid w:val="008D2928"/>
    <w:rsid w:val="008D29C8"/>
    <w:rsid w:val="008D2A8F"/>
    <w:rsid w:val="008D2B74"/>
    <w:rsid w:val="008D2DC4"/>
    <w:rsid w:val="008D2E25"/>
    <w:rsid w:val="008D2EC9"/>
    <w:rsid w:val="008D2ECB"/>
    <w:rsid w:val="008D2EDF"/>
    <w:rsid w:val="008D2F74"/>
    <w:rsid w:val="008D2F75"/>
    <w:rsid w:val="008D330C"/>
    <w:rsid w:val="008D3379"/>
    <w:rsid w:val="008D33F0"/>
    <w:rsid w:val="008D3430"/>
    <w:rsid w:val="008D3454"/>
    <w:rsid w:val="008D3541"/>
    <w:rsid w:val="008D372B"/>
    <w:rsid w:val="008D3789"/>
    <w:rsid w:val="008D39DD"/>
    <w:rsid w:val="008D3C77"/>
    <w:rsid w:val="008D3D05"/>
    <w:rsid w:val="008D3F03"/>
    <w:rsid w:val="008D40F2"/>
    <w:rsid w:val="008D4186"/>
    <w:rsid w:val="008D4271"/>
    <w:rsid w:val="008D4384"/>
    <w:rsid w:val="008D4386"/>
    <w:rsid w:val="008D4575"/>
    <w:rsid w:val="008D473E"/>
    <w:rsid w:val="008D485C"/>
    <w:rsid w:val="008D493D"/>
    <w:rsid w:val="008D49BB"/>
    <w:rsid w:val="008D4A1B"/>
    <w:rsid w:val="008D4A52"/>
    <w:rsid w:val="008D4A73"/>
    <w:rsid w:val="008D4AE5"/>
    <w:rsid w:val="008D4AFF"/>
    <w:rsid w:val="008D4B07"/>
    <w:rsid w:val="008D4B4D"/>
    <w:rsid w:val="008D4C32"/>
    <w:rsid w:val="008D4CD1"/>
    <w:rsid w:val="008D4E32"/>
    <w:rsid w:val="008D4EF6"/>
    <w:rsid w:val="008D4F2D"/>
    <w:rsid w:val="008D4F61"/>
    <w:rsid w:val="008D511E"/>
    <w:rsid w:val="008D515D"/>
    <w:rsid w:val="008D517A"/>
    <w:rsid w:val="008D5189"/>
    <w:rsid w:val="008D51AA"/>
    <w:rsid w:val="008D5312"/>
    <w:rsid w:val="008D5362"/>
    <w:rsid w:val="008D53BE"/>
    <w:rsid w:val="008D5439"/>
    <w:rsid w:val="008D5495"/>
    <w:rsid w:val="008D56FC"/>
    <w:rsid w:val="008D57CB"/>
    <w:rsid w:val="008D5AEB"/>
    <w:rsid w:val="008D5BC3"/>
    <w:rsid w:val="008D5C81"/>
    <w:rsid w:val="008D5CBC"/>
    <w:rsid w:val="008D5D6E"/>
    <w:rsid w:val="008D5E97"/>
    <w:rsid w:val="008D5EF0"/>
    <w:rsid w:val="008D5EFD"/>
    <w:rsid w:val="008D60C0"/>
    <w:rsid w:val="008D60FD"/>
    <w:rsid w:val="008D6182"/>
    <w:rsid w:val="008D6264"/>
    <w:rsid w:val="008D6325"/>
    <w:rsid w:val="008D63DC"/>
    <w:rsid w:val="008D64BE"/>
    <w:rsid w:val="008D64C5"/>
    <w:rsid w:val="008D679E"/>
    <w:rsid w:val="008D68C6"/>
    <w:rsid w:val="008D6983"/>
    <w:rsid w:val="008D69B4"/>
    <w:rsid w:val="008D6B50"/>
    <w:rsid w:val="008D6DC1"/>
    <w:rsid w:val="008D6DCD"/>
    <w:rsid w:val="008D7077"/>
    <w:rsid w:val="008D7179"/>
    <w:rsid w:val="008D7386"/>
    <w:rsid w:val="008D759D"/>
    <w:rsid w:val="008D764C"/>
    <w:rsid w:val="008D76C0"/>
    <w:rsid w:val="008D795F"/>
    <w:rsid w:val="008D79D5"/>
    <w:rsid w:val="008D7B35"/>
    <w:rsid w:val="008D7B8A"/>
    <w:rsid w:val="008D7BBC"/>
    <w:rsid w:val="008D7BCA"/>
    <w:rsid w:val="008D7C56"/>
    <w:rsid w:val="008D7C5E"/>
    <w:rsid w:val="008D7CA7"/>
    <w:rsid w:val="008D7CC6"/>
    <w:rsid w:val="008D7D1D"/>
    <w:rsid w:val="008D7D68"/>
    <w:rsid w:val="008D7DDE"/>
    <w:rsid w:val="008D7EF8"/>
    <w:rsid w:val="008E006F"/>
    <w:rsid w:val="008E0189"/>
    <w:rsid w:val="008E0876"/>
    <w:rsid w:val="008E08A3"/>
    <w:rsid w:val="008E09C0"/>
    <w:rsid w:val="008E0B11"/>
    <w:rsid w:val="008E0B7E"/>
    <w:rsid w:val="008E0B9C"/>
    <w:rsid w:val="008E0C61"/>
    <w:rsid w:val="008E0C8F"/>
    <w:rsid w:val="008E0DD5"/>
    <w:rsid w:val="008E0DF4"/>
    <w:rsid w:val="008E0EA2"/>
    <w:rsid w:val="008E0FE7"/>
    <w:rsid w:val="008E11DB"/>
    <w:rsid w:val="008E128F"/>
    <w:rsid w:val="008E1514"/>
    <w:rsid w:val="008E1540"/>
    <w:rsid w:val="008E1561"/>
    <w:rsid w:val="008E1567"/>
    <w:rsid w:val="008E1797"/>
    <w:rsid w:val="008E1833"/>
    <w:rsid w:val="008E190D"/>
    <w:rsid w:val="008E1C09"/>
    <w:rsid w:val="008E1C11"/>
    <w:rsid w:val="008E1C6D"/>
    <w:rsid w:val="008E1CDF"/>
    <w:rsid w:val="008E1DC4"/>
    <w:rsid w:val="008E1DE2"/>
    <w:rsid w:val="008E1E88"/>
    <w:rsid w:val="008E1F0A"/>
    <w:rsid w:val="008E1FB5"/>
    <w:rsid w:val="008E20A4"/>
    <w:rsid w:val="008E2303"/>
    <w:rsid w:val="008E26A3"/>
    <w:rsid w:val="008E294B"/>
    <w:rsid w:val="008E29B1"/>
    <w:rsid w:val="008E2B7F"/>
    <w:rsid w:val="008E2B87"/>
    <w:rsid w:val="008E2D29"/>
    <w:rsid w:val="008E2E31"/>
    <w:rsid w:val="008E2F20"/>
    <w:rsid w:val="008E2F35"/>
    <w:rsid w:val="008E2FE0"/>
    <w:rsid w:val="008E2FE7"/>
    <w:rsid w:val="008E2FFD"/>
    <w:rsid w:val="008E303C"/>
    <w:rsid w:val="008E307F"/>
    <w:rsid w:val="008E32A1"/>
    <w:rsid w:val="008E34C1"/>
    <w:rsid w:val="008E361F"/>
    <w:rsid w:val="008E3770"/>
    <w:rsid w:val="008E389D"/>
    <w:rsid w:val="008E3BA3"/>
    <w:rsid w:val="008E3C6F"/>
    <w:rsid w:val="008E3C9B"/>
    <w:rsid w:val="008E3DE6"/>
    <w:rsid w:val="008E3EE6"/>
    <w:rsid w:val="008E3F16"/>
    <w:rsid w:val="008E4085"/>
    <w:rsid w:val="008E4092"/>
    <w:rsid w:val="008E4125"/>
    <w:rsid w:val="008E424E"/>
    <w:rsid w:val="008E4390"/>
    <w:rsid w:val="008E43DE"/>
    <w:rsid w:val="008E43F2"/>
    <w:rsid w:val="008E4534"/>
    <w:rsid w:val="008E4550"/>
    <w:rsid w:val="008E45E2"/>
    <w:rsid w:val="008E4643"/>
    <w:rsid w:val="008E46B9"/>
    <w:rsid w:val="008E4746"/>
    <w:rsid w:val="008E48F3"/>
    <w:rsid w:val="008E4919"/>
    <w:rsid w:val="008E4A0E"/>
    <w:rsid w:val="008E4B3E"/>
    <w:rsid w:val="008E4B46"/>
    <w:rsid w:val="008E4B9B"/>
    <w:rsid w:val="008E4BDB"/>
    <w:rsid w:val="008E4D23"/>
    <w:rsid w:val="008E4E67"/>
    <w:rsid w:val="008E4FA6"/>
    <w:rsid w:val="008E513C"/>
    <w:rsid w:val="008E5217"/>
    <w:rsid w:val="008E53B3"/>
    <w:rsid w:val="008E5429"/>
    <w:rsid w:val="008E566F"/>
    <w:rsid w:val="008E56F4"/>
    <w:rsid w:val="008E5719"/>
    <w:rsid w:val="008E572A"/>
    <w:rsid w:val="008E5838"/>
    <w:rsid w:val="008E5839"/>
    <w:rsid w:val="008E5A5D"/>
    <w:rsid w:val="008E5A70"/>
    <w:rsid w:val="008E5B6F"/>
    <w:rsid w:val="008E5BE5"/>
    <w:rsid w:val="008E5CDA"/>
    <w:rsid w:val="008E5E38"/>
    <w:rsid w:val="008E5EC0"/>
    <w:rsid w:val="008E5F4B"/>
    <w:rsid w:val="008E6163"/>
    <w:rsid w:val="008E617D"/>
    <w:rsid w:val="008E621C"/>
    <w:rsid w:val="008E62CC"/>
    <w:rsid w:val="008E62D0"/>
    <w:rsid w:val="008E66E5"/>
    <w:rsid w:val="008E6739"/>
    <w:rsid w:val="008E682A"/>
    <w:rsid w:val="008E6889"/>
    <w:rsid w:val="008E689A"/>
    <w:rsid w:val="008E6A0A"/>
    <w:rsid w:val="008E6ACF"/>
    <w:rsid w:val="008E6C4F"/>
    <w:rsid w:val="008E6CCA"/>
    <w:rsid w:val="008E6D43"/>
    <w:rsid w:val="008E6F2A"/>
    <w:rsid w:val="008E6FAE"/>
    <w:rsid w:val="008E7005"/>
    <w:rsid w:val="008E705B"/>
    <w:rsid w:val="008E7293"/>
    <w:rsid w:val="008E747C"/>
    <w:rsid w:val="008E7645"/>
    <w:rsid w:val="008E77CB"/>
    <w:rsid w:val="008E794D"/>
    <w:rsid w:val="008E7A00"/>
    <w:rsid w:val="008E7A85"/>
    <w:rsid w:val="008E7AF5"/>
    <w:rsid w:val="008E7BC6"/>
    <w:rsid w:val="008E7CF1"/>
    <w:rsid w:val="008E7D06"/>
    <w:rsid w:val="008E7DD8"/>
    <w:rsid w:val="008E7F0E"/>
    <w:rsid w:val="008E7F5C"/>
    <w:rsid w:val="008F004E"/>
    <w:rsid w:val="008F00E8"/>
    <w:rsid w:val="008F0292"/>
    <w:rsid w:val="008F02F9"/>
    <w:rsid w:val="008F033F"/>
    <w:rsid w:val="008F035D"/>
    <w:rsid w:val="008F077B"/>
    <w:rsid w:val="008F0952"/>
    <w:rsid w:val="008F09A4"/>
    <w:rsid w:val="008F0A6E"/>
    <w:rsid w:val="008F0AA6"/>
    <w:rsid w:val="008F0BCC"/>
    <w:rsid w:val="008F0BDC"/>
    <w:rsid w:val="008F0C1F"/>
    <w:rsid w:val="008F0C57"/>
    <w:rsid w:val="008F0C70"/>
    <w:rsid w:val="008F0D7D"/>
    <w:rsid w:val="008F0DB3"/>
    <w:rsid w:val="008F0DC2"/>
    <w:rsid w:val="008F0E2E"/>
    <w:rsid w:val="008F0ED0"/>
    <w:rsid w:val="008F0F7D"/>
    <w:rsid w:val="008F100A"/>
    <w:rsid w:val="008F10DB"/>
    <w:rsid w:val="008F1340"/>
    <w:rsid w:val="008F1342"/>
    <w:rsid w:val="008F1390"/>
    <w:rsid w:val="008F14F1"/>
    <w:rsid w:val="008F153A"/>
    <w:rsid w:val="008F1607"/>
    <w:rsid w:val="008F1644"/>
    <w:rsid w:val="008F16D8"/>
    <w:rsid w:val="008F17AF"/>
    <w:rsid w:val="008F194D"/>
    <w:rsid w:val="008F19DB"/>
    <w:rsid w:val="008F19DD"/>
    <w:rsid w:val="008F1C80"/>
    <w:rsid w:val="008F1D12"/>
    <w:rsid w:val="008F1E6D"/>
    <w:rsid w:val="008F21ED"/>
    <w:rsid w:val="008F2290"/>
    <w:rsid w:val="008F2312"/>
    <w:rsid w:val="008F2348"/>
    <w:rsid w:val="008F25F6"/>
    <w:rsid w:val="008F2646"/>
    <w:rsid w:val="008F2700"/>
    <w:rsid w:val="008F280B"/>
    <w:rsid w:val="008F2A1F"/>
    <w:rsid w:val="008F2A56"/>
    <w:rsid w:val="008F2B24"/>
    <w:rsid w:val="008F2B4E"/>
    <w:rsid w:val="008F2BFE"/>
    <w:rsid w:val="008F2C88"/>
    <w:rsid w:val="008F2CC8"/>
    <w:rsid w:val="008F2CD0"/>
    <w:rsid w:val="008F2D05"/>
    <w:rsid w:val="008F2E4C"/>
    <w:rsid w:val="008F3062"/>
    <w:rsid w:val="008F3131"/>
    <w:rsid w:val="008F3159"/>
    <w:rsid w:val="008F3176"/>
    <w:rsid w:val="008F31A5"/>
    <w:rsid w:val="008F3518"/>
    <w:rsid w:val="008F35D0"/>
    <w:rsid w:val="008F38E1"/>
    <w:rsid w:val="008F391F"/>
    <w:rsid w:val="008F3B98"/>
    <w:rsid w:val="008F3BC9"/>
    <w:rsid w:val="008F3BDF"/>
    <w:rsid w:val="008F3CAD"/>
    <w:rsid w:val="008F3CE7"/>
    <w:rsid w:val="008F3CF7"/>
    <w:rsid w:val="008F3CF8"/>
    <w:rsid w:val="008F3DA8"/>
    <w:rsid w:val="008F3FCA"/>
    <w:rsid w:val="008F426B"/>
    <w:rsid w:val="008F42F8"/>
    <w:rsid w:val="008F4375"/>
    <w:rsid w:val="008F44FF"/>
    <w:rsid w:val="008F45B5"/>
    <w:rsid w:val="008F4639"/>
    <w:rsid w:val="008F4669"/>
    <w:rsid w:val="008F4860"/>
    <w:rsid w:val="008F48B9"/>
    <w:rsid w:val="008F4AA8"/>
    <w:rsid w:val="008F4ADB"/>
    <w:rsid w:val="008F4AEC"/>
    <w:rsid w:val="008F4B75"/>
    <w:rsid w:val="008F4BCB"/>
    <w:rsid w:val="008F4C3E"/>
    <w:rsid w:val="008F4CC2"/>
    <w:rsid w:val="008F4D5C"/>
    <w:rsid w:val="008F4DD6"/>
    <w:rsid w:val="008F4E50"/>
    <w:rsid w:val="008F4E9B"/>
    <w:rsid w:val="008F502E"/>
    <w:rsid w:val="008F50B8"/>
    <w:rsid w:val="008F53D3"/>
    <w:rsid w:val="008F56DA"/>
    <w:rsid w:val="008F5811"/>
    <w:rsid w:val="008F5938"/>
    <w:rsid w:val="008F5968"/>
    <w:rsid w:val="008F5CBA"/>
    <w:rsid w:val="008F5D07"/>
    <w:rsid w:val="008F5E8D"/>
    <w:rsid w:val="008F5F19"/>
    <w:rsid w:val="008F5F9F"/>
    <w:rsid w:val="008F603F"/>
    <w:rsid w:val="008F61A1"/>
    <w:rsid w:val="008F6374"/>
    <w:rsid w:val="008F639C"/>
    <w:rsid w:val="008F63AD"/>
    <w:rsid w:val="008F6402"/>
    <w:rsid w:val="008F643F"/>
    <w:rsid w:val="008F65A3"/>
    <w:rsid w:val="008F6773"/>
    <w:rsid w:val="008F67F5"/>
    <w:rsid w:val="008F6814"/>
    <w:rsid w:val="008F682C"/>
    <w:rsid w:val="008F6845"/>
    <w:rsid w:val="008F68C9"/>
    <w:rsid w:val="008F6908"/>
    <w:rsid w:val="008F6B5E"/>
    <w:rsid w:val="008F6B74"/>
    <w:rsid w:val="008F6CBF"/>
    <w:rsid w:val="008F6CEE"/>
    <w:rsid w:val="008F6D14"/>
    <w:rsid w:val="008F6D57"/>
    <w:rsid w:val="008F6F55"/>
    <w:rsid w:val="008F7338"/>
    <w:rsid w:val="008F7498"/>
    <w:rsid w:val="008F74AF"/>
    <w:rsid w:val="008F7690"/>
    <w:rsid w:val="008F785F"/>
    <w:rsid w:val="008F788E"/>
    <w:rsid w:val="008F7935"/>
    <w:rsid w:val="008F7AE3"/>
    <w:rsid w:val="008F7BD6"/>
    <w:rsid w:val="008F7C0A"/>
    <w:rsid w:val="008F7C3B"/>
    <w:rsid w:val="008F7E81"/>
    <w:rsid w:val="0090008D"/>
    <w:rsid w:val="0090013D"/>
    <w:rsid w:val="00900241"/>
    <w:rsid w:val="009004A9"/>
    <w:rsid w:val="009004D5"/>
    <w:rsid w:val="009007F1"/>
    <w:rsid w:val="0090083B"/>
    <w:rsid w:val="00900918"/>
    <w:rsid w:val="00900926"/>
    <w:rsid w:val="00900A2C"/>
    <w:rsid w:val="00900B4C"/>
    <w:rsid w:val="00900C03"/>
    <w:rsid w:val="00900CF8"/>
    <w:rsid w:val="00900E97"/>
    <w:rsid w:val="00900F4D"/>
    <w:rsid w:val="00900F9D"/>
    <w:rsid w:val="00901012"/>
    <w:rsid w:val="009010C0"/>
    <w:rsid w:val="00901112"/>
    <w:rsid w:val="00901113"/>
    <w:rsid w:val="00901289"/>
    <w:rsid w:val="009013C4"/>
    <w:rsid w:val="00901404"/>
    <w:rsid w:val="00901619"/>
    <w:rsid w:val="009016A1"/>
    <w:rsid w:val="009016B7"/>
    <w:rsid w:val="009017E9"/>
    <w:rsid w:val="0090185B"/>
    <w:rsid w:val="00901870"/>
    <w:rsid w:val="0090199A"/>
    <w:rsid w:val="00901A28"/>
    <w:rsid w:val="00901A51"/>
    <w:rsid w:val="00901A7C"/>
    <w:rsid w:val="00901B50"/>
    <w:rsid w:val="00901C66"/>
    <w:rsid w:val="00901D14"/>
    <w:rsid w:val="00901F49"/>
    <w:rsid w:val="00901FCA"/>
    <w:rsid w:val="009020B4"/>
    <w:rsid w:val="00902340"/>
    <w:rsid w:val="00902365"/>
    <w:rsid w:val="009026C6"/>
    <w:rsid w:val="0090270B"/>
    <w:rsid w:val="009028C9"/>
    <w:rsid w:val="00902935"/>
    <w:rsid w:val="0090295D"/>
    <w:rsid w:val="00902A33"/>
    <w:rsid w:val="00902A88"/>
    <w:rsid w:val="00902B75"/>
    <w:rsid w:val="00902BC5"/>
    <w:rsid w:val="00902CEA"/>
    <w:rsid w:val="00902D44"/>
    <w:rsid w:val="00902DEB"/>
    <w:rsid w:val="00902F5A"/>
    <w:rsid w:val="0090302E"/>
    <w:rsid w:val="00903189"/>
    <w:rsid w:val="0090328B"/>
    <w:rsid w:val="009032D3"/>
    <w:rsid w:val="00903376"/>
    <w:rsid w:val="009033F6"/>
    <w:rsid w:val="009035D5"/>
    <w:rsid w:val="00903611"/>
    <w:rsid w:val="00903646"/>
    <w:rsid w:val="0090366E"/>
    <w:rsid w:val="00903704"/>
    <w:rsid w:val="0090381F"/>
    <w:rsid w:val="00903990"/>
    <w:rsid w:val="009039D3"/>
    <w:rsid w:val="00903B61"/>
    <w:rsid w:val="00903BB7"/>
    <w:rsid w:val="00903C90"/>
    <w:rsid w:val="00903DCF"/>
    <w:rsid w:val="00903FE0"/>
    <w:rsid w:val="00904052"/>
    <w:rsid w:val="009041C2"/>
    <w:rsid w:val="0090442A"/>
    <w:rsid w:val="00904470"/>
    <w:rsid w:val="009045EE"/>
    <w:rsid w:val="009046D1"/>
    <w:rsid w:val="009047D5"/>
    <w:rsid w:val="009047DC"/>
    <w:rsid w:val="009047E2"/>
    <w:rsid w:val="00904A76"/>
    <w:rsid w:val="00904C19"/>
    <w:rsid w:val="00904C48"/>
    <w:rsid w:val="00904D47"/>
    <w:rsid w:val="00904E08"/>
    <w:rsid w:val="00904E2E"/>
    <w:rsid w:val="00904F48"/>
    <w:rsid w:val="00904F68"/>
    <w:rsid w:val="00904FB2"/>
    <w:rsid w:val="00904FE3"/>
    <w:rsid w:val="00904FF5"/>
    <w:rsid w:val="00905026"/>
    <w:rsid w:val="00905081"/>
    <w:rsid w:val="0090513C"/>
    <w:rsid w:val="00905170"/>
    <w:rsid w:val="0090519C"/>
    <w:rsid w:val="009051AC"/>
    <w:rsid w:val="009051BD"/>
    <w:rsid w:val="009052EC"/>
    <w:rsid w:val="009054C4"/>
    <w:rsid w:val="00905606"/>
    <w:rsid w:val="009056A2"/>
    <w:rsid w:val="00905732"/>
    <w:rsid w:val="0090584E"/>
    <w:rsid w:val="009058C4"/>
    <w:rsid w:val="00905A55"/>
    <w:rsid w:val="00905CB4"/>
    <w:rsid w:val="00905D1B"/>
    <w:rsid w:val="00905D3F"/>
    <w:rsid w:val="00905D77"/>
    <w:rsid w:val="00905E14"/>
    <w:rsid w:val="00905E9D"/>
    <w:rsid w:val="00906238"/>
    <w:rsid w:val="00906401"/>
    <w:rsid w:val="00906434"/>
    <w:rsid w:val="00906480"/>
    <w:rsid w:val="00906563"/>
    <w:rsid w:val="009065A5"/>
    <w:rsid w:val="009065CA"/>
    <w:rsid w:val="009066FF"/>
    <w:rsid w:val="00906759"/>
    <w:rsid w:val="00906893"/>
    <w:rsid w:val="00906AE9"/>
    <w:rsid w:val="00906D50"/>
    <w:rsid w:val="00906D84"/>
    <w:rsid w:val="00906DFB"/>
    <w:rsid w:val="009070A5"/>
    <w:rsid w:val="0090718D"/>
    <w:rsid w:val="009071EB"/>
    <w:rsid w:val="009071ED"/>
    <w:rsid w:val="0090730A"/>
    <w:rsid w:val="009074A7"/>
    <w:rsid w:val="00907AAE"/>
    <w:rsid w:val="00907ADB"/>
    <w:rsid w:val="00907B3F"/>
    <w:rsid w:val="00907C84"/>
    <w:rsid w:val="00907D28"/>
    <w:rsid w:val="00907E23"/>
    <w:rsid w:val="00907F67"/>
    <w:rsid w:val="009101B4"/>
    <w:rsid w:val="009102C4"/>
    <w:rsid w:val="00910333"/>
    <w:rsid w:val="00910421"/>
    <w:rsid w:val="0091044D"/>
    <w:rsid w:val="00910506"/>
    <w:rsid w:val="0091094A"/>
    <w:rsid w:val="009109BA"/>
    <w:rsid w:val="00910AB8"/>
    <w:rsid w:val="00910AF2"/>
    <w:rsid w:val="00910AF8"/>
    <w:rsid w:val="00910BEC"/>
    <w:rsid w:val="00910C0A"/>
    <w:rsid w:val="00910E0F"/>
    <w:rsid w:val="00910E7E"/>
    <w:rsid w:val="00910F09"/>
    <w:rsid w:val="00910FC6"/>
    <w:rsid w:val="00911341"/>
    <w:rsid w:val="0091139F"/>
    <w:rsid w:val="00911441"/>
    <w:rsid w:val="0091170B"/>
    <w:rsid w:val="009117CF"/>
    <w:rsid w:val="00911898"/>
    <w:rsid w:val="009118A5"/>
    <w:rsid w:val="00911A6E"/>
    <w:rsid w:val="00911A9C"/>
    <w:rsid w:val="00911AC6"/>
    <w:rsid w:val="00911C73"/>
    <w:rsid w:val="00911D74"/>
    <w:rsid w:val="00911DA7"/>
    <w:rsid w:val="00911F96"/>
    <w:rsid w:val="00911FCD"/>
    <w:rsid w:val="0091206D"/>
    <w:rsid w:val="00912075"/>
    <w:rsid w:val="0091208E"/>
    <w:rsid w:val="009120AC"/>
    <w:rsid w:val="00912108"/>
    <w:rsid w:val="00912187"/>
    <w:rsid w:val="0091218D"/>
    <w:rsid w:val="009122CD"/>
    <w:rsid w:val="009123F0"/>
    <w:rsid w:val="00912548"/>
    <w:rsid w:val="0091260D"/>
    <w:rsid w:val="0091293B"/>
    <w:rsid w:val="00912A5D"/>
    <w:rsid w:val="00912BD9"/>
    <w:rsid w:val="00912C20"/>
    <w:rsid w:val="00912CF3"/>
    <w:rsid w:val="00912D57"/>
    <w:rsid w:val="00912FD1"/>
    <w:rsid w:val="0091308C"/>
    <w:rsid w:val="00913111"/>
    <w:rsid w:val="00913129"/>
    <w:rsid w:val="0091318B"/>
    <w:rsid w:val="00913327"/>
    <w:rsid w:val="009133AB"/>
    <w:rsid w:val="009133AE"/>
    <w:rsid w:val="00913474"/>
    <w:rsid w:val="00913481"/>
    <w:rsid w:val="00913627"/>
    <w:rsid w:val="00913647"/>
    <w:rsid w:val="00913774"/>
    <w:rsid w:val="009139EC"/>
    <w:rsid w:val="00913A94"/>
    <w:rsid w:val="00913AB4"/>
    <w:rsid w:val="00913BF1"/>
    <w:rsid w:val="00913D1E"/>
    <w:rsid w:val="00913E2A"/>
    <w:rsid w:val="00913E81"/>
    <w:rsid w:val="00913F5C"/>
    <w:rsid w:val="009140C7"/>
    <w:rsid w:val="00914212"/>
    <w:rsid w:val="00914499"/>
    <w:rsid w:val="009144A5"/>
    <w:rsid w:val="009144E8"/>
    <w:rsid w:val="0091451A"/>
    <w:rsid w:val="009145FA"/>
    <w:rsid w:val="0091465E"/>
    <w:rsid w:val="00914869"/>
    <w:rsid w:val="009148B7"/>
    <w:rsid w:val="009148EF"/>
    <w:rsid w:val="00914A9C"/>
    <w:rsid w:val="00914B30"/>
    <w:rsid w:val="00914B77"/>
    <w:rsid w:val="00914D4C"/>
    <w:rsid w:val="00914F86"/>
    <w:rsid w:val="00914FB5"/>
    <w:rsid w:val="0091511C"/>
    <w:rsid w:val="00915143"/>
    <w:rsid w:val="009153CF"/>
    <w:rsid w:val="009153E8"/>
    <w:rsid w:val="009154A2"/>
    <w:rsid w:val="009154D5"/>
    <w:rsid w:val="009154D7"/>
    <w:rsid w:val="009155D3"/>
    <w:rsid w:val="00915A52"/>
    <w:rsid w:val="00915D9B"/>
    <w:rsid w:val="00915DBA"/>
    <w:rsid w:val="00915DBB"/>
    <w:rsid w:val="0091622D"/>
    <w:rsid w:val="009162FD"/>
    <w:rsid w:val="0091644E"/>
    <w:rsid w:val="009164B9"/>
    <w:rsid w:val="00916513"/>
    <w:rsid w:val="009165B7"/>
    <w:rsid w:val="0091663C"/>
    <w:rsid w:val="00916653"/>
    <w:rsid w:val="009168E6"/>
    <w:rsid w:val="009169F1"/>
    <w:rsid w:val="00916BAC"/>
    <w:rsid w:val="00916C07"/>
    <w:rsid w:val="00916D27"/>
    <w:rsid w:val="00916D3A"/>
    <w:rsid w:val="00916EA2"/>
    <w:rsid w:val="0091704E"/>
    <w:rsid w:val="009170AD"/>
    <w:rsid w:val="0091723E"/>
    <w:rsid w:val="009173A9"/>
    <w:rsid w:val="0091758B"/>
    <w:rsid w:val="00917665"/>
    <w:rsid w:val="009177EF"/>
    <w:rsid w:val="009178B9"/>
    <w:rsid w:val="009179DB"/>
    <w:rsid w:val="00917A2F"/>
    <w:rsid w:val="00917AA0"/>
    <w:rsid w:val="00917B36"/>
    <w:rsid w:val="00917FD9"/>
    <w:rsid w:val="009201C8"/>
    <w:rsid w:val="00920326"/>
    <w:rsid w:val="009204EC"/>
    <w:rsid w:val="00920577"/>
    <w:rsid w:val="00920590"/>
    <w:rsid w:val="00920675"/>
    <w:rsid w:val="009208EE"/>
    <w:rsid w:val="0092098D"/>
    <w:rsid w:val="00920A94"/>
    <w:rsid w:val="00920D04"/>
    <w:rsid w:val="00920DCA"/>
    <w:rsid w:val="00920FCD"/>
    <w:rsid w:val="00921101"/>
    <w:rsid w:val="009211B9"/>
    <w:rsid w:val="0092126D"/>
    <w:rsid w:val="00921273"/>
    <w:rsid w:val="00921300"/>
    <w:rsid w:val="00921489"/>
    <w:rsid w:val="009214A5"/>
    <w:rsid w:val="009216A8"/>
    <w:rsid w:val="009216ED"/>
    <w:rsid w:val="00921741"/>
    <w:rsid w:val="0092198E"/>
    <w:rsid w:val="00921995"/>
    <w:rsid w:val="009219F9"/>
    <w:rsid w:val="00921A69"/>
    <w:rsid w:val="00921BED"/>
    <w:rsid w:val="00921CAC"/>
    <w:rsid w:val="00921E26"/>
    <w:rsid w:val="00921F75"/>
    <w:rsid w:val="0092200D"/>
    <w:rsid w:val="00922061"/>
    <w:rsid w:val="009220AD"/>
    <w:rsid w:val="009220FB"/>
    <w:rsid w:val="009221C8"/>
    <w:rsid w:val="009222D1"/>
    <w:rsid w:val="00922457"/>
    <w:rsid w:val="00922574"/>
    <w:rsid w:val="0092265C"/>
    <w:rsid w:val="0092280B"/>
    <w:rsid w:val="00922915"/>
    <w:rsid w:val="00922968"/>
    <w:rsid w:val="00922A47"/>
    <w:rsid w:val="00922B4F"/>
    <w:rsid w:val="00922C07"/>
    <w:rsid w:val="00922C08"/>
    <w:rsid w:val="00922EF0"/>
    <w:rsid w:val="00922F7C"/>
    <w:rsid w:val="00922FEF"/>
    <w:rsid w:val="00923009"/>
    <w:rsid w:val="009230C5"/>
    <w:rsid w:val="0092314A"/>
    <w:rsid w:val="009233A5"/>
    <w:rsid w:val="00923440"/>
    <w:rsid w:val="009236C6"/>
    <w:rsid w:val="009237B8"/>
    <w:rsid w:val="00923824"/>
    <w:rsid w:val="009238FA"/>
    <w:rsid w:val="009238FF"/>
    <w:rsid w:val="00923936"/>
    <w:rsid w:val="00923A07"/>
    <w:rsid w:val="00923ADE"/>
    <w:rsid w:val="00923C1C"/>
    <w:rsid w:val="00923C66"/>
    <w:rsid w:val="00923CF8"/>
    <w:rsid w:val="00923DBD"/>
    <w:rsid w:val="00923E2B"/>
    <w:rsid w:val="00923E4D"/>
    <w:rsid w:val="00923F0A"/>
    <w:rsid w:val="00923F48"/>
    <w:rsid w:val="0092405E"/>
    <w:rsid w:val="0092409C"/>
    <w:rsid w:val="009240F4"/>
    <w:rsid w:val="0092413D"/>
    <w:rsid w:val="009241EF"/>
    <w:rsid w:val="00924294"/>
    <w:rsid w:val="00924310"/>
    <w:rsid w:val="0092455B"/>
    <w:rsid w:val="00924579"/>
    <w:rsid w:val="0092461F"/>
    <w:rsid w:val="00924A2D"/>
    <w:rsid w:val="00924CA5"/>
    <w:rsid w:val="00924CBF"/>
    <w:rsid w:val="00924CDF"/>
    <w:rsid w:val="00924DA8"/>
    <w:rsid w:val="00924DF9"/>
    <w:rsid w:val="00924F5B"/>
    <w:rsid w:val="009250EB"/>
    <w:rsid w:val="00925188"/>
    <w:rsid w:val="009252BF"/>
    <w:rsid w:val="009252F0"/>
    <w:rsid w:val="00925394"/>
    <w:rsid w:val="009255DC"/>
    <w:rsid w:val="009255FD"/>
    <w:rsid w:val="0092566B"/>
    <w:rsid w:val="009256F7"/>
    <w:rsid w:val="009257F0"/>
    <w:rsid w:val="0092595B"/>
    <w:rsid w:val="009259C7"/>
    <w:rsid w:val="00925BEF"/>
    <w:rsid w:val="00925C7D"/>
    <w:rsid w:val="00925D08"/>
    <w:rsid w:val="00925D0A"/>
    <w:rsid w:val="00925D81"/>
    <w:rsid w:val="00925F3C"/>
    <w:rsid w:val="009260AC"/>
    <w:rsid w:val="009260E6"/>
    <w:rsid w:val="0092613C"/>
    <w:rsid w:val="0092618A"/>
    <w:rsid w:val="009262DB"/>
    <w:rsid w:val="00926402"/>
    <w:rsid w:val="00926435"/>
    <w:rsid w:val="00926477"/>
    <w:rsid w:val="0092647E"/>
    <w:rsid w:val="009264E4"/>
    <w:rsid w:val="00926602"/>
    <w:rsid w:val="00926637"/>
    <w:rsid w:val="009267DB"/>
    <w:rsid w:val="0092683B"/>
    <w:rsid w:val="00926996"/>
    <w:rsid w:val="00926A2D"/>
    <w:rsid w:val="00926A37"/>
    <w:rsid w:val="00926B04"/>
    <w:rsid w:val="00926B0B"/>
    <w:rsid w:val="00926BDC"/>
    <w:rsid w:val="00926C12"/>
    <w:rsid w:val="00926DA7"/>
    <w:rsid w:val="00926E5E"/>
    <w:rsid w:val="00926F41"/>
    <w:rsid w:val="0092701F"/>
    <w:rsid w:val="00927137"/>
    <w:rsid w:val="0092716D"/>
    <w:rsid w:val="009271AF"/>
    <w:rsid w:val="00927360"/>
    <w:rsid w:val="009274EE"/>
    <w:rsid w:val="009275DB"/>
    <w:rsid w:val="00927621"/>
    <w:rsid w:val="009276AE"/>
    <w:rsid w:val="009278BB"/>
    <w:rsid w:val="00927999"/>
    <w:rsid w:val="0092799C"/>
    <w:rsid w:val="00927A9E"/>
    <w:rsid w:val="00927CBB"/>
    <w:rsid w:val="00927DAE"/>
    <w:rsid w:val="00927DB1"/>
    <w:rsid w:val="00927DF2"/>
    <w:rsid w:val="00927E5A"/>
    <w:rsid w:val="00927EEB"/>
    <w:rsid w:val="00930086"/>
    <w:rsid w:val="00930151"/>
    <w:rsid w:val="00930253"/>
    <w:rsid w:val="00930265"/>
    <w:rsid w:val="00930323"/>
    <w:rsid w:val="00930560"/>
    <w:rsid w:val="009305AD"/>
    <w:rsid w:val="00930618"/>
    <w:rsid w:val="00930675"/>
    <w:rsid w:val="00930682"/>
    <w:rsid w:val="009306B5"/>
    <w:rsid w:val="009306CD"/>
    <w:rsid w:val="0093071A"/>
    <w:rsid w:val="009308AD"/>
    <w:rsid w:val="00930AAF"/>
    <w:rsid w:val="00930BD2"/>
    <w:rsid w:val="00930C06"/>
    <w:rsid w:val="00930C57"/>
    <w:rsid w:val="00930C8B"/>
    <w:rsid w:val="00930D22"/>
    <w:rsid w:val="00930D55"/>
    <w:rsid w:val="00930DD3"/>
    <w:rsid w:val="00930EE8"/>
    <w:rsid w:val="00930F2F"/>
    <w:rsid w:val="009310D5"/>
    <w:rsid w:val="009310DA"/>
    <w:rsid w:val="0093117B"/>
    <w:rsid w:val="00931197"/>
    <w:rsid w:val="009311D2"/>
    <w:rsid w:val="009312FA"/>
    <w:rsid w:val="009313EE"/>
    <w:rsid w:val="00931467"/>
    <w:rsid w:val="009314BE"/>
    <w:rsid w:val="00931583"/>
    <w:rsid w:val="0093159A"/>
    <w:rsid w:val="009315E3"/>
    <w:rsid w:val="00931736"/>
    <w:rsid w:val="00931ABF"/>
    <w:rsid w:val="00931B0B"/>
    <w:rsid w:val="00931C23"/>
    <w:rsid w:val="00931ED6"/>
    <w:rsid w:val="00931EFA"/>
    <w:rsid w:val="00931F9D"/>
    <w:rsid w:val="0093212A"/>
    <w:rsid w:val="0093212B"/>
    <w:rsid w:val="009321E8"/>
    <w:rsid w:val="0093225A"/>
    <w:rsid w:val="009322AE"/>
    <w:rsid w:val="0093235D"/>
    <w:rsid w:val="009324ED"/>
    <w:rsid w:val="00932523"/>
    <w:rsid w:val="0093254B"/>
    <w:rsid w:val="009325A1"/>
    <w:rsid w:val="0093282D"/>
    <w:rsid w:val="009329EF"/>
    <w:rsid w:val="00932DE9"/>
    <w:rsid w:val="00932FAF"/>
    <w:rsid w:val="0093300A"/>
    <w:rsid w:val="00933171"/>
    <w:rsid w:val="00933288"/>
    <w:rsid w:val="00933314"/>
    <w:rsid w:val="009333E4"/>
    <w:rsid w:val="009334DD"/>
    <w:rsid w:val="009334ED"/>
    <w:rsid w:val="0093350D"/>
    <w:rsid w:val="00933659"/>
    <w:rsid w:val="00933750"/>
    <w:rsid w:val="009339EC"/>
    <w:rsid w:val="00933CF7"/>
    <w:rsid w:val="00933D7B"/>
    <w:rsid w:val="00933E65"/>
    <w:rsid w:val="00933F4C"/>
    <w:rsid w:val="0093405B"/>
    <w:rsid w:val="0093407C"/>
    <w:rsid w:val="009341A9"/>
    <w:rsid w:val="009341FE"/>
    <w:rsid w:val="00934221"/>
    <w:rsid w:val="0093425B"/>
    <w:rsid w:val="00934289"/>
    <w:rsid w:val="009344A0"/>
    <w:rsid w:val="0093453B"/>
    <w:rsid w:val="009345C7"/>
    <w:rsid w:val="00934600"/>
    <w:rsid w:val="0093467F"/>
    <w:rsid w:val="00934868"/>
    <w:rsid w:val="009348D0"/>
    <w:rsid w:val="009349AD"/>
    <w:rsid w:val="009349DB"/>
    <w:rsid w:val="009349E6"/>
    <w:rsid w:val="009349F3"/>
    <w:rsid w:val="00934ABA"/>
    <w:rsid w:val="00934B28"/>
    <w:rsid w:val="00934C3F"/>
    <w:rsid w:val="00934C67"/>
    <w:rsid w:val="00934DF0"/>
    <w:rsid w:val="00934E27"/>
    <w:rsid w:val="00934EAC"/>
    <w:rsid w:val="00934F74"/>
    <w:rsid w:val="00935067"/>
    <w:rsid w:val="009350AA"/>
    <w:rsid w:val="009350F4"/>
    <w:rsid w:val="009351C1"/>
    <w:rsid w:val="00935220"/>
    <w:rsid w:val="0093545E"/>
    <w:rsid w:val="009354DA"/>
    <w:rsid w:val="009357AC"/>
    <w:rsid w:val="009357EF"/>
    <w:rsid w:val="00935946"/>
    <w:rsid w:val="00935B59"/>
    <w:rsid w:val="00935D4E"/>
    <w:rsid w:val="00935F68"/>
    <w:rsid w:val="00936137"/>
    <w:rsid w:val="00936371"/>
    <w:rsid w:val="00936468"/>
    <w:rsid w:val="00936527"/>
    <w:rsid w:val="009365A9"/>
    <w:rsid w:val="009365FB"/>
    <w:rsid w:val="0093662A"/>
    <w:rsid w:val="00936753"/>
    <w:rsid w:val="0093676A"/>
    <w:rsid w:val="00936803"/>
    <w:rsid w:val="00936816"/>
    <w:rsid w:val="00936919"/>
    <w:rsid w:val="00936A0B"/>
    <w:rsid w:val="00936B54"/>
    <w:rsid w:val="00936C2C"/>
    <w:rsid w:val="00936C3E"/>
    <w:rsid w:val="00936C79"/>
    <w:rsid w:val="00936C8B"/>
    <w:rsid w:val="00936CF7"/>
    <w:rsid w:val="00936D31"/>
    <w:rsid w:val="00936DC4"/>
    <w:rsid w:val="00936F00"/>
    <w:rsid w:val="00936FF9"/>
    <w:rsid w:val="00937061"/>
    <w:rsid w:val="00937173"/>
    <w:rsid w:val="009371A7"/>
    <w:rsid w:val="00937368"/>
    <w:rsid w:val="009374A0"/>
    <w:rsid w:val="0093769A"/>
    <w:rsid w:val="0093772A"/>
    <w:rsid w:val="009377CA"/>
    <w:rsid w:val="00937A4B"/>
    <w:rsid w:val="00937AC6"/>
    <w:rsid w:val="00937C1C"/>
    <w:rsid w:val="00937CCC"/>
    <w:rsid w:val="00937D97"/>
    <w:rsid w:val="00937DF3"/>
    <w:rsid w:val="00937EA2"/>
    <w:rsid w:val="00937EB1"/>
    <w:rsid w:val="00937F3B"/>
    <w:rsid w:val="00940037"/>
    <w:rsid w:val="009400C2"/>
    <w:rsid w:val="00940196"/>
    <w:rsid w:val="009402E4"/>
    <w:rsid w:val="00940310"/>
    <w:rsid w:val="00940440"/>
    <w:rsid w:val="00940442"/>
    <w:rsid w:val="0094054E"/>
    <w:rsid w:val="009405D7"/>
    <w:rsid w:val="009405E7"/>
    <w:rsid w:val="00940601"/>
    <w:rsid w:val="00940695"/>
    <w:rsid w:val="0094085F"/>
    <w:rsid w:val="0094094E"/>
    <w:rsid w:val="00940970"/>
    <w:rsid w:val="00940975"/>
    <w:rsid w:val="009409FC"/>
    <w:rsid w:val="00940A05"/>
    <w:rsid w:val="00940D29"/>
    <w:rsid w:val="00940E20"/>
    <w:rsid w:val="00940E2A"/>
    <w:rsid w:val="00940E36"/>
    <w:rsid w:val="00940F99"/>
    <w:rsid w:val="00941076"/>
    <w:rsid w:val="009410DF"/>
    <w:rsid w:val="009410FB"/>
    <w:rsid w:val="0094115D"/>
    <w:rsid w:val="009411C7"/>
    <w:rsid w:val="009411E7"/>
    <w:rsid w:val="009412B8"/>
    <w:rsid w:val="0094132A"/>
    <w:rsid w:val="009414F9"/>
    <w:rsid w:val="00941AAF"/>
    <w:rsid w:val="00941B33"/>
    <w:rsid w:val="00941CC5"/>
    <w:rsid w:val="00941D72"/>
    <w:rsid w:val="00941E14"/>
    <w:rsid w:val="00942230"/>
    <w:rsid w:val="00942388"/>
    <w:rsid w:val="009423FC"/>
    <w:rsid w:val="0094252C"/>
    <w:rsid w:val="00942BA3"/>
    <w:rsid w:val="00942BAF"/>
    <w:rsid w:val="00942C30"/>
    <w:rsid w:val="00942C3F"/>
    <w:rsid w:val="00942C90"/>
    <w:rsid w:val="00942E27"/>
    <w:rsid w:val="00942F25"/>
    <w:rsid w:val="00942FB0"/>
    <w:rsid w:val="00943148"/>
    <w:rsid w:val="0094332D"/>
    <w:rsid w:val="00943459"/>
    <w:rsid w:val="0094379A"/>
    <w:rsid w:val="009437D8"/>
    <w:rsid w:val="00943881"/>
    <w:rsid w:val="00943AF6"/>
    <w:rsid w:val="00943B7B"/>
    <w:rsid w:val="00943C6F"/>
    <w:rsid w:val="00943CF9"/>
    <w:rsid w:val="00943D41"/>
    <w:rsid w:val="00943DCF"/>
    <w:rsid w:val="00943F40"/>
    <w:rsid w:val="009440FC"/>
    <w:rsid w:val="00944164"/>
    <w:rsid w:val="0094423E"/>
    <w:rsid w:val="0094424C"/>
    <w:rsid w:val="009442A8"/>
    <w:rsid w:val="009442D7"/>
    <w:rsid w:val="00944381"/>
    <w:rsid w:val="00944483"/>
    <w:rsid w:val="00944503"/>
    <w:rsid w:val="00944523"/>
    <w:rsid w:val="009446A5"/>
    <w:rsid w:val="009448E1"/>
    <w:rsid w:val="00944AAF"/>
    <w:rsid w:val="00944AF1"/>
    <w:rsid w:val="00944DF7"/>
    <w:rsid w:val="00944E00"/>
    <w:rsid w:val="00944EAE"/>
    <w:rsid w:val="00944F7B"/>
    <w:rsid w:val="00944FB6"/>
    <w:rsid w:val="00945070"/>
    <w:rsid w:val="009451A7"/>
    <w:rsid w:val="009451BF"/>
    <w:rsid w:val="0094535B"/>
    <w:rsid w:val="00945497"/>
    <w:rsid w:val="009455A3"/>
    <w:rsid w:val="0094562B"/>
    <w:rsid w:val="00945712"/>
    <w:rsid w:val="00945943"/>
    <w:rsid w:val="00945A67"/>
    <w:rsid w:val="00945AF0"/>
    <w:rsid w:val="00945B0A"/>
    <w:rsid w:val="00945B33"/>
    <w:rsid w:val="00945C0C"/>
    <w:rsid w:val="00945C19"/>
    <w:rsid w:val="00945CB0"/>
    <w:rsid w:val="00945D09"/>
    <w:rsid w:val="00945D9E"/>
    <w:rsid w:val="00945E5C"/>
    <w:rsid w:val="00945F66"/>
    <w:rsid w:val="00945FBF"/>
    <w:rsid w:val="00946012"/>
    <w:rsid w:val="00946042"/>
    <w:rsid w:val="009461ED"/>
    <w:rsid w:val="009461FB"/>
    <w:rsid w:val="00946232"/>
    <w:rsid w:val="00946311"/>
    <w:rsid w:val="0094634E"/>
    <w:rsid w:val="0094635D"/>
    <w:rsid w:val="00946391"/>
    <w:rsid w:val="00946399"/>
    <w:rsid w:val="0094657A"/>
    <w:rsid w:val="00946597"/>
    <w:rsid w:val="0094687C"/>
    <w:rsid w:val="00946A22"/>
    <w:rsid w:val="00946A53"/>
    <w:rsid w:val="00946AAB"/>
    <w:rsid w:val="00946ABF"/>
    <w:rsid w:val="00946B9A"/>
    <w:rsid w:val="00946EE3"/>
    <w:rsid w:val="00946F07"/>
    <w:rsid w:val="00946F70"/>
    <w:rsid w:val="00947090"/>
    <w:rsid w:val="00947169"/>
    <w:rsid w:val="00947172"/>
    <w:rsid w:val="009471FD"/>
    <w:rsid w:val="00947257"/>
    <w:rsid w:val="00947284"/>
    <w:rsid w:val="009474DC"/>
    <w:rsid w:val="009474F6"/>
    <w:rsid w:val="009476BE"/>
    <w:rsid w:val="0094776D"/>
    <w:rsid w:val="009478A8"/>
    <w:rsid w:val="009478D7"/>
    <w:rsid w:val="009478F2"/>
    <w:rsid w:val="00947A22"/>
    <w:rsid w:val="00947A8B"/>
    <w:rsid w:val="00947B4F"/>
    <w:rsid w:val="00947C7A"/>
    <w:rsid w:val="00947E26"/>
    <w:rsid w:val="00947E3C"/>
    <w:rsid w:val="00947ECE"/>
    <w:rsid w:val="00947EFC"/>
    <w:rsid w:val="00947F20"/>
    <w:rsid w:val="0095000E"/>
    <w:rsid w:val="00950129"/>
    <w:rsid w:val="0095013B"/>
    <w:rsid w:val="009501D5"/>
    <w:rsid w:val="009501EE"/>
    <w:rsid w:val="0095024C"/>
    <w:rsid w:val="00950278"/>
    <w:rsid w:val="009503AE"/>
    <w:rsid w:val="0095046C"/>
    <w:rsid w:val="009505FA"/>
    <w:rsid w:val="009506ED"/>
    <w:rsid w:val="009508DF"/>
    <w:rsid w:val="009508EE"/>
    <w:rsid w:val="0095099E"/>
    <w:rsid w:val="00950A5E"/>
    <w:rsid w:val="00950C7C"/>
    <w:rsid w:val="00950CF3"/>
    <w:rsid w:val="00950E7C"/>
    <w:rsid w:val="00950EC9"/>
    <w:rsid w:val="009511B7"/>
    <w:rsid w:val="0095123B"/>
    <w:rsid w:val="0095124A"/>
    <w:rsid w:val="009512C2"/>
    <w:rsid w:val="0095136C"/>
    <w:rsid w:val="0095142B"/>
    <w:rsid w:val="00951504"/>
    <w:rsid w:val="00951612"/>
    <w:rsid w:val="009518B3"/>
    <w:rsid w:val="00951907"/>
    <w:rsid w:val="0095192D"/>
    <w:rsid w:val="00951A5D"/>
    <w:rsid w:val="00951BF1"/>
    <w:rsid w:val="00952005"/>
    <w:rsid w:val="009520EE"/>
    <w:rsid w:val="009520F6"/>
    <w:rsid w:val="00952441"/>
    <w:rsid w:val="009524B4"/>
    <w:rsid w:val="0095260F"/>
    <w:rsid w:val="00952671"/>
    <w:rsid w:val="0095268D"/>
    <w:rsid w:val="009526B5"/>
    <w:rsid w:val="009528CF"/>
    <w:rsid w:val="00952914"/>
    <w:rsid w:val="00952933"/>
    <w:rsid w:val="00952A32"/>
    <w:rsid w:val="00952C5D"/>
    <w:rsid w:val="00952CA3"/>
    <w:rsid w:val="00952E98"/>
    <w:rsid w:val="00952EAD"/>
    <w:rsid w:val="00953005"/>
    <w:rsid w:val="009531D1"/>
    <w:rsid w:val="00953268"/>
    <w:rsid w:val="00953355"/>
    <w:rsid w:val="00953359"/>
    <w:rsid w:val="00953372"/>
    <w:rsid w:val="00953453"/>
    <w:rsid w:val="009535D1"/>
    <w:rsid w:val="00953639"/>
    <w:rsid w:val="009536D8"/>
    <w:rsid w:val="00953851"/>
    <w:rsid w:val="009538CF"/>
    <w:rsid w:val="009538D7"/>
    <w:rsid w:val="00953900"/>
    <w:rsid w:val="00953A67"/>
    <w:rsid w:val="00953B07"/>
    <w:rsid w:val="00953D2F"/>
    <w:rsid w:val="00953DBD"/>
    <w:rsid w:val="00953E14"/>
    <w:rsid w:val="00954186"/>
    <w:rsid w:val="009541F1"/>
    <w:rsid w:val="0095430D"/>
    <w:rsid w:val="009545A2"/>
    <w:rsid w:val="009545A3"/>
    <w:rsid w:val="009545D8"/>
    <w:rsid w:val="00954613"/>
    <w:rsid w:val="00954879"/>
    <w:rsid w:val="00954940"/>
    <w:rsid w:val="00954998"/>
    <w:rsid w:val="00954A87"/>
    <w:rsid w:val="00954BD8"/>
    <w:rsid w:val="00954C10"/>
    <w:rsid w:val="00954DB2"/>
    <w:rsid w:val="00954DE8"/>
    <w:rsid w:val="00954F5D"/>
    <w:rsid w:val="00954FFF"/>
    <w:rsid w:val="00955040"/>
    <w:rsid w:val="0095505E"/>
    <w:rsid w:val="00955064"/>
    <w:rsid w:val="009550BB"/>
    <w:rsid w:val="00955109"/>
    <w:rsid w:val="0095538E"/>
    <w:rsid w:val="009553A5"/>
    <w:rsid w:val="00955539"/>
    <w:rsid w:val="00955581"/>
    <w:rsid w:val="0095569F"/>
    <w:rsid w:val="00955712"/>
    <w:rsid w:val="00955800"/>
    <w:rsid w:val="0095580C"/>
    <w:rsid w:val="009559BC"/>
    <w:rsid w:val="00955A6F"/>
    <w:rsid w:val="00955A8C"/>
    <w:rsid w:val="00955B6B"/>
    <w:rsid w:val="00955BA4"/>
    <w:rsid w:val="00955C7B"/>
    <w:rsid w:val="00955D30"/>
    <w:rsid w:val="00955DD8"/>
    <w:rsid w:val="00955E80"/>
    <w:rsid w:val="00955F68"/>
    <w:rsid w:val="00956083"/>
    <w:rsid w:val="009560A5"/>
    <w:rsid w:val="00956226"/>
    <w:rsid w:val="0095630D"/>
    <w:rsid w:val="0095635E"/>
    <w:rsid w:val="009563D8"/>
    <w:rsid w:val="00956417"/>
    <w:rsid w:val="00956442"/>
    <w:rsid w:val="009564EC"/>
    <w:rsid w:val="00956509"/>
    <w:rsid w:val="0095662E"/>
    <w:rsid w:val="0095663B"/>
    <w:rsid w:val="0095666F"/>
    <w:rsid w:val="009566B2"/>
    <w:rsid w:val="00956906"/>
    <w:rsid w:val="00956AA4"/>
    <w:rsid w:val="00956E42"/>
    <w:rsid w:val="00956E90"/>
    <w:rsid w:val="00956EB9"/>
    <w:rsid w:val="00956F4F"/>
    <w:rsid w:val="00956F98"/>
    <w:rsid w:val="009570BA"/>
    <w:rsid w:val="009570E6"/>
    <w:rsid w:val="00957179"/>
    <w:rsid w:val="00957263"/>
    <w:rsid w:val="0095726E"/>
    <w:rsid w:val="009572DB"/>
    <w:rsid w:val="0095739D"/>
    <w:rsid w:val="009573F6"/>
    <w:rsid w:val="009575B8"/>
    <w:rsid w:val="009576CB"/>
    <w:rsid w:val="009578FF"/>
    <w:rsid w:val="00957998"/>
    <w:rsid w:val="009579B0"/>
    <w:rsid w:val="00957A12"/>
    <w:rsid w:val="00957AD0"/>
    <w:rsid w:val="00957BBF"/>
    <w:rsid w:val="00957BFD"/>
    <w:rsid w:val="00957DF4"/>
    <w:rsid w:val="00957EA0"/>
    <w:rsid w:val="00957EF0"/>
    <w:rsid w:val="00957F6D"/>
    <w:rsid w:val="00957F98"/>
    <w:rsid w:val="009600D2"/>
    <w:rsid w:val="009602C9"/>
    <w:rsid w:val="009604C7"/>
    <w:rsid w:val="009604DA"/>
    <w:rsid w:val="0096055F"/>
    <w:rsid w:val="00960817"/>
    <w:rsid w:val="009608C6"/>
    <w:rsid w:val="0096092F"/>
    <w:rsid w:val="0096094A"/>
    <w:rsid w:val="009609E7"/>
    <w:rsid w:val="00960A32"/>
    <w:rsid w:val="00960A36"/>
    <w:rsid w:val="00960B33"/>
    <w:rsid w:val="00960B59"/>
    <w:rsid w:val="00960B5E"/>
    <w:rsid w:val="00960B85"/>
    <w:rsid w:val="00960D44"/>
    <w:rsid w:val="009611F2"/>
    <w:rsid w:val="00961352"/>
    <w:rsid w:val="009614DD"/>
    <w:rsid w:val="009616E6"/>
    <w:rsid w:val="0096181B"/>
    <w:rsid w:val="009618E9"/>
    <w:rsid w:val="0096190F"/>
    <w:rsid w:val="00961BC0"/>
    <w:rsid w:val="00961CDA"/>
    <w:rsid w:val="00961D4A"/>
    <w:rsid w:val="00961D68"/>
    <w:rsid w:val="00961D9E"/>
    <w:rsid w:val="00961E09"/>
    <w:rsid w:val="00961FA8"/>
    <w:rsid w:val="00962054"/>
    <w:rsid w:val="009621B0"/>
    <w:rsid w:val="009623A7"/>
    <w:rsid w:val="009625D5"/>
    <w:rsid w:val="009625F6"/>
    <w:rsid w:val="0096260D"/>
    <w:rsid w:val="0096266B"/>
    <w:rsid w:val="009626A7"/>
    <w:rsid w:val="009627A8"/>
    <w:rsid w:val="00962812"/>
    <w:rsid w:val="00962879"/>
    <w:rsid w:val="00962995"/>
    <w:rsid w:val="00962BBE"/>
    <w:rsid w:val="00962BD6"/>
    <w:rsid w:val="00962D7C"/>
    <w:rsid w:val="00962F04"/>
    <w:rsid w:val="00962F62"/>
    <w:rsid w:val="00962F7A"/>
    <w:rsid w:val="00962FBF"/>
    <w:rsid w:val="009630AD"/>
    <w:rsid w:val="0096315D"/>
    <w:rsid w:val="009631B8"/>
    <w:rsid w:val="009631CD"/>
    <w:rsid w:val="009631E7"/>
    <w:rsid w:val="00963223"/>
    <w:rsid w:val="00963349"/>
    <w:rsid w:val="0096343E"/>
    <w:rsid w:val="009635CF"/>
    <w:rsid w:val="00963919"/>
    <w:rsid w:val="009639CA"/>
    <w:rsid w:val="00963A7E"/>
    <w:rsid w:val="00963B2A"/>
    <w:rsid w:val="00963CFC"/>
    <w:rsid w:val="00963D16"/>
    <w:rsid w:val="00963DBB"/>
    <w:rsid w:val="00963E3C"/>
    <w:rsid w:val="0096404D"/>
    <w:rsid w:val="009640F7"/>
    <w:rsid w:val="009641F9"/>
    <w:rsid w:val="0096420F"/>
    <w:rsid w:val="00964281"/>
    <w:rsid w:val="009644E8"/>
    <w:rsid w:val="009644FA"/>
    <w:rsid w:val="009644FE"/>
    <w:rsid w:val="009645EA"/>
    <w:rsid w:val="009649A3"/>
    <w:rsid w:val="00964B38"/>
    <w:rsid w:val="00964BBC"/>
    <w:rsid w:val="00964C01"/>
    <w:rsid w:val="00964D8F"/>
    <w:rsid w:val="00965060"/>
    <w:rsid w:val="00965137"/>
    <w:rsid w:val="009652CD"/>
    <w:rsid w:val="00965514"/>
    <w:rsid w:val="00965665"/>
    <w:rsid w:val="00965837"/>
    <w:rsid w:val="0096586E"/>
    <w:rsid w:val="009658D2"/>
    <w:rsid w:val="0096594F"/>
    <w:rsid w:val="00965A9B"/>
    <w:rsid w:val="00965AEB"/>
    <w:rsid w:val="00965BB3"/>
    <w:rsid w:val="00965E96"/>
    <w:rsid w:val="00966018"/>
    <w:rsid w:val="0096610D"/>
    <w:rsid w:val="0096626A"/>
    <w:rsid w:val="009664F5"/>
    <w:rsid w:val="00966541"/>
    <w:rsid w:val="009665DD"/>
    <w:rsid w:val="0096662F"/>
    <w:rsid w:val="00966677"/>
    <w:rsid w:val="00966708"/>
    <w:rsid w:val="00966794"/>
    <w:rsid w:val="009668CE"/>
    <w:rsid w:val="00966B66"/>
    <w:rsid w:val="00966B7F"/>
    <w:rsid w:val="00966C07"/>
    <w:rsid w:val="00966C9C"/>
    <w:rsid w:val="00966CA3"/>
    <w:rsid w:val="00966EBA"/>
    <w:rsid w:val="00966EF0"/>
    <w:rsid w:val="00966F96"/>
    <w:rsid w:val="00966F9C"/>
    <w:rsid w:val="00967035"/>
    <w:rsid w:val="00967145"/>
    <w:rsid w:val="009671E1"/>
    <w:rsid w:val="00967228"/>
    <w:rsid w:val="0096743F"/>
    <w:rsid w:val="009674B7"/>
    <w:rsid w:val="0096752C"/>
    <w:rsid w:val="00967BA4"/>
    <w:rsid w:val="00967C71"/>
    <w:rsid w:val="00967E3A"/>
    <w:rsid w:val="00967EC3"/>
    <w:rsid w:val="00970081"/>
    <w:rsid w:val="009700D5"/>
    <w:rsid w:val="00970112"/>
    <w:rsid w:val="00970168"/>
    <w:rsid w:val="009702CB"/>
    <w:rsid w:val="0097031D"/>
    <w:rsid w:val="009703A2"/>
    <w:rsid w:val="00970555"/>
    <w:rsid w:val="00970581"/>
    <w:rsid w:val="009705A8"/>
    <w:rsid w:val="009705AB"/>
    <w:rsid w:val="0097061B"/>
    <w:rsid w:val="00970709"/>
    <w:rsid w:val="0097070B"/>
    <w:rsid w:val="00970786"/>
    <w:rsid w:val="00970801"/>
    <w:rsid w:val="00970815"/>
    <w:rsid w:val="00970BBF"/>
    <w:rsid w:val="00970BCF"/>
    <w:rsid w:val="00970E39"/>
    <w:rsid w:val="00970EE1"/>
    <w:rsid w:val="00971131"/>
    <w:rsid w:val="0097118A"/>
    <w:rsid w:val="009711E4"/>
    <w:rsid w:val="009711FA"/>
    <w:rsid w:val="00971286"/>
    <w:rsid w:val="0097144A"/>
    <w:rsid w:val="009714B7"/>
    <w:rsid w:val="0097156D"/>
    <w:rsid w:val="009715CA"/>
    <w:rsid w:val="0097176B"/>
    <w:rsid w:val="00971808"/>
    <w:rsid w:val="0097190C"/>
    <w:rsid w:val="0097193A"/>
    <w:rsid w:val="00971972"/>
    <w:rsid w:val="009719BC"/>
    <w:rsid w:val="009719BD"/>
    <w:rsid w:val="00971D67"/>
    <w:rsid w:val="00971E6C"/>
    <w:rsid w:val="00971E74"/>
    <w:rsid w:val="00971F90"/>
    <w:rsid w:val="00972012"/>
    <w:rsid w:val="009725C5"/>
    <w:rsid w:val="009727B1"/>
    <w:rsid w:val="0097287A"/>
    <w:rsid w:val="009728CC"/>
    <w:rsid w:val="0097293C"/>
    <w:rsid w:val="00972984"/>
    <w:rsid w:val="009729C7"/>
    <w:rsid w:val="00972AC5"/>
    <w:rsid w:val="00972AD6"/>
    <w:rsid w:val="00972D2C"/>
    <w:rsid w:val="00972D93"/>
    <w:rsid w:val="00972E5B"/>
    <w:rsid w:val="00972F4F"/>
    <w:rsid w:val="0097309A"/>
    <w:rsid w:val="00973248"/>
    <w:rsid w:val="009732A0"/>
    <w:rsid w:val="00973357"/>
    <w:rsid w:val="00973472"/>
    <w:rsid w:val="009734EE"/>
    <w:rsid w:val="009736B0"/>
    <w:rsid w:val="0097375D"/>
    <w:rsid w:val="00973AA9"/>
    <w:rsid w:val="00973B79"/>
    <w:rsid w:val="00973BDA"/>
    <w:rsid w:val="00973C39"/>
    <w:rsid w:val="00973C84"/>
    <w:rsid w:val="00973D99"/>
    <w:rsid w:val="00973DB2"/>
    <w:rsid w:val="00973E4D"/>
    <w:rsid w:val="00973EFB"/>
    <w:rsid w:val="0097411F"/>
    <w:rsid w:val="00974150"/>
    <w:rsid w:val="009741AF"/>
    <w:rsid w:val="00974259"/>
    <w:rsid w:val="0097449C"/>
    <w:rsid w:val="00974538"/>
    <w:rsid w:val="009745E7"/>
    <w:rsid w:val="009746C9"/>
    <w:rsid w:val="00974751"/>
    <w:rsid w:val="009748EA"/>
    <w:rsid w:val="0097496A"/>
    <w:rsid w:val="00974A22"/>
    <w:rsid w:val="00974A69"/>
    <w:rsid w:val="00974A81"/>
    <w:rsid w:val="00974BBD"/>
    <w:rsid w:val="00974C02"/>
    <w:rsid w:val="00974D7E"/>
    <w:rsid w:val="00974DA5"/>
    <w:rsid w:val="00974E1D"/>
    <w:rsid w:val="00974E24"/>
    <w:rsid w:val="00974EB2"/>
    <w:rsid w:val="00974FF3"/>
    <w:rsid w:val="00974FFA"/>
    <w:rsid w:val="00975024"/>
    <w:rsid w:val="00975052"/>
    <w:rsid w:val="00975173"/>
    <w:rsid w:val="0097517D"/>
    <w:rsid w:val="0097521B"/>
    <w:rsid w:val="0097522A"/>
    <w:rsid w:val="00975254"/>
    <w:rsid w:val="009752C2"/>
    <w:rsid w:val="009752DF"/>
    <w:rsid w:val="009752F6"/>
    <w:rsid w:val="009753FC"/>
    <w:rsid w:val="0097541A"/>
    <w:rsid w:val="00975499"/>
    <w:rsid w:val="009757F4"/>
    <w:rsid w:val="009759E6"/>
    <w:rsid w:val="00975A8F"/>
    <w:rsid w:val="00975AC0"/>
    <w:rsid w:val="00975AE1"/>
    <w:rsid w:val="00975C07"/>
    <w:rsid w:val="00975C1D"/>
    <w:rsid w:val="00975DAB"/>
    <w:rsid w:val="00975E16"/>
    <w:rsid w:val="00975EE2"/>
    <w:rsid w:val="00975F58"/>
    <w:rsid w:val="00975FD9"/>
    <w:rsid w:val="00976065"/>
    <w:rsid w:val="0097608F"/>
    <w:rsid w:val="009760D2"/>
    <w:rsid w:val="00976146"/>
    <w:rsid w:val="009761D6"/>
    <w:rsid w:val="009761E9"/>
    <w:rsid w:val="009761F0"/>
    <w:rsid w:val="0097623F"/>
    <w:rsid w:val="0097644E"/>
    <w:rsid w:val="00976479"/>
    <w:rsid w:val="00976576"/>
    <w:rsid w:val="009765FD"/>
    <w:rsid w:val="00976645"/>
    <w:rsid w:val="00976670"/>
    <w:rsid w:val="00976764"/>
    <w:rsid w:val="00976783"/>
    <w:rsid w:val="009768A0"/>
    <w:rsid w:val="009768A8"/>
    <w:rsid w:val="009768FE"/>
    <w:rsid w:val="0097691D"/>
    <w:rsid w:val="009769D9"/>
    <w:rsid w:val="00976CA0"/>
    <w:rsid w:val="00976E11"/>
    <w:rsid w:val="00976E18"/>
    <w:rsid w:val="00976EBE"/>
    <w:rsid w:val="00976EEC"/>
    <w:rsid w:val="00977136"/>
    <w:rsid w:val="009771DC"/>
    <w:rsid w:val="009772BE"/>
    <w:rsid w:val="00977416"/>
    <w:rsid w:val="00977419"/>
    <w:rsid w:val="00977541"/>
    <w:rsid w:val="0097772B"/>
    <w:rsid w:val="00977769"/>
    <w:rsid w:val="009777CD"/>
    <w:rsid w:val="00977961"/>
    <w:rsid w:val="00977A1A"/>
    <w:rsid w:val="00977A3F"/>
    <w:rsid w:val="00977A60"/>
    <w:rsid w:val="00977AFA"/>
    <w:rsid w:val="00977C19"/>
    <w:rsid w:val="00977C32"/>
    <w:rsid w:val="00977CB5"/>
    <w:rsid w:val="00977D35"/>
    <w:rsid w:val="00977E1F"/>
    <w:rsid w:val="00977EDD"/>
    <w:rsid w:val="00977F21"/>
    <w:rsid w:val="009800F4"/>
    <w:rsid w:val="0098056B"/>
    <w:rsid w:val="00980578"/>
    <w:rsid w:val="009805AC"/>
    <w:rsid w:val="00980770"/>
    <w:rsid w:val="00980C30"/>
    <w:rsid w:val="00980C45"/>
    <w:rsid w:val="00980D17"/>
    <w:rsid w:val="00980D89"/>
    <w:rsid w:val="00980E0E"/>
    <w:rsid w:val="00980F83"/>
    <w:rsid w:val="00980FD6"/>
    <w:rsid w:val="00981149"/>
    <w:rsid w:val="009811F0"/>
    <w:rsid w:val="0098128C"/>
    <w:rsid w:val="00981427"/>
    <w:rsid w:val="00981514"/>
    <w:rsid w:val="009816B6"/>
    <w:rsid w:val="00981860"/>
    <w:rsid w:val="009819F1"/>
    <w:rsid w:val="00981AF6"/>
    <w:rsid w:val="00981B32"/>
    <w:rsid w:val="00981CC5"/>
    <w:rsid w:val="00981CDF"/>
    <w:rsid w:val="00981E08"/>
    <w:rsid w:val="00982137"/>
    <w:rsid w:val="00982254"/>
    <w:rsid w:val="00982401"/>
    <w:rsid w:val="00982535"/>
    <w:rsid w:val="00982762"/>
    <w:rsid w:val="009827E5"/>
    <w:rsid w:val="00982911"/>
    <w:rsid w:val="009829CA"/>
    <w:rsid w:val="009829E2"/>
    <w:rsid w:val="00982C85"/>
    <w:rsid w:val="00982DD2"/>
    <w:rsid w:val="00982DF6"/>
    <w:rsid w:val="00983093"/>
    <w:rsid w:val="00983349"/>
    <w:rsid w:val="00983455"/>
    <w:rsid w:val="009834CB"/>
    <w:rsid w:val="009835AD"/>
    <w:rsid w:val="00983666"/>
    <w:rsid w:val="00983724"/>
    <w:rsid w:val="009838B8"/>
    <w:rsid w:val="009838E1"/>
    <w:rsid w:val="00983B42"/>
    <w:rsid w:val="00983C0E"/>
    <w:rsid w:val="00984131"/>
    <w:rsid w:val="00984207"/>
    <w:rsid w:val="00984296"/>
    <w:rsid w:val="00984507"/>
    <w:rsid w:val="00984540"/>
    <w:rsid w:val="0098466A"/>
    <w:rsid w:val="0098467D"/>
    <w:rsid w:val="00984920"/>
    <w:rsid w:val="009849DB"/>
    <w:rsid w:val="009849FC"/>
    <w:rsid w:val="00984A8C"/>
    <w:rsid w:val="00984C93"/>
    <w:rsid w:val="00984D63"/>
    <w:rsid w:val="00984DE9"/>
    <w:rsid w:val="00984E00"/>
    <w:rsid w:val="00984E8A"/>
    <w:rsid w:val="00984EDF"/>
    <w:rsid w:val="00984EFF"/>
    <w:rsid w:val="00984FAB"/>
    <w:rsid w:val="00984FB5"/>
    <w:rsid w:val="00984FD4"/>
    <w:rsid w:val="0098500E"/>
    <w:rsid w:val="009850A3"/>
    <w:rsid w:val="009850C7"/>
    <w:rsid w:val="00985293"/>
    <w:rsid w:val="009852EB"/>
    <w:rsid w:val="00985429"/>
    <w:rsid w:val="009854D6"/>
    <w:rsid w:val="00985721"/>
    <w:rsid w:val="009857C0"/>
    <w:rsid w:val="00985851"/>
    <w:rsid w:val="0098585C"/>
    <w:rsid w:val="0098586C"/>
    <w:rsid w:val="009858E6"/>
    <w:rsid w:val="0098597B"/>
    <w:rsid w:val="009859C8"/>
    <w:rsid w:val="00985BA1"/>
    <w:rsid w:val="00985BAB"/>
    <w:rsid w:val="00985DF7"/>
    <w:rsid w:val="00985E17"/>
    <w:rsid w:val="00985EA3"/>
    <w:rsid w:val="00985F08"/>
    <w:rsid w:val="00985FDF"/>
    <w:rsid w:val="009860BD"/>
    <w:rsid w:val="00986169"/>
    <w:rsid w:val="00986191"/>
    <w:rsid w:val="00986240"/>
    <w:rsid w:val="0098628E"/>
    <w:rsid w:val="009863DB"/>
    <w:rsid w:val="00986452"/>
    <w:rsid w:val="00986700"/>
    <w:rsid w:val="00986720"/>
    <w:rsid w:val="00986972"/>
    <w:rsid w:val="00986A39"/>
    <w:rsid w:val="00986A74"/>
    <w:rsid w:val="00986A9B"/>
    <w:rsid w:val="00986D1D"/>
    <w:rsid w:val="00986F2A"/>
    <w:rsid w:val="00986F3C"/>
    <w:rsid w:val="00986F87"/>
    <w:rsid w:val="00987011"/>
    <w:rsid w:val="0098702B"/>
    <w:rsid w:val="009870E4"/>
    <w:rsid w:val="00987294"/>
    <w:rsid w:val="00987377"/>
    <w:rsid w:val="00987469"/>
    <w:rsid w:val="00987524"/>
    <w:rsid w:val="00987737"/>
    <w:rsid w:val="009877AA"/>
    <w:rsid w:val="009878B4"/>
    <w:rsid w:val="009878CA"/>
    <w:rsid w:val="00987985"/>
    <w:rsid w:val="00987B2B"/>
    <w:rsid w:val="00987CB8"/>
    <w:rsid w:val="00987D92"/>
    <w:rsid w:val="00987F14"/>
    <w:rsid w:val="00987F4E"/>
    <w:rsid w:val="00990143"/>
    <w:rsid w:val="009901F2"/>
    <w:rsid w:val="00990250"/>
    <w:rsid w:val="009902B7"/>
    <w:rsid w:val="00990337"/>
    <w:rsid w:val="009903FB"/>
    <w:rsid w:val="00990466"/>
    <w:rsid w:val="009904C2"/>
    <w:rsid w:val="00990533"/>
    <w:rsid w:val="00990770"/>
    <w:rsid w:val="00990937"/>
    <w:rsid w:val="00990AE6"/>
    <w:rsid w:val="00990BD4"/>
    <w:rsid w:val="00990C32"/>
    <w:rsid w:val="00990E86"/>
    <w:rsid w:val="00991071"/>
    <w:rsid w:val="00991206"/>
    <w:rsid w:val="0099121B"/>
    <w:rsid w:val="009912DC"/>
    <w:rsid w:val="00991389"/>
    <w:rsid w:val="0099141C"/>
    <w:rsid w:val="0099146F"/>
    <w:rsid w:val="0099151E"/>
    <w:rsid w:val="0099153C"/>
    <w:rsid w:val="009915CB"/>
    <w:rsid w:val="009917CC"/>
    <w:rsid w:val="0099184E"/>
    <w:rsid w:val="00991890"/>
    <w:rsid w:val="009918A7"/>
    <w:rsid w:val="009918DC"/>
    <w:rsid w:val="00991935"/>
    <w:rsid w:val="00991954"/>
    <w:rsid w:val="00991AF4"/>
    <w:rsid w:val="00991BA4"/>
    <w:rsid w:val="00991BB5"/>
    <w:rsid w:val="00991DC7"/>
    <w:rsid w:val="00991E46"/>
    <w:rsid w:val="00991F60"/>
    <w:rsid w:val="00991F96"/>
    <w:rsid w:val="00991FA4"/>
    <w:rsid w:val="00992051"/>
    <w:rsid w:val="00992110"/>
    <w:rsid w:val="009921A4"/>
    <w:rsid w:val="009921C2"/>
    <w:rsid w:val="0099225E"/>
    <w:rsid w:val="009923D9"/>
    <w:rsid w:val="0099244B"/>
    <w:rsid w:val="009924AE"/>
    <w:rsid w:val="009924F6"/>
    <w:rsid w:val="0099252F"/>
    <w:rsid w:val="009926B9"/>
    <w:rsid w:val="00992739"/>
    <w:rsid w:val="009927B8"/>
    <w:rsid w:val="0099282D"/>
    <w:rsid w:val="009928CC"/>
    <w:rsid w:val="009928E5"/>
    <w:rsid w:val="00992A4C"/>
    <w:rsid w:val="00992AC8"/>
    <w:rsid w:val="00992DA4"/>
    <w:rsid w:val="00992E79"/>
    <w:rsid w:val="00993133"/>
    <w:rsid w:val="00993153"/>
    <w:rsid w:val="009931F9"/>
    <w:rsid w:val="00993379"/>
    <w:rsid w:val="0099349E"/>
    <w:rsid w:val="009934B2"/>
    <w:rsid w:val="00993501"/>
    <w:rsid w:val="0099367E"/>
    <w:rsid w:val="0099372A"/>
    <w:rsid w:val="00993834"/>
    <w:rsid w:val="0099390A"/>
    <w:rsid w:val="00993B2D"/>
    <w:rsid w:val="00993C3A"/>
    <w:rsid w:val="00993DF1"/>
    <w:rsid w:val="00993FB5"/>
    <w:rsid w:val="00994037"/>
    <w:rsid w:val="0099408E"/>
    <w:rsid w:val="0099425A"/>
    <w:rsid w:val="0099427F"/>
    <w:rsid w:val="009942E6"/>
    <w:rsid w:val="00994396"/>
    <w:rsid w:val="00994439"/>
    <w:rsid w:val="0099443C"/>
    <w:rsid w:val="00994492"/>
    <w:rsid w:val="0099472C"/>
    <w:rsid w:val="009947B3"/>
    <w:rsid w:val="00994892"/>
    <w:rsid w:val="009948A3"/>
    <w:rsid w:val="0099494A"/>
    <w:rsid w:val="00994970"/>
    <w:rsid w:val="00994972"/>
    <w:rsid w:val="009949C0"/>
    <w:rsid w:val="00994A6A"/>
    <w:rsid w:val="00994ABE"/>
    <w:rsid w:val="00994AD6"/>
    <w:rsid w:val="00994BB7"/>
    <w:rsid w:val="00994C4E"/>
    <w:rsid w:val="00994F9E"/>
    <w:rsid w:val="00994FDD"/>
    <w:rsid w:val="0099504B"/>
    <w:rsid w:val="0099528F"/>
    <w:rsid w:val="009953A8"/>
    <w:rsid w:val="009953FD"/>
    <w:rsid w:val="0099552E"/>
    <w:rsid w:val="0099555B"/>
    <w:rsid w:val="00995584"/>
    <w:rsid w:val="009956C6"/>
    <w:rsid w:val="00995772"/>
    <w:rsid w:val="009957E2"/>
    <w:rsid w:val="009957E9"/>
    <w:rsid w:val="0099583A"/>
    <w:rsid w:val="009958A1"/>
    <w:rsid w:val="009958F4"/>
    <w:rsid w:val="00995980"/>
    <w:rsid w:val="00995B0F"/>
    <w:rsid w:val="00995BA0"/>
    <w:rsid w:val="00995C8D"/>
    <w:rsid w:val="00995D1D"/>
    <w:rsid w:val="00995D6A"/>
    <w:rsid w:val="00995E1B"/>
    <w:rsid w:val="00995FA4"/>
    <w:rsid w:val="00995FD2"/>
    <w:rsid w:val="009960BF"/>
    <w:rsid w:val="009961C3"/>
    <w:rsid w:val="00996393"/>
    <w:rsid w:val="00996405"/>
    <w:rsid w:val="0099646A"/>
    <w:rsid w:val="009964C7"/>
    <w:rsid w:val="00996574"/>
    <w:rsid w:val="0099665C"/>
    <w:rsid w:val="009966F3"/>
    <w:rsid w:val="009967B3"/>
    <w:rsid w:val="009967E3"/>
    <w:rsid w:val="00996926"/>
    <w:rsid w:val="0099693E"/>
    <w:rsid w:val="0099694C"/>
    <w:rsid w:val="00996B90"/>
    <w:rsid w:val="00996BBA"/>
    <w:rsid w:val="00996C3C"/>
    <w:rsid w:val="00996C68"/>
    <w:rsid w:val="00996D0E"/>
    <w:rsid w:val="00996E8A"/>
    <w:rsid w:val="00996F09"/>
    <w:rsid w:val="00996F57"/>
    <w:rsid w:val="00996FC8"/>
    <w:rsid w:val="009970F9"/>
    <w:rsid w:val="00997275"/>
    <w:rsid w:val="009972BB"/>
    <w:rsid w:val="009972D4"/>
    <w:rsid w:val="009973B2"/>
    <w:rsid w:val="0099745E"/>
    <w:rsid w:val="00997563"/>
    <w:rsid w:val="00997672"/>
    <w:rsid w:val="0099776D"/>
    <w:rsid w:val="0099793E"/>
    <w:rsid w:val="00997946"/>
    <w:rsid w:val="00997AD8"/>
    <w:rsid w:val="00997C44"/>
    <w:rsid w:val="00997C9E"/>
    <w:rsid w:val="00997D9A"/>
    <w:rsid w:val="00997EE8"/>
    <w:rsid w:val="00997F56"/>
    <w:rsid w:val="00997F8C"/>
    <w:rsid w:val="00997FE1"/>
    <w:rsid w:val="009A002A"/>
    <w:rsid w:val="009A006B"/>
    <w:rsid w:val="009A00D7"/>
    <w:rsid w:val="009A010A"/>
    <w:rsid w:val="009A0202"/>
    <w:rsid w:val="009A03EB"/>
    <w:rsid w:val="009A0496"/>
    <w:rsid w:val="009A0516"/>
    <w:rsid w:val="009A0566"/>
    <w:rsid w:val="009A0713"/>
    <w:rsid w:val="009A0748"/>
    <w:rsid w:val="009A0859"/>
    <w:rsid w:val="009A0B02"/>
    <w:rsid w:val="009A0B31"/>
    <w:rsid w:val="009A0BB9"/>
    <w:rsid w:val="009A0BCB"/>
    <w:rsid w:val="009A0BE6"/>
    <w:rsid w:val="009A0C75"/>
    <w:rsid w:val="009A0C82"/>
    <w:rsid w:val="009A0DA2"/>
    <w:rsid w:val="009A0E3D"/>
    <w:rsid w:val="009A0EBD"/>
    <w:rsid w:val="009A0ED2"/>
    <w:rsid w:val="009A0F1C"/>
    <w:rsid w:val="009A10F3"/>
    <w:rsid w:val="009A1188"/>
    <w:rsid w:val="009A11E7"/>
    <w:rsid w:val="009A124E"/>
    <w:rsid w:val="009A13FE"/>
    <w:rsid w:val="009A15EC"/>
    <w:rsid w:val="009A163C"/>
    <w:rsid w:val="009A16A4"/>
    <w:rsid w:val="009A16D7"/>
    <w:rsid w:val="009A175A"/>
    <w:rsid w:val="009A17DC"/>
    <w:rsid w:val="009A18DF"/>
    <w:rsid w:val="009A19BB"/>
    <w:rsid w:val="009A19C2"/>
    <w:rsid w:val="009A1BF1"/>
    <w:rsid w:val="009A1CE8"/>
    <w:rsid w:val="009A1D3C"/>
    <w:rsid w:val="009A1FA4"/>
    <w:rsid w:val="009A213A"/>
    <w:rsid w:val="009A222E"/>
    <w:rsid w:val="009A2537"/>
    <w:rsid w:val="009A258C"/>
    <w:rsid w:val="009A25C6"/>
    <w:rsid w:val="009A25CF"/>
    <w:rsid w:val="009A26F7"/>
    <w:rsid w:val="009A273A"/>
    <w:rsid w:val="009A276E"/>
    <w:rsid w:val="009A2791"/>
    <w:rsid w:val="009A289A"/>
    <w:rsid w:val="009A2942"/>
    <w:rsid w:val="009A29D4"/>
    <w:rsid w:val="009A2CFB"/>
    <w:rsid w:val="009A2D0F"/>
    <w:rsid w:val="009A3057"/>
    <w:rsid w:val="009A32A3"/>
    <w:rsid w:val="009A32F3"/>
    <w:rsid w:val="009A33CE"/>
    <w:rsid w:val="009A33EB"/>
    <w:rsid w:val="009A376D"/>
    <w:rsid w:val="009A3969"/>
    <w:rsid w:val="009A3972"/>
    <w:rsid w:val="009A3A0D"/>
    <w:rsid w:val="009A3A0F"/>
    <w:rsid w:val="009A3C03"/>
    <w:rsid w:val="009A3C8D"/>
    <w:rsid w:val="009A3D47"/>
    <w:rsid w:val="009A3D6D"/>
    <w:rsid w:val="009A3F59"/>
    <w:rsid w:val="009A4016"/>
    <w:rsid w:val="009A40E2"/>
    <w:rsid w:val="009A410D"/>
    <w:rsid w:val="009A4226"/>
    <w:rsid w:val="009A422F"/>
    <w:rsid w:val="009A43EA"/>
    <w:rsid w:val="009A44AC"/>
    <w:rsid w:val="009A44F4"/>
    <w:rsid w:val="009A454A"/>
    <w:rsid w:val="009A45DA"/>
    <w:rsid w:val="009A4654"/>
    <w:rsid w:val="009A4893"/>
    <w:rsid w:val="009A4A35"/>
    <w:rsid w:val="009A4AA0"/>
    <w:rsid w:val="009A4C3C"/>
    <w:rsid w:val="009A4DCB"/>
    <w:rsid w:val="009A4E91"/>
    <w:rsid w:val="009A4F0D"/>
    <w:rsid w:val="009A510B"/>
    <w:rsid w:val="009A528C"/>
    <w:rsid w:val="009A530C"/>
    <w:rsid w:val="009A5579"/>
    <w:rsid w:val="009A597A"/>
    <w:rsid w:val="009A5A32"/>
    <w:rsid w:val="009A5AAC"/>
    <w:rsid w:val="009A5B8D"/>
    <w:rsid w:val="009A5C41"/>
    <w:rsid w:val="009A5C64"/>
    <w:rsid w:val="009A5C6C"/>
    <w:rsid w:val="009A5CE2"/>
    <w:rsid w:val="009A5CEF"/>
    <w:rsid w:val="009A5E97"/>
    <w:rsid w:val="009A5EE3"/>
    <w:rsid w:val="009A6089"/>
    <w:rsid w:val="009A6104"/>
    <w:rsid w:val="009A6139"/>
    <w:rsid w:val="009A6146"/>
    <w:rsid w:val="009A636C"/>
    <w:rsid w:val="009A6461"/>
    <w:rsid w:val="009A6550"/>
    <w:rsid w:val="009A655D"/>
    <w:rsid w:val="009A65F5"/>
    <w:rsid w:val="009A65F6"/>
    <w:rsid w:val="009A6611"/>
    <w:rsid w:val="009A66C5"/>
    <w:rsid w:val="009A6826"/>
    <w:rsid w:val="009A6847"/>
    <w:rsid w:val="009A69B9"/>
    <w:rsid w:val="009A6A13"/>
    <w:rsid w:val="009A6AAF"/>
    <w:rsid w:val="009A6B1A"/>
    <w:rsid w:val="009A6C11"/>
    <w:rsid w:val="009A6DCD"/>
    <w:rsid w:val="009A6DFC"/>
    <w:rsid w:val="009A7183"/>
    <w:rsid w:val="009A7362"/>
    <w:rsid w:val="009A7478"/>
    <w:rsid w:val="009A74C5"/>
    <w:rsid w:val="009A7535"/>
    <w:rsid w:val="009A754B"/>
    <w:rsid w:val="009A758F"/>
    <w:rsid w:val="009A75E2"/>
    <w:rsid w:val="009A75F1"/>
    <w:rsid w:val="009A76E4"/>
    <w:rsid w:val="009A76E8"/>
    <w:rsid w:val="009A7718"/>
    <w:rsid w:val="009A783E"/>
    <w:rsid w:val="009A78B4"/>
    <w:rsid w:val="009A797B"/>
    <w:rsid w:val="009A79CF"/>
    <w:rsid w:val="009A7A23"/>
    <w:rsid w:val="009A7A71"/>
    <w:rsid w:val="009A7BDA"/>
    <w:rsid w:val="009A7D0C"/>
    <w:rsid w:val="009A7E27"/>
    <w:rsid w:val="009B0069"/>
    <w:rsid w:val="009B0539"/>
    <w:rsid w:val="009B05DC"/>
    <w:rsid w:val="009B0642"/>
    <w:rsid w:val="009B06B5"/>
    <w:rsid w:val="009B0766"/>
    <w:rsid w:val="009B0856"/>
    <w:rsid w:val="009B0962"/>
    <w:rsid w:val="009B097B"/>
    <w:rsid w:val="009B09A3"/>
    <w:rsid w:val="009B09FD"/>
    <w:rsid w:val="009B0BAB"/>
    <w:rsid w:val="009B0BAD"/>
    <w:rsid w:val="009B0C64"/>
    <w:rsid w:val="009B0CBD"/>
    <w:rsid w:val="009B0E48"/>
    <w:rsid w:val="009B0F10"/>
    <w:rsid w:val="009B0F74"/>
    <w:rsid w:val="009B0F9C"/>
    <w:rsid w:val="009B0FEC"/>
    <w:rsid w:val="009B1112"/>
    <w:rsid w:val="009B114D"/>
    <w:rsid w:val="009B120C"/>
    <w:rsid w:val="009B1364"/>
    <w:rsid w:val="009B13F2"/>
    <w:rsid w:val="009B1491"/>
    <w:rsid w:val="009B159E"/>
    <w:rsid w:val="009B1840"/>
    <w:rsid w:val="009B19E1"/>
    <w:rsid w:val="009B1A63"/>
    <w:rsid w:val="009B1C49"/>
    <w:rsid w:val="009B1D06"/>
    <w:rsid w:val="009B1DCB"/>
    <w:rsid w:val="009B1DEA"/>
    <w:rsid w:val="009B1E77"/>
    <w:rsid w:val="009B1F29"/>
    <w:rsid w:val="009B205E"/>
    <w:rsid w:val="009B2073"/>
    <w:rsid w:val="009B214A"/>
    <w:rsid w:val="009B21AD"/>
    <w:rsid w:val="009B223E"/>
    <w:rsid w:val="009B22E0"/>
    <w:rsid w:val="009B237A"/>
    <w:rsid w:val="009B23DA"/>
    <w:rsid w:val="009B23E4"/>
    <w:rsid w:val="009B23F8"/>
    <w:rsid w:val="009B242A"/>
    <w:rsid w:val="009B2481"/>
    <w:rsid w:val="009B2595"/>
    <w:rsid w:val="009B263F"/>
    <w:rsid w:val="009B26D7"/>
    <w:rsid w:val="009B270C"/>
    <w:rsid w:val="009B27A7"/>
    <w:rsid w:val="009B29D1"/>
    <w:rsid w:val="009B2CFE"/>
    <w:rsid w:val="009B2D45"/>
    <w:rsid w:val="009B2DDA"/>
    <w:rsid w:val="009B2FBC"/>
    <w:rsid w:val="009B30BD"/>
    <w:rsid w:val="009B34B4"/>
    <w:rsid w:val="009B3599"/>
    <w:rsid w:val="009B35DD"/>
    <w:rsid w:val="009B362F"/>
    <w:rsid w:val="009B3633"/>
    <w:rsid w:val="009B3699"/>
    <w:rsid w:val="009B3824"/>
    <w:rsid w:val="009B38E4"/>
    <w:rsid w:val="009B3A00"/>
    <w:rsid w:val="009B3AFD"/>
    <w:rsid w:val="009B3BC3"/>
    <w:rsid w:val="009B3C6E"/>
    <w:rsid w:val="009B3E38"/>
    <w:rsid w:val="009B3E79"/>
    <w:rsid w:val="009B3FE1"/>
    <w:rsid w:val="009B405F"/>
    <w:rsid w:val="009B40C3"/>
    <w:rsid w:val="009B412A"/>
    <w:rsid w:val="009B414B"/>
    <w:rsid w:val="009B41E0"/>
    <w:rsid w:val="009B4437"/>
    <w:rsid w:val="009B44B0"/>
    <w:rsid w:val="009B44BC"/>
    <w:rsid w:val="009B45C9"/>
    <w:rsid w:val="009B4744"/>
    <w:rsid w:val="009B47B6"/>
    <w:rsid w:val="009B47D5"/>
    <w:rsid w:val="009B48C8"/>
    <w:rsid w:val="009B498B"/>
    <w:rsid w:val="009B49BA"/>
    <w:rsid w:val="009B4A9F"/>
    <w:rsid w:val="009B4AA2"/>
    <w:rsid w:val="009B4ADD"/>
    <w:rsid w:val="009B4BC8"/>
    <w:rsid w:val="009B4D77"/>
    <w:rsid w:val="009B4EA3"/>
    <w:rsid w:val="009B4FBF"/>
    <w:rsid w:val="009B512E"/>
    <w:rsid w:val="009B5308"/>
    <w:rsid w:val="009B567E"/>
    <w:rsid w:val="009B56DD"/>
    <w:rsid w:val="009B5766"/>
    <w:rsid w:val="009B5776"/>
    <w:rsid w:val="009B58A9"/>
    <w:rsid w:val="009B5937"/>
    <w:rsid w:val="009B5BC8"/>
    <w:rsid w:val="009B5BF0"/>
    <w:rsid w:val="009B5DA8"/>
    <w:rsid w:val="009B5DBB"/>
    <w:rsid w:val="009B5DCA"/>
    <w:rsid w:val="009B5E37"/>
    <w:rsid w:val="009B6023"/>
    <w:rsid w:val="009B6113"/>
    <w:rsid w:val="009B6262"/>
    <w:rsid w:val="009B627B"/>
    <w:rsid w:val="009B62E8"/>
    <w:rsid w:val="009B6401"/>
    <w:rsid w:val="009B65E5"/>
    <w:rsid w:val="009B67AE"/>
    <w:rsid w:val="009B69C7"/>
    <w:rsid w:val="009B69EB"/>
    <w:rsid w:val="009B69EE"/>
    <w:rsid w:val="009B6AC8"/>
    <w:rsid w:val="009B6AFD"/>
    <w:rsid w:val="009B6B13"/>
    <w:rsid w:val="009B6C5E"/>
    <w:rsid w:val="009B6CBB"/>
    <w:rsid w:val="009B6CDF"/>
    <w:rsid w:val="009B6EC2"/>
    <w:rsid w:val="009B70EC"/>
    <w:rsid w:val="009B70FB"/>
    <w:rsid w:val="009B71BB"/>
    <w:rsid w:val="009B71D0"/>
    <w:rsid w:val="009B73B1"/>
    <w:rsid w:val="009B74CF"/>
    <w:rsid w:val="009B7528"/>
    <w:rsid w:val="009B7691"/>
    <w:rsid w:val="009B7735"/>
    <w:rsid w:val="009B77F1"/>
    <w:rsid w:val="009B780D"/>
    <w:rsid w:val="009B783C"/>
    <w:rsid w:val="009B784C"/>
    <w:rsid w:val="009B79E5"/>
    <w:rsid w:val="009B7D3B"/>
    <w:rsid w:val="009B7D74"/>
    <w:rsid w:val="009B7DAE"/>
    <w:rsid w:val="009B7DF4"/>
    <w:rsid w:val="009B7F21"/>
    <w:rsid w:val="009C010C"/>
    <w:rsid w:val="009C0231"/>
    <w:rsid w:val="009C029A"/>
    <w:rsid w:val="009C036F"/>
    <w:rsid w:val="009C0423"/>
    <w:rsid w:val="009C0475"/>
    <w:rsid w:val="009C048A"/>
    <w:rsid w:val="009C04BE"/>
    <w:rsid w:val="009C05C8"/>
    <w:rsid w:val="009C07E1"/>
    <w:rsid w:val="009C0876"/>
    <w:rsid w:val="009C0900"/>
    <w:rsid w:val="009C0B74"/>
    <w:rsid w:val="009C0C28"/>
    <w:rsid w:val="009C0CBE"/>
    <w:rsid w:val="009C0D9F"/>
    <w:rsid w:val="009C0FDE"/>
    <w:rsid w:val="009C1043"/>
    <w:rsid w:val="009C112F"/>
    <w:rsid w:val="009C1164"/>
    <w:rsid w:val="009C11A1"/>
    <w:rsid w:val="009C138F"/>
    <w:rsid w:val="009C143B"/>
    <w:rsid w:val="009C165D"/>
    <w:rsid w:val="009C16AC"/>
    <w:rsid w:val="009C16B8"/>
    <w:rsid w:val="009C16BC"/>
    <w:rsid w:val="009C16C5"/>
    <w:rsid w:val="009C1775"/>
    <w:rsid w:val="009C183A"/>
    <w:rsid w:val="009C183F"/>
    <w:rsid w:val="009C1863"/>
    <w:rsid w:val="009C19A3"/>
    <w:rsid w:val="009C19DC"/>
    <w:rsid w:val="009C1B43"/>
    <w:rsid w:val="009C1C7A"/>
    <w:rsid w:val="009C1C8D"/>
    <w:rsid w:val="009C1D8D"/>
    <w:rsid w:val="009C1FA5"/>
    <w:rsid w:val="009C1FB7"/>
    <w:rsid w:val="009C209D"/>
    <w:rsid w:val="009C20BD"/>
    <w:rsid w:val="009C20C8"/>
    <w:rsid w:val="009C218A"/>
    <w:rsid w:val="009C2227"/>
    <w:rsid w:val="009C2283"/>
    <w:rsid w:val="009C22D7"/>
    <w:rsid w:val="009C238C"/>
    <w:rsid w:val="009C2409"/>
    <w:rsid w:val="009C2430"/>
    <w:rsid w:val="009C251F"/>
    <w:rsid w:val="009C254B"/>
    <w:rsid w:val="009C25D5"/>
    <w:rsid w:val="009C272B"/>
    <w:rsid w:val="009C27B8"/>
    <w:rsid w:val="009C27FC"/>
    <w:rsid w:val="009C2945"/>
    <w:rsid w:val="009C2ABA"/>
    <w:rsid w:val="009C2AEF"/>
    <w:rsid w:val="009C2CBF"/>
    <w:rsid w:val="009C2DF4"/>
    <w:rsid w:val="009C2EEE"/>
    <w:rsid w:val="009C2F51"/>
    <w:rsid w:val="009C30E3"/>
    <w:rsid w:val="009C326B"/>
    <w:rsid w:val="009C34E7"/>
    <w:rsid w:val="009C3537"/>
    <w:rsid w:val="009C35C3"/>
    <w:rsid w:val="009C3661"/>
    <w:rsid w:val="009C366B"/>
    <w:rsid w:val="009C36B1"/>
    <w:rsid w:val="009C3721"/>
    <w:rsid w:val="009C37CB"/>
    <w:rsid w:val="009C37D0"/>
    <w:rsid w:val="009C3848"/>
    <w:rsid w:val="009C39BF"/>
    <w:rsid w:val="009C3B1F"/>
    <w:rsid w:val="009C3B3E"/>
    <w:rsid w:val="009C3C65"/>
    <w:rsid w:val="009C3D66"/>
    <w:rsid w:val="009C3D95"/>
    <w:rsid w:val="009C3EA8"/>
    <w:rsid w:val="009C40B1"/>
    <w:rsid w:val="009C41C4"/>
    <w:rsid w:val="009C420C"/>
    <w:rsid w:val="009C427E"/>
    <w:rsid w:val="009C438A"/>
    <w:rsid w:val="009C4518"/>
    <w:rsid w:val="009C4547"/>
    <w:rsid w:val="009C46AB"/>
    <w:rsid w:val="009C47E8"/>
    <w:rsid w:val="009C47FA"/>
    <w:rsid w:val="009C4848"/>
    <w:rsid w:val="009C49BF"/>
    <w:rsid w:val="009C4ADF"/>
    <w:rsid w:val="009C4B89"/>
    <w:rsid w:val="009C4C98"/>
    <w:rsid w:val="009C4E06"/>
    <w:rsid w:val="009C4F69"/>
    <w:rsid w:val="009C50A7"/>
    <w:rsid w:val="009C5364"/>
    <w:rsid w:val="009C5377"/>
    <w:rsid w:val="009C5421"/>
    <w:rsid w:val="009C54F8"/>
    <w:rsid w:val="009C5534"/>
    <w:rsid w:val="009C563F"/>
    <w:rsid w:val="009C56D3"/>
    <w:rsid w:val="009C5A19"/>
    <w:rsid w:val="009C5A4F"/>
    <w:rsid w:val="009C5AB5"/>
    <w:rsid w:val="009C5C09"/>
    <w:rsid w:val="009C5C14"/>
    <w:rsid w:val="009C5CEC"/>
    <w:rsid w:val="009C5D14"/>
    <w:rsid w:val="009C5D28"/>
    <w:rsid w:val="009C5E17"/>
    <w:rsid w:val="009C5EBB"/>
    <w:rsid w:val="009C5EDD"/>
    <w:rsid w:val="009C5EE9"/>
    <w:rsid w:val="009C5F55"/>
    <w:rsid w:val="009C5F7B"/>
    <w:rsid w:val="009C6004"/>
    <w:rsid w:val="009C6260"/>
    <w:rsid w:val="009C6322"/>
    <w:rsid w:val="009C6339"/>
    <w:rsid w:val="009C64C2"/>
    <w:rsid w:val="009C66FD"/>
    <w:rsid w:val="009C674D"/>
    <w:rsid w:val="009C681A"/>
    <w:rsid w:val="009C692F"/>
    <w:rsid w:val="009C698B"/>
    <w:rsid w:val="009C69D5"/>
    <w:rsid w:val="009C69D8"/>
    <w:rsid w:val="009C6A5D"/>
    <w:rsid w:val="009C6A65"/>
    <w:rsid w:val="009C6BAA"/>
    <w:rsid w:val="009C6C25"/>
    <w:rsid w:val="009C6C69"/>
    <w:rsid w:val="009C6CB4"/>
    <w:rsid w:val="009C6F55"/>
    <w:rsid w:val="009C6F7C"/>
    <w:rsid w:val="009C70EE"/>
    <w:rsid w:val="009C7392"/>
    <w:rsid w:val="009C7540"/>
    <w:rsid w:val="009C7818"/>
    <w:rsid w:val="009C78CA"/>
    <w:rsid w:val="009C7956"/>
    <w:rsid w:val="009C7957"/>
    <w:rsid w:val="009C79AB"/>
    <w:rsid w:val="009C7A7E"/>
    <w:rsid w:val="009C7BCC"/>
    <w:rsid w:val="009C7CA9"/>
    <w:rsid w:val="009C7F53"/>
    <w:rsid w:val="009D00FD"/>
    <w:rsid w:val="009D0136"/>
    <w:rsid w:val="009D029D"/>
    <w:rsid w:val="009D03EC"/>
    <w:rsid w:val="009D042E"/>
    <w:rsid w:val="009D044F"/>
    <w:rsid w:val="009D0468"/>
    <w:rsid w:val="009D05A1"/>
    <w:rsid w:val="009D0687"/>
    <w:rsid w:val="009D06A4"/>
    <w:rsid w:val="009D09A4"/>
    <w:rsid w:val="009D0A68"/>
    <w:rsid w:val="009D0BBC"/>
    <w:rsid w:val="009D0DCB"/>
    <w:rsid w:val="009D106A"/>
    <w:rsid w:val="009D113B"/>
    <w:rsid w:val="009D128C"/>
    <w:rsid w:val="009D1319"/>
    <w:rsid w:val="009D1325"/>
    <w:rsid w:val="009D132C"/>
    <w:rsid w:val="009D1386"/>
    <w:rsid w:val="009D13AD"/>
    <w:rsid w:val="009D13DD"/>
    <w:rsid w:val="009D14E6"/>
    <w:rsid w:val="009D1507"/>
    <w:rsid w:val="009D1554"/>
    <w:rsid w:val="009D1596"/>
    <w:rsid w:val="009D1630"/>
    <w:rsid w:val="009D1763"/>
    <w:rsid w:val="009D17ED"/>
    <w:rsid w:val="009D1977"/>
    <w:rsid w:val="009D1A32"/>
    <w:rsid w:val="009D1E5D"/>
    <w:rsid w:val="009D1EB2"/>
    <w:rsid w:val="009D1F04"/>
    <w:rsid w:val="009D1F1E"/>
    <w:rsid w:val="009D228A"/>
    <w:rsid w:val="009D235C"/>
    <w:rsid w:val="009D24AF"/>
    <w:rsid w:val="009D2550"/>
    <w:rsid w:val="009D2567"/>
    <w:rsid w:val="009D25D2"/>
    <w:rsid w:val="009D2603"/>
    <w:rsid w:val="009D27C0"/>
    <w:rsid w:val="009D28CB"/>
    <w:rsid w:val="009D2C68"/>
    <w:rsid w:val="009D2CA5"/>
    <w:rsid w:val="009D2EB4"/>
    <w:rsid w:val="009D2EE2"/>
    <w:rsid w:val="009D2EE8"/>
    <w:rsid w:val="009D2F1B"/>
    <w:rsid w:val="009D3016"/>
    <w:rsid w:val="009D316E"/>
    <w:rsid w:val="009D31BF"/>
    <w:rsid w:val="009D32DB"/>
    <w:rsid w:val="009D330C"/>
    <w:rsid w:val="009D332E"/>
    <w:rsid w:val="009D34D8"/>
    <w:rsid w:val="009D35AF"/>
    <w:rsid w:val="009D361E"/>
    <w:rsid w:val="009D37BE"/>
    <w:rsid w:val="009D3872"/>
    <w:rsid w:val="009D38B7"/>
    <w:rsid w:val="009D39BE"/>
    <w:rsid w:val="009D39EA"/>
    <w:rsid w:val="009D39FC"/>
    <w:rsid w:val="009D3A7C"/>
    <w:rsid w:val="009D3B07"/>
    <w:rsid w:val="009D3CBC"/>
    <w:rsid w:val="009D3D8D"/>
    <w:rsid w:val="009D41AF"/>
    <w:rsid w:val="009D427E"/>
    <w:rsid w:val="009D43B1"/>
    <w:rsid w:val="009D4551"/>
    <w:rsid w:val="009D4567"/>
    <w:rsid w:val="009D458A"/>
    <w:rsid w:val="009D4610"/>
    <w:rsid w:val="009D4687"/>
    <w:rsid w:val="009D47BC"/>
    <w:rsid w:val="009D4874"/>
    <w:rsid w:val="009D492D"/>
    <w:rsid w:val="009D4AC8"/>
    <w:rsid w:val="009D4B77"/>
    <w:rsid w:val="009D4B8C"/>
    <w:rsid w:val="009D4C11"/>
    <w:rsid w:val="009D4CB8"/>
    <w:rsid w:val="009D4DC7"/>
    <w:rsid w:val="009D4E4F"/>
    <w:rsid w:val="009D4F02"/>
    <w:rsid w:val="009D4F8E"/>
    <w:rsid w:val="009D51A7"/>
    <w:rsid w:val="009D539B"/>
    <w:rsid w:val="009D53E7"/>
    <w:rsid w:val="009D5606"/>
    <w:rsid w:val="009D566F"/>
    <w:rsid w:val="009D5702"/>
    <w:rsid w:val="009D57A1"/>
    <w:rsid w:val="009D58D6"/>
    <w:rsid w:val="009D59B6"/>
    <w:rsid w:val="009D5C65"/>
    <w:rsid w:val="009D5CB0"/>
    <w:rsid w:val="009D5E6D"/>
    <w:rsid w:val="009D5EA8"/>
    <w:rsid w:val="009D605B"/>
    <w:rsid w:val="009D60FF"/>
    <w:rsid w:val="009D6145"/>
    <w:rsid w:val="009D618C"/>
    <w:rsid w:val="009D6217"/>
    <w:rsid w:val="009D62C1"/>
    <w:rsid w:val="009D649D"/>
    <w:rsid w:val="009D64AC"/>
    <w:rsid w:val="009D64FF"/>
    <w:rsid w:val="009D6586"/>
    <w:rsid w:val="009D65A4"/>
    <w:rsid w:val="009D6639"/>
    <w:rsid w:val="009D668D"/>
    <w:rsid w:val="009D671A"/>
    <w:rsid w:val="009D679B"/>
    <w:rsid w:val="009D688D"/>
    <w:rsid w:val="009D68AC"/>
    <w:rsid w:val="009D68BA"/>
    <w:rsid w:val="009D6970"/>
    <w:rsid w:val="009D69D8"/>
    <w:rsid w:val="009D6A7C"/>
    <w:rsid w:val="009D6F11"/>
    <w:rsid w:val="009D6F3C"/>
    <w:rsid w:val="009D7372"/>
    <w:rsid w:val="009D7415"/>
    <w:rsid w:val="009D7500"/>
    <w:rsid w:val="009D758C"/>
    <w:rsid w:val="009D7627"/>
    <w:rsid w:val="009D7759"/>
    <w:rsid w:val="009D7859"/>
    <w:rsid w:val="009D7ADD"/>
    <w:rsid w:val="009D7B0A"/>
    <w:rsid w:val="009D7C42"/>
    <w:rsid w:val="009D7D08"/>
    <w:rsid w:val="009D7D5C"/>
    <w:rsid w:val="009D7E67"/>
    <w:rsid w:val="009D7FB2"/>
    <w:rsid w:val="009E0086"/>
    <w:rsid w:val="009E040A"/>
    <w:rsid w:val="009E05FA"/>
    <w:rsid w:val="009E08A3"/>
    <w:rsid w:val="009E092D"/>
    <w:rsid w:val="009E0941"/>
    <w:rsid w:val="009E0A85"/>
    <w:rsid w:val="009E0B8F"/>
    <w:rsid w:val="009E0BB8"/>
    <w:rsid w:val="009E0C77"/>
    <w:rsid w:val="009E0C8B"/>
    <w:rsid w:val="009E0CD0"/>
    <w:rsid w:val="009E0ED6"/>
    <w:rsid w:val="009E0FEC"/>
    <w:rsid w:val="009E109F"/>
    <w:rsid w:val="009E10DE"/>
    <w:rsid w:val="009E119C"/>
    <w:rsid w:val="009E11D3"/>
    <w:rsid w:val="009E1338"/>
    <w:rsid w:val="009E14EC"/>
    <w:rsid w:val="009E15D9"/>
    <w:rsid w:val="009E15DF"/>
    <w:rsid w:val="009E1633"/>
    <w:rsid w:val="009E16B7"/>
    <w:rsid w:val="009E175A"/>
    <w:rsid w:val="009E17FD"/>
    <w:rsid w:val="009E1888"/>
    <w:rsid w:val="009E1910"/>
    <w:rsid w:val="009E1980"/>
    <w:rsid w:val="009E1A53"/>
    <w:rsid w:val="009E1BBC"/>
    <w:rsid w:val="009E1CF1"/>
    <w:rsid w:val="009E1D28"/>
    <w:rsid w:val="009E1D68"/>
    <w:rsid w:val="009E1D69"/>
    <w:rsid w:val="009E1F70"/>
    <w:rsid w:val="009E20EE"/>
    <w:rsid w:val="009E214F"/>
    <w:rsid w:val="009E217D"/>
    <w:rsid w:val="009E218A"/>
    <w:rsid w:val="009E2233"/>
    <w:rsid w:val="009E2261"/>
    <w:rsid w:val="009E24F9"/>
    <w:rsid w:val="009E2694"/>
    <w:rsid w:val="009E26A4"/>
    <w:rsid w:val="009E28FC"/>
    <w:rsid w:val="009E29FB"/>
    <w:rsid w:val="009E2A9B"/>
    <w:rsid w:val="009E2BAF"/>
    <w:rsid w:val="009E2C95"/>
    <w:rsid w:val="009E2C9A"/>
    <w:rsid w:val="009E2CA4"/>
    <w:rsid w:val="009E2CFB"/>
    <w:rsid w:val="009E2D15"/>
    <w:rsid w:val="009E2D84"/>
    <w:rsid w:val="009E2D96"/>
    <w:rsid w:val="009E2F12"/>
    <w:rsid w:val="009E3022"/>
    <w:rsid w:val="009E3089"/>
    <w:rsid w:val="009E309A"/>
    <w:rsid w:val="009E329C"/>
    <w:rsid w:val="009E32A9"/>
    <w:rsid w:val="009E34DC"/>
    <w:rsid w:val="009E35B5"/>
    <w:rsid w:val="009E35F5"/>
    <w:rsid w:val="009E3632"/>
    <w:rsid w:val="009E3697"/>
    <w:rsid w:val="009E395F"/>
    <w:rsid w:val="009E3CDC"/>
    <w:rsid w:val="009E3D4F"/>
    <w:rsid w:val="009E3E1B"/>
    <w:rsid w:val="009E3EAF"/>
    <w:rsid w:val="009E3EBE"/>
    <w:rsid w:val="009E3EC1"/>
    <w:rsid w:val="009E3FCB"/>
    <w:rsid w:val="009E40F2"/>
    <w:rsid w:val="009E41D4"/>
    <w:rsid w:val="009E4234"/>
    <w:rsid w:val="009E4339"/>
    <w:rsid w:val="009E4344"/>
    <w:rsid w:val="009E43B1"/>
    <w:rsid w:val="009E4604"/>
    <w:rsid w:val="009E471F"/>
    <w:rsid w:val="009E4881"/>
    <w:rsid w:val="009E488D"/>
    <w:rsid w:val="009E4969"/>
    <w:rsid w:val="009E49A0"/>
    <w:rsid w:val="009E49EA"/>
    <w:rsid w:val="009E4A94"/>
    <w:rsid w:val="009E4BB6"/>
    <w:rsid w:val="009E4C12"/>
    <w:rsid w:val="009E4CFD"/>
    <w:rsid w:val="009E50C9"/>
    <w:rsid w:val="009E51BA"/>
    <w:rsid w:val="009E5220"/>
    <w:rsid w:val="009E55AB"/>
    <w:rsid w:val="009E56EB"/>
    <w:rsid w:val="009E574C"/>
    <w:rsid w:val="009E578C"/>
    <w:rsid w:val="009E597A"/>
    <w:rsid w:val="009E59C8"/>
    <w:rsid w:val="009E59DB"/>
    <w:rsid w:val="009E5B1E"/>
    <w:rsid w:val="009E5B72"/>
    <w:rsid w:val="009E5D42"/>
    <w:rsid w:val="009E5D54"/>
    <w:rsid w:val="009E5D93"/>
    <w:rsid w:val="009E5DCA"/>
    <w:rsid w:val="009E5F4F"/>
    <w:rsid w:val="009E5F56"/>
    <w:rsid w:val="009E6195"/>
    <w:rsid w:val="009E639B"/>
    <w:rsid w:val="009E6411"/>
    <w:rsid w:val="009E641E"/>
    <w:rsid w:val="009E64E7"/>
    <w:rsid w:val="009E6580"/>
    <w:rsid w:val="009E65BE"/>
    <w:rsid w:val="009E65D5"/>
    <w:rsid w:val="009E66A8"/>
    <w:rsid w:val="009E680C"/>
    <w:rsid w:val="009E68F1"/>
    <w:rsid w:val="009E68F6"/>
    <w:rsid w:val="009E6C0B"/>
    <w:rsid w:val="009E6ED9"/>
    <w:rsid w:val="009E6F24"/>
    <w:rsid w:val="009E6FDE"/>
    <w:rsid w:val="009E707F"/>
    <w:rsid w:val="009E70AD"/>
    <w:rsid w:val="009E715B"/>
    <w:rsid w:val="009E718D"/>
    <w:rsid w:val="009E720E"/>
    <w:rsid w:val="009E7643"/>
    <w:rsid w:val="009E7712"/>
    <w:rsid w:val="009E773B"/>
    <w:rsid w:val="009E775E"/>
    <w:rsid w:val="009E7788"/>
    <w:rsid w:val="009E77B8"/>
    <w:rsid w:val="009E7984"/>
    <w:rsid w:val="009E7C4F"/>
    <w:rsid w:val="009E7C55"/>
    <w:rsid w:val="009E7C81"/>
    <w:rsid w:val="009E7CD0"/>
    <w:rsid w:val="009E7D1D"/>
    <w:rsid w:val="009E7E8B"/>
    <w:rsid w:val="009E7EE5"/>
    <w:rsid w:val="009F0241"/>
    <w:rsid w:val="009F036C"/>
    <w:rsid w:val="009F03AB"/>
    <w:rsid w:val="009F0565"/>
    <w:rsid w:val="009F0707"/>
    <w:rsid w:val="009F075E"/>
    <w:rsid w:val="009F079C"/>
    <w:rsid w:val="009F085E"/>
    <w:rsid w:val="009F09E2"/>
    <w:rsid w:val="009F0B9D"/>
    <w:rsid w:val="009F0BCB"/>
    <w:rsid w:val="009F0FEF"/>
    <w:rsid w:val="009F1011"/>
    <w:rsid w:val="009F11CC"/>
    <w:rsid w:val="009F11EA"/>
    <w:rsid w:val="009F1313"/>
    <w:rsid w:val="009F13DC"/>
    <w:rsid w:val="009F14ED"/>
    <w:rsid w:val="009F15B4"/>
    <w:rsid w:val="009F1626"/>
    <w:rsid w:val="009F1705"/>
    <w:rsid w:val="009F17D3"/>
    <w:rsid w:val="009F1AA1"/>
    <w:rsid w:val="009F1AAE"/>
    <w:rsid w:val="009F1DFD"/>
    <w:rsid w:val="009F1ED7"/>
    <w:rsid w:val="009F1F0C"/>
    <w:rsid w:val="009F20B6"/>
    <w:rsid w:val="009F20F1"/>
    <w:rsid w:val="009F239B"/>
    <w:rsid w:val="009F23D1"/>
    <w:rsid w:val="009F247E"/>
    <w:rsid w:val="009F2595"/>
    <w:rsid w:val="009F25F6"/>
    <w:rsid w:val="009F2658"/>
    <w:rsid w:val="009F266B"/>
    <w:rsid w:val="009F279F"/>
    <w:rsid w:val="009F27F5"/>
    <w:rsid w:val="009F2892"/>
    <w:rsid w:val="009F2992"/>
    <w:rsid w:val="009F29DC"/>
    <w:rsid w:val="009F2B44"/>
    <w:rsid w:val="009F2D5E"/>
    <w:rsid w:val="009F2D8C"/>
    <w:rsid w:val="009F2DE3"/>
    <w:rsid w:val="009F2F8E"/>
    <w:rsid w:val="009F30DB"/>
    <w:rsid w:val="009F3345"/>
    <w:rsid w:val="009F3465"/>
    <w:rsid w:val="009F35CE"/>
    <w:rsid w:val="009F3604"/>
    <w:rsid w:val="009F369F"/>
    <w:rsid w:val="009F36E0"/>
    <w:rsid w:val="009F38EF"/>
    <w:rsid w:val="009F3974"/>
    <w:rsid w:val="009F3982"/>
    <w:rsid w:val="009F39F2"/>
    <w:rsid w:val="009F3A69"/>
    <w:rsid w:val="009F3C5A"/>
    <w:rsid w:val="009F3C69"/>
    <w:rsid w:val="009F3CA1"/>
    <w:rsid w:val="009F3E6B"/>
    <w:rsid w:val="009F3F7D"/>
    <w:rsid w:val="009F400C"/>
    <w:rsid w:val="009F406C"/>
    <w:rsid w:val="009F4195"/>
    <w:rsid w:val="009F4321"/>
    <w:rsid w:val="009F452E"/>
    <w:rsid w:val="009F4582"/>
    <w:rsid w:val="009F45B2"/>
    <w:rsid w:val="009F4804"/>
    <w:rsid w:val="009F4830"/>
    <w:rsid w:val="009F48C0"/>
    <w:rsid w:val="009F4963"/>
    <w:rsid w:val="009F4A9C"/>
    <w:rsid w:val="009F4B49"/>
    <w:rsid w:val="009F4B50"/>
    <w:rsid w:val="009F4B87"/>
    <w:rsid w:val="009F4BDA"/>
    <w:rsid w:val="009F4CC3"/>
    <w:rsid w:val="009F4E1C"/>
    <w:rsid w:val="009F4E8E"/>
    <w:rsid w:val="009F4F92"/>
    <w:rsid w:val="009F5047"/>
    <w:rsid w:val="009F52C2"/>
    <w:rsid w:val="009F532D"/>
    <w:rsid w:val="009F534A"/>
    <w:rsid w:val="009F54FE"/>
    <w:rsid w:val="009F55A4"/>
    <w:rsid w:val="009F55C0"/>
    <w:rsid w:val="009F55D8"/>
    <w:rsid w:val="009F571D"/>
    <w:rsid w:val="009F572B"/>
    <w:rsid w:val="009F5A35"/>
    <w:rsid w:val="009F5B3C"/>
    <w:rsid w:val="009F5B5B"/>
    <w:rsid w:val="009F5CD1"/>
    <w:rsid w:val="009F5CD3"/>
    <w:rsid w:val="009F5E7E"/>
    <w:rsid w:val="009F5E9C"/>
    <w:rsid w:val="009F5F36"/>
    <w:rsid w:val="009F6088"/>
    <w:rsid w:val="009F6289"/>
    <w:rsid w:val="009F6319"/>
    <w:rsid w:val="009F63BB"/>
    <w:rsid w:val="009F64C7"/>
    <w:rsid w:val="009F669D"/>
    <w:rsid w:val="009F66E6"/>
    <w:rsid w:val="009F6721"/>
    <w:rsid w:val="009F677C"/>
    <w:rsid w:val="009F683A"/>
    <w:rsid w:val="009F68FB"/>
    <w:rsid w:val="009F69BF"/>
    <w:rsid w:val="009F69DF"/>
    <w:rsid w:val="009F6A3D"/>
    <w:rsid w:val="009F6B46"/>
    <w:rsid w:val="009F6BE8"/>
    <w:rsid w:val="009F6C53"/>
    <w:rsid w:val="009F6C54"/>
    <w:rsid w:val="009F6CAD"/>
    <w:rsid w:val="009F6DB1"/>
    <w:rsid w:val="009F6EBE"/>
    <w:rsid w:val="009F6EDC"/>
    <w:rsid w:val="009F6F46"/>
    <w:rsid w:val="009F6F97"/>
    <w:rsid w:val="009F7085"/>
    <w:rsid w:val="009F7110"/>
    <w:rsid w:val="009F724A"/>
    <w:rsid w:val="009F7472"/>
    <w:rsid w:val="009F75EB"/>
    <w:rsid w:val="009F7601"/>
    <w:rsid w:val="009F7867"/>
    <w:rsid w:val="009F787B"/>
    <w:rsid w:val="009F79C4"/>
    <w:rsid w:val="009F7C15"/>
    <w:rsid w:val="009F7D8B"/>
    <w:rsid w:val="00A00009"/>
    <w:rsid w:val="00A0014C"/>
    <w:rsid w:val="00A0017E"/>
    <w:rsid w:val="00A001CC"/>
    <w:rsid w:val="00A0028E"/>
    <w:rsid w:val="00A00426"/>
    <w:rsid w:val="00A0043A"/>
    <w:rsid w:val="00A005AD"/>
    <w:rsid w:val="00A005EF"/>
    <w:rsid w:val="00A0067D"/>
    <w:rsid w:val="00A008FB"/>
    <w:rsid w:val="00A00A31"/>
    <w:rsid w:val="00A00A57"/>
    <w:rsid w:val="00A00A81"/>
    <w:rsid w:val="00A00B98"/>
    <w:rsid w:val="00A00BE9"/>
    <w:rsid w:val="00A00CB1"/>
    <w:rsid w:val="00A00D99"/>
    <w:rsid w:val="00A00EC9"/>
    <w:rsid w:val="00A00EFE"/>
    <w:rsid w:val="00A01088"/>
    <w:rsid w:val="00A0145E"/>
    <w:rsid w:val="00A014A3"/>
    <w:rsid w:val="00A016E5"/>
    <w:rsid w:val="00A01709"/>
    <w:rsid w:val="00A01713"/>
    <w:rsid w:val="00A01722"/>
    <w:rsid w:val="00A01785"/>
    <w:rsid w:val="00A0186C"/>
    <w:rsid w:val="00A0198A"/>
    <w:rsid w:val="00A01A53"/>
    <w:rsid w:val="00A01B71"/>
    <w:rsid w:val="00A01BC0"/>
    <w:rsid w:val="00A01C58"/>
    <w:rsid w:val="00A01EB4"/>
    <w:rsid w:val="00A01F7D"/>
    <w:rsid w:val="00A01F81"/>
    <w:rsid w:val="00A02010"/>
    <w:rsid w:val="00A022FD"/>
    <w:rsid w:val="00A02358"/>
    <w:rsid w:val="00A0236C"/>
    <w:rsid w:val="00A0239C"/>
    <w:rsid w:val="00A02487"/>
    <w:rsid w:val="00A025E2"/>
    <w:rsid w:val="00A02614"/>
    <w:rsid w:val="00A02682"/>
    <w:rsid w:val="00A02907"/>
    <w:rsid w:val="00A02A84"/>
    <w:rsid w:val="00A02C0A"/>
    <w:rsid w:val="00A02E40"/>
    <w:rsid w:val="00A02E79"/>
    <w:rsid w:val="00A03188"/>
    <w:rsid w:val="00A033DF"/>
    <w:rsid w:val="00A0352A"/>
    <w:rsid w:val="00A03538"/>
    <w:rsid w:val="00A035C4"/>
    <w:rsid w:val="00A036FB"/>
    <w:rsid w:val="00A037A4"/>
    <w:rsid w:val="00A037D1"/>
    <w:rsid w:val="00A037EF"/>
    <w:rsid w:val="00A0382C"/>
    <w:rsid w:val="00A039B4"/>
    <w:rsid w:val="00A039EC"/>
    <w:rsid w:val="00A03ACB"/>
    <w:rsid w:val="00A03BF1"/>
    <w:rsid w:val="00A03C09"/>
    <w:rsid w:val="00A03C86"/>
    <w:rsid w:val="00A03CB4"/>
    <w:rsid w:val="00A03CF1"/>
    <w:rsid w:val="00A03EB2"/>
    <w:rsid w:val="00A03F1B"/>
    <w:rsid w:val="00A03F91"/>
    <w:rsid w:val="00A040B7"/>
    <w:rsid w:val="00A041BD"/>
    <w:rsid w:val="00A041CE"/>
    <w:rsid w:val="00A0425C"/>
    <w:rsid w:val="00A0431B"/>
    <w:rsid w:val="00A04447"/>
    <w:rsid w:val="00A04532"/>
    <w:rsid w:val="00A04765"/>
    <w:rsid w:val="00A0495C"/>
    <w:rsid w:val="00A049F0"/>
    <w:rsid w:val="00A04A6A"/>
    <w:rsid w:val="00A04A87"/>
    <w:rsid w:val="00A04AF8"/>
    <w:rsid w:val="00A04B09"/>
    <w:rsid w:val="00A04C2F"/>
    <w:rsid w:val="00A04C4D"/>
    <w:rsid w:val="00A04DC2"/>
    <w:rsid w:val="00A04E34"/>
    <w:rsid w:val="00A04E40"/>
    <w:rsid w:val="00A05143"/>
    <w:rsid w:val="00A051D2"/>
    <w:rsid w:val="00A0522C"/>
    <w:rsid w:val="00A0525E"/>
    <w:rsid w:val="00A05275"/>
    <w:rsid w:val="00A0569D"/>
    <w:rsid w:val="00A05704"/>
    <w:rsid w:val="00A0578A"/>
    <w:rsid w:val="00A0579B"/>
    <w:rsid w:val="00A05A74"/>
    <w:rsid w:val="00A05BB1"/>
    <w:rsid w:val="00A05CC6"/>
    <w:rsid w:val="00A05D03"/>
    <w:rsid w:val="00A05E4C"/>
    <w:rsid w:val="00A05FF0"/>
    <w:rsid w:val="00A05FF3"/>
    <w:rsid w:val="00A060D5"/>
    <w:rsid w:val="00A06414"/>
    <w:rsid w:val="00A0653A"/>
    <w:rsid w:val="00A06682"/>
    <w:rsid w:val="00A066EA"/>
    <w:rsid w:val="00A06760"/>
    <w:rsid w:val="00A0676A"/>
    <w:rsid w:val="00A06771"/>
    <w:rsid w:val="00A068E9"/>
    <w:rsid w:val="00A06AA0"/>
    <w:rsid w:val="00A06B62"/>
    <w:rsid w:val="00A06CC9"/>
    <w:rsid w:val="00A06E70"/>
    <w:rsid w:val="00A06E76"/>
    <w:rsid w:val="00A06F21"/>
    <w:rsid w:val="00A06FC9"/>
    <w:rsid w:val="00A06FCE"/>
    <w:rsid w:val="00A06FF2"/>
    <w:rsid w:val="00A070A5"/>
    <w:rsid w:val="00A07176"/>
    <w:rsid w:val="00A07329"/>
    <w:rsid w:val="00A073CE"/>
    <w:rsid w:val="00A076A9"/>
    <w:rsid w:val="00A076EC"/>
    <w:rsid w:val="00A0772E"/>
    <w:rsid w:val="00A07799"/>
    <w:rsid w:val="00A077C0"/>
    <w:rsid w:val="00A0786E"/>
    <w:rsid w:val="00A07A4D"/>
    <w:rsid w:val="00A07A66"/>
    <w:rsid w:val="00A07AB0"/>
    <w:rsid w:val="00A07B33"/>
    <w:rsid w:val="00A07B69"/>
    <w:rsid w:val="00A07BC2"/>
    <w:rsid w:val="00A07C4B"/>
    <w:rsid w:val="00A07D70"/>
    <w:rsid w:val="00A07D9A"/>
    <w:rsid w:val="00A07DA6"/>
    <w:rsid w:val="00A07FAD"/>
    <w:rsid w:val="00A10529"/>
    <w:rsid w:val="00A10697"/>
    <w:rsid w:val="00A1084F"/>
    <w:rsid w:val="00A10863"/>
    <w:rsid w:val="00A108EF"/>
    <w:rsid w:val="00A108F0"/>
    <w:rsid w:val="00A10911"/>
    <w:rsid w:val="00A1097E"/>
    <w:rsid w:val="00A10B6D"/>
    <w:rsid w:val="00A10E15"/>
    <w:rsid w:val="00A10E39"/>
    <w:rsid w:val="00A10EED"/>
    <w:rsid w:val="00A10FC2"/>
    <w:rsid w:val="00A1115C"/>
    <w:rsid w:val="00A111B0"/>
    <w:rsid w:val="00A11282"/>
    <w:rsid w:val="00A1139A"/>
    <w:rsid w:val="00A113E6"/>
    <w:rsid w:val="00A11416"/>
    <w:rsid w:val="00A11551"/>
    <w:rsid w:val="00A1159B"/>
    <w:rsid w:val="00A115CE"/>
    <w:rsid w:val="00A115D6"/>
    <w:rsid w:val="00A116E5"/>
    <w:rsid w:val="00A1179A"/>
    <w:rsid w:val="00A11B0D"/>
    <w:rsid w:val="00A11BA3"/>
    <w:rsid w:val="00A11C53"/>
    <w:rsid w:val="00A11C63"/>
    <w:rsid w:val="00A11F35"/>
    <w:rsid w:val="00A11FED"/>
    <w:rsid w:val="00A12038"/>
    <w:rsid w:val="00A1207E"/>
    <w:rsid w:val="00A120B5"/>
    <w:rsid w:val="00A1215A"/>
    <w:rsid w:val="00A122EC"/>
    <w:rsid w:val="00A1236A"/>
    <w:rsid w:val="00A124A5"/>
    <w:rsid w:val="00A1263A"/>
    <w:rsid w:val="00A12696"/>
    <w:rsid w:val="00A127FC"/>
    <w:rsid w:val="00A12958"/>
    <w:rsid w:val="00A12AD3"/>
    <w:rsid w:val="00A12B39"/>
    <w:rsid w:val="00A12B3E"/>
    <w:rsid w:val="00A12D28"/>
    <w:rsid w:val="00A12D84"/>
    <w:rsid w:val="00A12E4B"/>
    <w:rsid w:val="00A1303A"/>
    <w:rsid w:val="00A130E6"/>
    <w:rsid w:val="00A13106"/>
    <w:rsid w:val="00A1310E"/>
    <w:rsid w:val="00A13232"/>
    <w:rsid w:val="00A1329E"/>
    <w:rsid w:val="00A13440"/>
    <w:rsid w:val="00A1386D"/>
    <w:rsid w:val="00A138A7"/>
    <w:rsid w:val="00A13928"/>
    <w:rsid w:val="00A139D0"/>
    <w:rsid w:val="00A139E2"/>
    <w:rsid w:val="00A13A4D"/>
    <w:rsid w:val="00A13B79"/>
    <w:rsid w:val="00A13B92"/>
    <w:rsid w:val="00A13C16"/>
    <w:rsid w:val="00A13C69"/>
    <w:rsid w:val="00A13FD6"/>
    <w:rsid w:val="00A1405A"/>
    <w:rsid w:val="00A1458D"/>
    <w:rsid w:val="00A14651"/>
    <w:rsid w:val="00A14655"/>
    <w:rsid w:val="00A147A4"/>
    <w:rsid w:val="00A14913"/>
    <w:rsid w:val="00A14949"/>
    <w:rsid w:val="00A14B14"/>
    <w:rsid w:val="00A14C07"/>
    <w:rsid w:val="00A14CFF"/>
    <w:rsid w:val="00A14D89"/>
    <w:rsid w:val="00A14DE4"/>
    <w:rsid w:val="00A14F3C"/>
    <w:rsid w:val="00A14FB4"/>
    <w:rsid w:val="00A1508A"/>
    <w:rsid w:val="00A150BA"/>
    <w:rsid w:val="00A1511F"/>
    <w:rsid w:val="00A15134"/>
    <w:rsid w:val="00A15389"/>
    <w:rsid w:val="00A153DA"/>
    <w:rsid w:val="00A1542A"/>
    <w:rsid w:val="00A15521"/>
    <w:rsid w:val="00A155C3"/>
    <w:rsid w:val="00A1567D"/>
    <w:rsid w:val="00A15760"/>
    <w:rsid w:val="00A157AD"/>
    <w:rsid w:val="00A1581C"/>
    <w:rsid w:val="00A158DD"/>
    <w:rsid w:val="00A159A2"/>
    <w:rsid w:val="00A159BE"/>
    <w:rsid w:val="00A15BDA"/>
    <w:rsid w:val="00A15C40"/>
    <w:rsid w:val="00A15E9D"/>
    <w:rsid w:val="00A15FB0"/>
    <w:rsid w:val="00A160C7"/>
    <w:rsid w:val="00A16142"/>
    <w:rsid w:val="00A16221"/>
    <w:rsid w:val="00A16422"/>
    <w:rsid w:val="00A16678"/>
    <w:rsid w:val="00A1670E"/>
    <w:rsid w:val="00A16897"/>
    <w:rsid w:val="00A1696E"/>
    <w:rsid w:val="00A16AE2"/>
    <w:rsid w:val="00A16AE9"/>
    <w:rsid w:val="00A16B9F"/>
    <w:rsid w:val="00A16BAE"/>
    <w:rsid w:val="00A16D46"/>
    <w:rsid w:val="00A16E38"/>
    <w:rsid w:val="00A16F0F"/>
    <w:rsid w:val="00A17140"/>
    <w:rsid w:val="00A17571"/>
    <w:rsid w:val="00A175C2"/>
    <w:rsid w:val="00A175EB"/>
    <w:rsid w:val="00A17609"/>
    <w:rsid w:val="00A176A2"/>
    <w:rsid w:val="00A17866"/>
    <w:rsid w:val="00A17900"/>
    <w:rsid w:val="00A17908"/>
    <w:rsid w:val="00A17922"/>
    <w:rsid w:val="00A179B7"/>
    <w:rsid w:val="00A17B79"/>
    <w:rsid w:val="00A17C24"/>
    <w:rsid w:val="00A17C4E"/>
    <w:rsid w:val="00A17D08"/>
    <w:rsid w:val="00A17F09"/>
    <w:rsid w:val="00A17F8B"/>
    <w:rsid w:val="00A17FB7"/>
    <w:rsid w:val="00A2020E"/>
    <w:rsid w:val="00A202BD"/>
    <w:rsid w:val="00A20470"/>
    <w:rsid w:val="00A204EE"/>
    <w:rsid w:val="00A20510"/>
    <w:rsid w:val="00A205F4"/>
    <w:rsid w:val="00A206B0"/>
    <w:rsid w:val="00A206B2"/>
    <w:rsid w:val="00A20977"/>
    <w:rsid w:val="00A20A77"/>
    <w:rsid w:val="00A20B94"/>
    <w:rsid w:val="00A20CFA"/>
    <w:rsid w:val="00A20D83"/>
    <w:rsid w:val="00A21550"/>
    <w:rsid w:val="00A21640"/>
    <w:rsid w:val="00A2179A"/>
    <w:rsid w:val="00A218B6"/>
    <w:rsid w:val="00A21971"/>
    <w:rsid w:val="00A219AA"/>
    <w:rsid w:val="00A219EB"/>
    <w:rsid w:val="00A21A8A"/>
    <w:rsid w:val="00A21AF1"/>
    <w:rsid w:val="00A21E69"/>
    <w:rsid w:val="00A21EA9"/>
    <w:rsid w:val="00A22074"/>
    <w:rsid w:val="00A22184"/>
    <w:rsid w:val="00A2225E"/>
    <w:rsid w:val="00A223E6"/>
    <w:rsid w:val="00A22508"/>
    <w:rsid w:val="00A226A5"/>
    <w:rsid w:val="00A2277A"/>
    <w:rsid w:val="00A227E1"/>
    <w:rsid w:val="00A2285B"/>
    <w:rsid w:val="00A228BF"/>
    <w:rsid w:val="00A22950"/>
    <w:rsid w:val="00A22ABB"/>
    <w:rsid w:val="00A22ADB"/>
    <w:rsid w:val="00A22BE4"/>
    <w:rsid w:val="00A22C00"/>
    <w:rsid w:val="00A22C08"/>
    <w:rsid w:val="00A22DF1"/>
    <w:rsid w:val="00A22EE1"/>
    <w:rsid w:val="00A23034"/>
    <w:rsid w:val="00A230D3"/>
    <w:rsid w:val="00A23185"/>
    <w:rsid w:val="00A231A5"/>
    <w:rsid w:val="00A2322C"/>
    <w:rsid w:val="00A2335C"/>
    <w:rsid w:val="00A233D7"/>
    <w:rsid w:val="00A23511"/>
    <w:rsid w:val="00A237B9"/>
    <w:rsid w:val="00A237CE"/>
    <w:rsid w:val="00A238FD"/>
    <w:rsid w:val="00A23902"/>
    <w:rsid w:val="00A23961"/>
    <w:rsid w:val="00A239D4"/>
    <w:rsid w:val="00A23B4E"/>
    <w:rsid w:val="00A23BFF"/>
    <w:rsid w:val="00A23D23"/>
    <w:rsid w:val="00A23EA7"/>
    <w:rsid w:val="00A24013"/>
    <w:rsid w:val="00A2418A"/>
    <w:rsid w:val="00A2425D"/>
    <w:rsid w:val="00A24293"/>
    <w:rsid w:val="00A242DD"/>
    <w:rsid w:val="00A24390"/>
    <w:rsid w:val="00A244A8"/>
    <w:rsid w:val="00A245C9"/>
    <w:rsid w:val="00A24601"/>
    <w:rsid w:val="00A246A4"/>
    <w:rsid w:val="00A24742"/>
    <w:rsid w:val="00A24804"/>
    <w:rsid w:val="00A248F9"/>
    <w:rsid w:val="00A249DB"/>
    <w:rsid w:val="00A24A19"/>
    <w:rsid w:val="00A24BC2"/>
    <w:rsid w:val="00A24BE9"/>
    <w:rsid w:val="00A24C52"/>
    <w:rsid w:val="00A24C5C"/>
    <w:rsid w:val="00A24D4B"/>
    <w:rsid w:val="00A2510F"/>
    <w:rsid w:val="00A25246"/>
    <w:rsid w:val="00A253A9"/>
    <w:rsid w:val="00A253D7"/>
    <w:rsid w:val="00A253FD"/>
    <w:rsid w:val="00A25570"/>
    <w:rsid w:val="00A255E2"/>
    <w:rsid w:val="00A2563E"/>
    <w:rsid w:val="00A2592F"/>
    <w:rsid w:val="00A259B4"/>
    <w:rsid w:val="00A25E0B"/>
    <w:rsid w:val="00A25EA1"/>
    <w:rsid w:val="00A25F43"/>
    <w:rsid w:val="00A25F52"/>
    <w:rsid w:val="00A2604E"/>
    <w:rsid w:val="00A26073"/>
    <w:rsid w:val="00A26082"/>
    <w:rsid w:val="00A2636A"/>
    <w:rsid w:val="00A2638A"/>
    <w:rsid w:val="00A263BF"/>
    <w:rsid w:val="00A26404"/>
    <w:rsid w:val="00A264A8"/>
    <w:rsid w:val="00A26638"/>
    <w:rsid w:val="00A268AA"/>
    <w:rsid w:val="00A2690E"/>
    <w:rsid w:val="00A26914"/>
    <w:rsid w:val="00A26935"/>
    <w:rsid w:val="00A26A08"/>
    <w:rsid w:val="00A26A44"/>
    <w:rsid w:val="00A26B63"/>
    <w:rsid w:val="00A26BB8"/>
    <w:rsid w:val="00A26BBC"/>
    <w:rsid w:val="00A26C2A"/>
    <w:rsid w:val="00A26D55"/>
    <w:rsid w:val="00A26D5D"/>
    <w:rsid w:val="00A26D68"/>
    <w:rsid w:val="00A26E06"/>
    <w:rsid w:val="00A26E1C"/>
    <w:rsid w:val="00A27060"/>
    <w:rsid w:val="00A271FB"/>
    <w:rsid w:val="00A2722F"/>
    <w:rsid w:val="00A27261"/>
    <w:rsid w:val="00A2731E"/>
    <w:rsid w:val="00A273C5"/>
    <w:rsid w:val="00A27571"/>
    <w:rsid w:val="00A275DF"/>
    <w:rsid w:val="00A2772C"/>
    <w:rsid w:val="00A2777C"/>
    <w:rsid w:val="00A27858"/>
    <w:rsid w:val="00A278BE"/>
    <w:rsid w:val="00A27AC3"/>
    <w:rsid w:val="00A27BEF"/>
    <w:rsid w:val="00A27BF5"/>
    <w:rsid w:val="00A27DB3"/>
    <w:rsid w:val="00A27E11"/>
    <w:rsid w:val="00A27EBD"/>
    <w:rsid w:val="00A27FD9"/>
    <w:rsid w:val="00A30002"/>
    <w:rsid w:val="00A300DC"/>
    <w:rsid w:val="00A30119"/>
    <w:rsid w:val="00A301F2"/>
    <w:rsid w:val="00A30300"/>
    <w:rsid w:val="00A305D4"/>
    <w:rsid w:val="00A305F4"/>
    <w:rsid w:val="00A30641"/>
    <w:rsid w:val="00A3079F"/>
    <w:rsid w:val="00A3088D"/>
    <w:rsid w:val="00A3090E"/>
    <w:rsid w:val="00A309B7"/>
    <w:rsid w:val="00A30A44"/>
    <w:rsid w:val="00A30A8A"/>
    <w:rsid w:val="00A30AA5"/>
    <w:rsid w:val="00A30AAC"/>
    <w:rsid w:val="00A30B2B"/>
    <w:rsid w:val="00A30BB3"/>
    <w:rsid w:val="00A30C16"/>
    <w:rsid w:val="00A30C5E"/>
    <w:rsid w:val="00A30D59"/>
    <w:rsid w:val="00A30DA1"/>
    <w:rsid w:val="00A30E90"/>
    <w:rsid w:val="00A30EA5"/>
    <w:rsid w:val="00A30EBA"/>
    <w:rsid w:val="00A30F74"/>
    <w:rsid w:val="00A31022"/>
    <w:rsid w:val="00A31168"/>
    <w:rsid w:val="00A31229"/>
    <w:rsid w:val="00A3126E"/>
    <w:rsid w:val="00A31443"/>
    <w:rsid w:val="00A31469"/>
    <w:rsid w:val="00A31477"/>
    <w:rsid w:val="00A31586"/>
    <w:rsid w:val="00A31629"/>
    <w:rsid w:val="00A31775"/>
    <w:rsid w:val="00A31818"/>
    <w:rsid w:val="00A31A27"/>
    <w:rsid w:val="00A31AE5"/>
    <w:rsid w:val="00A31D29"/>
    <w:rsid w:val="00A31E3D"/>
    <w:rsid w:val="00A31FC9"/>
    <w:rsid w:val="00A32048"/>
    <w:rsid w:val="00A3219C"/>
    <w:rsid w:val="00A3222E"/>
    <w:rsid w:val="00A322FD"/>
    <w:rsid w:val="00A323AB"/>
    <w:rsid w:val="00A32515"/>
    <w:rsid w:val="00A32697"/>
    <w:rsid w:val="00A328FA"/>
    <w:rsid w:val="00A3293A"/>
    <w:rsid w:val="00A329B9"/>
    <w:rsid w:val="00A329DA"/>
    <w:rsid w:val="00A32A04"/>
    <w:rsid w:val="00A32AF0"/>
    <w:rsid w:val="00A32C1E"/>
    <w:rsid w:val="00A32C35"/>
    <w:rsid w:val="00A32CCD"/>
    <w:rsid w:val="00A32D63"/>
    <w:rsid w:val="00A32F2F"/>
    <w:rsid w:val="00A32FD4"/>
    <w:rsid w:val="00A332D8"/>
    <w:rsid w:val="00A332DF"/>
    <w:rsid w:val="00A332F9"/>
    <w:rsid w:val="00A3340A"/>
    <w:rsid w:val="00A3342C"/>
    <w:rsid w:val="00A3375E"/>
    <w:rsid w:val="00A3382A"/>
    <w:rsid w:val="00A338AD"/>
    <w:rsid w:val="00A338BA"/>
    <w:rsid w:val="00A339E3"/>
    <w:rsid w:val="00A33A48"/>
    <w:rsid w:val="00A33A62"/>
    <w:rsid w:val="00A33BCA"/>
    <w:rsid w:val="00A33F94"/>
    <w:rsid w:val="00A34203"/>
    <w:rsid w:val="00A34205"/>
    <w:rsid w:val="00A34207"/>
    <w:rsid w:val="00A3421E"/>
    <w:rsid w:val="00A34240"/>
    <w:rsid w:val="00A342BF"/>
    <w:rsid w:val="00A343EB"/>
    <w:rsid w:val="00A344CA"/>
    <w:rsid w:val="00A344E4"/>
    <w:rsid w:val="00A34616"/>
    <w:rsid w:val="00A346A4"/>
    <w:rsid w:val="00A349B5"/>
    <w:rsid w:val="00A34B81"/>
    <w:rsid w:val="00A34BAA"/>
    <w:rsid w:val="00A34CF0"/>
    <w:rsid w:val="00A34E26"/>
    <w:rsid w:val="00A34F87"/>
    <w:rsid w:val="00A34FA3"/>
    <w:rsid w:val="00A3500B"/>
    <w:rsid w:val="00A3505C"/>
    <w:rsid w:val="00A35186"/>
    <w:rsid w:val="00A351B2"/>
    <w:rsid w:val="00A351F3"/>
    <w:rsid w:val="00A35344"/>
    <w:rsid w:val="00A3543F"/>
    <w:rsid w:val="00A35489"/>
    <w:rsid w:val="00A354D8"/>
    <w:rsid w:val="00A35619"/>
    <w:rsid w:val="00A35642"/>
    <w:rsid w:val="00A356A5"/>
    <w:rsid w:val="00A356B1"/>
    <w:rsid w:val="00A357D6"/>
    <w:rsid w:val="00A357FD"/>
    <w:rsid w:val="00A35A1D"/>
    <w:rsid w:val="00A35AC4"/>
    <w:rsid w:val="00A35B4A"/>
    <w:rsid w:val="00A35CDE"/>
    <w:rsid w:val="00A35D07"/>
    <w:rsid w:val="00A35D5C"/>
    <w:rsid w:val="00A35D88"/>
    <w:rsid w:val="00A35E08"/>
    <w:rsid w:val="00A36166"/>
    <w:rsid w:val="00A36355"/>
    <w:rsid w:val="00A36370"/>
    <w:rsid w:val="00A36440"/>
    <w:rsid w:val="00A36546"/>
    <w:rsid w:val="00A365BB"/>
    <w:rsid w:val="00A3675F"/>
    <w:rsid w:val="00A36760"/>
    <w:rsid w:val="00A3679A"/>
    <w:rsid w:val="00A367BB"/>
    <w:rsid w:val="00A3684E"/>
    <w:rsid w:val="00A36861"/>
    <w:rsid w:val="00A36A58"/>
    <w:rsid w:val="00A36A5D"/>
    <w:rsid w:val="00A36A86"/>
    <w:rsid w:val="00A36B37"/>
    <w:rsid w:val="00A36BEF"/>
    <w:rsid w:val="00A36CCE"/>
    <w:rsid w:val="00A36EC6"/>
    <w:rsid w:val="00A371F5"/>
    <w:rsid w:val="00A373B1"/>
    <w:rsid w:val="00A373CA"/>
    <w:rsid w:val="00A3751E"/>
    <w:rsid w:val="00A37549"/>
    <w:rsid w:val="00A3760E"/>
    <w:rsid w:val="00A37839"/>
    <w:rsid w:val="00A3786D"/>
    <w:rsid w:val="00A37955"/>
    <w:rsid w:val="00A37AC9"/>
    <w:rsid w:val="00A37CF3"/>
    <w:rsid w:val="00A37D88"/>
    <w:rsid w:val="00A37F74"/>
    <w:rsid w:val="00A37F7E"/>
    <w:rsid w:val="00A37FA8"/>
    <w:rsid w:val="00A37FD9"/>
    <w:rsid w:val="00A40047"/>
    <w:rsid w:val="00A400C1"/>
    <w:rsid w:val="00A40207"/>
    <w:rsid w:val="00A40486"/>
    <w:rsid w:val="00A40598"/>
    <w:rsid w:val="00A406AC"/>
    <w:rsid w:val="00A406D5"/>
    <w:rsid w:val="00A40917"/>
    <w:rsid w:val="00A40930"/>
    <w:rsid w:val="00A40A09"/>
    <w:rsid w:val="00A40A39"/>
    <w:rsid w:val="00A40B9C"/>
    <w:rsid w:val="00A40D07"/>
    <w:rsid w:val="00A40D5D"/>
    <w:rsid w:val="00A40DB0"/>
    <w:rsid w:val="00A40E3B"/>
    <w:rsid w:val="00A40EA7"/>
    <w:rsid w:val="00A41061"/>
    <w:rsid w:val="00A41064"/>
    <w:rsid w:val="00A410A8"/>
    <w:rsid w:val="00A41198"/>
    <w:rsid w:val="00A411FC"/>
    <w:rsid w:val="00A4122C"/>
    <w:rsid w:val="00A41248"/>
    <w:rsid w:val="00A4143B"/>
    <w:rsid w:val="00A4161F"/>
    <w:rsid w:val="00A41630"/>
    <w:rsid w:val="00A4164F"/>
    <w:rsid w:val="00A416C9"/>
    <w:rsid w:val="00A41796"/>
    <w:rsid w:val="00A417FC"/>
    <w:rsid w:val="00A418A6"/>
    <w:rsid w:val="00A41936"/>
    <w:rsid w:val="00A41B10"/>
    <w:rsid w:val="00A41B1D"/>
    <w:rsid w:val="00A41B36"/>
    <w:rsid w:val="00A41D0A"/>
    <w:rsid w:val="00A41D30"/>
    <w:rsid w:val="00A41E1C"/>
    <w:rsid w:val="00A41F72"/>
    <w:rsid w:val="00A42003"/>
    <w:rsid w:val="00A421BD"/>
    <w:rsid w:val="00A4220E"/>
    <w:rsid w:val="00A4225C"/>
    <w:rsid w:val="00A422B4"/>
    <w:rsid w:val="00A425DB"/>
    <w:rsid w:val="00A42620"/>
    <w:rsid w:val="00A42701"/>
    <w:rsid w:val="00A427B4"/>
    <w:rsid w:val="00A429F3"/>
    <w:rsid w:val="00A42CAD"/>
    <w:rsid w:val="00A42DCD"/>
    <w:rsid w:val="00A42F2F"/>
    <w:rsid w:val="00A42F68"/>
    <w:rsid w:val="00A42FBD"/>
    <w:rsid w:val="00A430CC"/>
    <w:rsid w:val="00A43154"/>
    <w:rsid w:val="00A4327E"/>
    <w:rsid w:val="00A43285"/>
    <w:rsid w:val="00A434C4"/>
    <w:rsid w:val="00A435EE"/>
    <w:rsid w:val="00A43631"/>
    <w:rsid w:val="00A4380B"/>
    <w:rsid w:val="00A4384C"/>
    <w:rsid w:val="00A43883"/>
    <w:rsid w:val="00A4389B"/>
    <w:rsid w:val="00A4395B"/>
    <w:rsid w:val="00A43AC7"/>
    <w:rsid w:val="00A43B5D"/>
    <w:rsid w:val="00A43E2E"/>
    <w:rsid w:val="00A43E5A"/>
    <w:rsid w:val="00A43EF2"/>
    <w:rsid w:val="00A43F9D"/>
    <w:rsid w:val="00A4413F"/>
    <w:rsid w:val="00A443D6"/>
    <w:rsid w:val="00A4444C"/>
    <w:rsid w:val="00A4445B"/>
    <w:rsid w:val="00A4447B"/>
    <w:rsid w:val="00A44613"/>
    <w:rsid w:val="00A44639"/>
    <w:rsid w:val="00A4472E"/>
    <w:rsid w:val="00A44748"/>
    <w:rsid w:val="00A44758"/>
    <w:rsid w:val="00A44918"/>
    <w:rsid w:val="00A44957"/>
    <w:rsid w:val="00A44CE6"/>
    <w:rsid w:val="00A44D51"/>
    <w:rsid w:val="00A452E6"/>
    <w:rsid w:val="00A452FA"/>
    <w:rsid w:val="00A45361"/>
    <w:rsid w:val="00A4538B"/>
    <w:rsid w:val="00A453A1"/>
    <w:rsid w:val="00A4543C"/>
    <w:rsid w:val="00A4551B"/>
    <w:rsid w:val="00A45709"/>
    <w:rsid w:val="00A457AA"/>
    <w:rsid w:val="00A45A99"/>
    <w:rsid w:val="00A45AB8"/>
    <w:rsid w:val="00A45BB4"/>
    <w:rsid w:val="00A45BDB"/>
    <w:rsid w:val="00A45D88"/>
    <w:rsid w:val="00A45E3D"/>
    <w:rsid w:val="00A45E4A"/>
    <w:rsid w:val="00A45E4F"/>
    <w:rsid w:val="00A46025"/>
    <w:rsid w:val="00A460F8"/>
    <w:rsid w:val="00A461B9"/>
    <w:rsid w:val="00A463A7"/>
    <w:rsid w:val="00A46430"/>
    <w:rsid w:val="00A46710"/>
    <w:rsid w:val="00A467B0"/>
    <w:rsid w:val="00A46829"/>
    <w:rsid w:val="00A4685F"/>
    <w:rsid w:val="00A46995"/>
    <w:rsid w:val="00A469AA"/>
    <w:rsid w:val="00A46A32"/>
    <w:rsid w:val="00A46B9A"/>
    <w:rsid w:val="00A46C99"/>
    <w:rsid w:val="00A46CA8"/>
    <w:rsid w:val="00A46E86"/>
    <w:rsid w:val="00A46EEF"/>
    <w:rsid w:val="00A46F41"/>
    <w:rsid w:val="00A46F8E"/>
    <w:rsid w:val="00A471AD"/>
    <w:rsid w:val="00A4725C"/>
    <w:rsid w:val="00A473E0"/>
    <w:rsid w:val="00A473FF"/>
    <w:rsid w:val="00A47449"/>
    <w:rsid w:val="00A475D7"/>
    <w:rsid w:val="00A476AA"/>
    <w:rsid w:val="00A47712"/>
    <w:rsid w:val="00A47BFA"/>
    <w:rsid w:val="00A5001D"/>
    <w:rsid w:val="00A500FC"/>
    <w:rsid w:val="00A5021A"/>
    <w:rsid w:val="00A50266"/>
    <w:rsid w:val="00A50273"/>
    <w:rsid w:val="00A50282"/>
    <w:rsid w:val="00A503B4"/>
    <w:rsid w:val="00A5040A"/>
    <w:rsid w:val="00A50499"/>
    <w:rsid w:val="00A50785"/>
    <w:rsid w:val="00A50815"/>
    <w:rsid w:val="00A508AD"/>
    <w:rsid w:val="00A5094C"/>
    <w:rsid w:val="00A509E0"/>
    <w:rsid w:val="00A50AAE"/>
    <w:rsid w:val="00A50B47"/>
    <w:rsid w:val="00A50B80"/>
    <w:rsid w:val="00A50CF4"/>
    <w:rsid w:val="00A50D30"/>
    <w:rsid w:val="00A50F41"/>
    <w:rsid w:val="00A51141"/>
    <w:rsid w:val="00A5116B"/>
    <w:rsid w:val="00A51177"/>
    <w:rsid w:val="00A5118D"/>
    <w:rsid w:val="00A511F2"/>
    <w:rsid w:val="00A512BD"/>
    <w:rsid w:val="00A51330"/>
    <w:rsid w:val="00A5169E"/>
    <w:rsid w:val="00A5181E"/>
    <w:rsid w:val="00A518FF"/>
    <w:rsid w:val="00A51908"/>
    <w:rsid w:val="00A51962"/>
    <w:rsid w:val="00A51A67"/>
    <w:rsid w:val="00A51AF3"/>
    <w:rsid w:val="00A51D97"/>
    <w:rsid w:val="00A51DAC"/>
    <w:rsid w:val="00A51EC7"/>
    <w:rsid w:val="00A51EDA"/>
    <w:rsid w:val="00A51F51"/>
    <w:rsid w:val="00A51F79"/>
    <w:rsid w:val="00A521CC"/>
    <w:rsid w:val="00A5221B"/>
    <w:rsid w:val="00A522F0"/>
    <w:rsid w:val="00A5233D"/>
    <w:rsid w:val="00A523DE"/>
    <w:rsid w:val="00A52556"/>
    <w:rsid w:val="00A526F0"/>
    <w:rsid w:val="00A52921"/>
    <w:rsid w:val="00A5295F"/>
    <w:rsid w:val="00A52A1E"/>
    <w:rsid w:val="00A52A44"/>
    <w:rsid w:val="00A52B54"/>
    <w:rsid w:val="00A52D19"/>
    <w:rsid w:val="00A52DA5"/>
    <w:rsid w:val="00A52EBB"/>
    <w:rsid w:val="00A52F56"/>
    <w:rsid w:val="00A530AA"/>
    <w:rsid w:val="00A53103"/>
    <w:rsid w:val="00A53207"/>
    <w:rsid w:val="00A532C8"/>
    <w:rsid w:val="00A533A9"/>
    <w:rsid w:val="00A533DD"/>
    <w:rsid w:val="00A53694"/>
    <w:rsid w:val="00A5372C"/>
    <w:rsid w:val="00A53808"/>
    <w:rsid w:val="00A53A00"/>
    <w:rsid w:val="00A53A28"/>
    <w:rsid w:val="00A53AD9"/>
    <w:rsid w:val="00A53B2A"/>
    <w:rsid w:val="00A53DBE"/>
    <w:rsid w:val="00A53E8B"/>
    <w:rsid w:val="00A53F4A"/>
    <w:rsid w:val="00A5413B"/>
    <w:rsid w:val="00A541AE"/>
    <w:rsid w:val="00A541BC"/>
    <w:rsid w:val="00A542E8"/>
    <w:rsid w:val="00A54342"/>
    <w:rsid w:val="00A54478"/>
    <w:rsid w:val="00A54577"/>
    <w:rsid w:val="00A545B2"/>
    <w:rsid w:val="00A545D0"/>
    <w:rsid w:val="00A546F9"/>
    <w:rsid w:val="00A5477D"/>
    <w:rsid w:val="00A54783"/>
    <w:rsid w:val="00A5478B"/>
    <w:rsid w:val="00A547A4"/>
    <w:rsid w:val="00A548B5"/>
    <w:rsid w:val="00A54914"/>
    <w:rsid w:val="00A549F0"/>
    <w:rsid w:val="00A54A6F"/>
    <w:rsid w:val="00A54B29"/>
    <w:rsid w:val="00A54C7F"/>
    <w:rsid w:val="00A54C97"/>
    <w:rsid w:val="00A54CDD"/>
    <w:rsid w:val="00A54EF4"/>
    <w:rsid w:val="00A54F71"/>
    <w:rsid w:val="00A55015"/>
    <w:rsid w:val="00A5502E"/>
    <w:rsid w:val="00A550AF"/>
    <w:rsid w:val="00A551D1"/>
    <w:rsid w:val="00A557FF"/>
    <w:rsid w:val="00A55929"/>
    <w:rsid w:val="00A55954"/>
    <w:rsid w:val="00A55B69"/>
    <w:rsid w:val="00A55CCB"/>
    <w:rsid w:val="00A55E2B"/>
    <w:rsid w:val="00A561D7"/>
    <w:rsid w:val="00A561E0"/>
    <w:rsid w:val="00A561EB"/>
    <w:rsid w:val="00A56271"/>
    <w:rsid w:val="00A563AD"/>
    <w:rsid w:val="00A563B4"/>
    <w:rsid w:val="00A56425"/>
    <w:rsid w:val="00A56426"/>
    <w:rsid w:val="00A5646D"/>
    <w:rsid w:val="00A564D5"/>
    <w:rsid w:val="00A56798"/>
    <w:rsid w:val="00A56877"/>
    <w:rsid w:val="00A5692D"/>
    <w:rsid w:val="00A56974"/>
    <w:rsid w:val="00A5698A"/>
    <w:rsid w:val="00A56B07"/>
    <w:rsid w:val="00A56BC3"/>
    <w:rsid w:val="00A56BED"/>
    <w:rsid w:val="00A56CB4"/>
    <w:rsid w:val="00A56ED6"/>
    <w:rsid w:val="00A57110"/>
    <w:rsid w:val="00A5730D"/>
    <w:rsid w:val="00A57385"/>
    <w:rsid w:val="00A57555"/>
    <w:rsid w:val="00A57586"/>
    <w:rsid w:val="00A5759C"/>
    <w:rsid w:val="00A576A9"/>
    <w:rsid w:val="00A57790"/>
    <w:rsid w:val="00A57849"/>
    <w:rsid w:val="00A578AB"/>
    <w:rsid w:val="00A579B2"/>
    <w:rsid w:val="00A57CC1"/>
    <w:rsid w:val="00A57D1C"/>
    <w:rsid w:val="00A57FFE"/>
    <w:rsid w:val="00A6017B"/>
    <w:rsid w:val="00A60195"/>
    <w:rsid w:val="00A601AE"/>
    <w:rsid w:val="00A60243"/>
    <w:rsid w:val="00A6057B"/>
    <w:rsid w:val="00A605C9"/>
    <w:rsid w:val="00A605F3"/>
    <w:rsid w:val="00A60623"/>
    <w:rsid w:val="00A60824"/>
    <w:rsid w:val="00A6082C"/>
    <w:rsid w:val="00A60858"/>
    <w:rsid w:val="00A608A3"/>
    <w:rsid w:val="00A60982"/>
    <w:rsid w:val="00A60AFC"/>
    <w:rsid w:val="00A60BC2"/>
    <w:rsid w:val="00A60DF9"/>
    <w:rsid w:val="00A60EFC"/>
    <w:rsid w:val="00A60F28"/>
    <w:rsid w:val="00A60F68"/>
    <w:rsid w:val="00A61048"/>
    <w:rsid w:val="00A61051"/>
    <w:rsid w:val="00A6105C"/>
    <w:rsid w:val="00A610E7"/>
    <w:rsid w:val="00A6112E"/>
    <w:rsid w:val="00A61143"/>
    <w:rsid w:val="00A6118D"/>
    <w:rsid w:val="00A61346"/>
    <w:rsid w:val="00A61417"/>
    <w:rsid w:val="00A615EC"/>
    <w:rsid w:val="00A61BB8"/>
    <w:rsid w:val="00A61BDE"/>
    <w:rsid w:val="00A61D57"/>
    <w:rsid w:val="00A61D58"/>
    <w:rsid w:val="00A61F3B"/>
    <w:rsid w:val="00A62114"/>
    <w:rsid w:val="00A62192"/>
    <w:rsid w:val="00A621CE"/>
    <w:rsid w:val="00A62356"/>
    <w:rsid w:val="00A62434"/>
    <w:rsid w:val="00A6244B"/>
    <w:rsid w:val="00A625F5"/>
    <w:rsid w:val="00A6266A"/>
    <w:rsid w:val="00A627F5"/>
    <w:rsid w:val="00A62872"/>
    <w:rsid w:val="00A628D4"/>
    <w:rsid w:val="00A62A63"/>
    <w:rsid w:val="00A62B74"/>
    <w:rsid w:val="00A62BE7"/>
    <w:rsid w:val="00A62C3B"/>
    <w:rsid w:val="00A62DE2"/>
    <w:rsid w:val="00A63005"/>
    <w:rsid w:val="00A63020"/>
    <w:rsid w:val="00A6303F"/>
    <w:rsid w:val="00A63087"/>
    <w:rsid w:val="00A630E6"/>
    <w:rsid w:val="00A6312A"/>
    <w:rsid w:val="00A631C3"/>
    <w:rsid w:val="00A631FD"/>
    <w:rsid w:val="00A6326E"/>
    <w:rsid w:val="00A633BD"/>
    <w:rsid w:val="00A63401"/>
    <w:rsid w:val="00A6342B"/>
    <w:rsid w:val="00A6348E"/>
    <w:rsid w:val="00A63512"/>
    <w:rsid w:val="00A6372F"/>
    <w:rsid w:val="00A637BE"/>
    <w:rsid w:val="00A63849"/>
    <w:rsid w:val="00A6392E"/>
    <w:rsid w:val="00A63AE2"/>
    <w:rsid w:val="00A63B89"/>
    <w:rsid w:val="00A63B97"/>
    <w:rsid w:val="00A63BC5"/>
    <w:rsid w:val="00A63C0C"/>
    <w:rsid w:val="00A63C79"/>
    <w:rsid w:val="00A63D89"/>
    <w:rsid w:val="00A63F2A"/>
    <w:rsid w:val="00A63FD6"/>
    <w:rsid w:val="00A6409C"/>
    <w:rsid w:val="00A640CB"/>
    <w:rsid w:val="00A64251"/>
    <w:rsid w:val="00A6426C"/>
    <w:rsid w:val="00A6426F"/>
    <w:rsid w:val="00A643B3"/>
    <w:rsid w:val="00A645C8"/>
    <w:rsid w:val="00A64658"/>
    <w:rsid w:val="00A6488B"/>
    <w:rsid w:val="00A64918"/>
    <w:rsid w:val="00A64B1B"/>
    <w:rsid w:val="00A64B8D"/>
    <w:rsid w:val="00A64C88"/>
    <w:rsid w:val="00A64CB8"/>
    <w:rsid w:val="00A64D38"/>
    <w:rsid w:val="00A64D82"/>
    <w:rsid w:val="00A64DF6"/>
    <w:rsid w:val="00A64E37"/>
    <w:rsid w:val="00A64E7E"/>
    <w:rsid w:val="00A64EA9"/>
    <w:rsid w:val="00A64F92"/>
    <w:rsid w:val="00A64FE2"/>
    <w:rsid w:val="00A65113"/>
    <w:rsid w:val="00A6526E"/>
    <w:rsid w:val="00A65294"/>
    <w:rsid w:val="00A655FD"/>
    <w:rsid w:val="00A6568E"/>
    <w:rsid w:val="00A656D5"/>
    <w:rsid w:val="00A65731"/>
    <w:rsid w:val="00A657B1"/>
    <w:rsid w:val="00A65806"/>
    <w:rsid w:val="00A658DA"/>
    <w:rsid w:val="00A658E1"/>
    <w:rsid w:val="00A65913"/>
    <w:rsid w:val="00A65B26"/>
    <w:rsid w:val="00A65E89"/>
    <w:rsid w:val="00A65EF6"/>
    <w:rsid w:val="00A65F82"/>
    <w:rsid w:val="00A66062"/>
    <w:rsid w:val="00A661CF"/>
    <w:rsid w:val="00A6620E"/>
    <w:rsid w:val="00A662D6"/>
    <w:rsid w:val="00A662EA"/>
    <w:rsid w:val="00A6642A"/>
    <w:rsid w:val="00A66442"/>
    <w:rsid w:val="00A6664B"/>
    <w:rsid w:val="00A66896"/>
    <w:rsid w:val="00A6693C"/>
    <w:rsid w:val="00A66AE9"/>
    <w:rsid w:val="00A66B10"/>
    <w:rsid w:val="00A66BA3"/>
    <w:rsid w:val="00A66BA5"/>
    <w:rsid w:val="00A66D59"/>
    <w:rsid w:val="00A66E79"/>
    <w:rsid w:val="00A66F4E"/>
    <w:rsid w:val="00A66F6F"/>
    <w:rsid w:val="00A671F0"/>
    <w:rsid w:val="00A672C2"/>
    <w:rsid w:val="00A67305"/>
    <w:rsid w:val="00A6742E"/>
    <w:rsid w:val="00A67456"/>
    <w:rsid w:val="00A67675"/>
    <w:rsid w:val="00A67766"/>
    <w:rsid w:val="00A677C2"/>
    <w:rsid w:val="00A677E4"/>
    <w:rsid w:val="00A678F9"/>
    <w:rsid w:val="00A679F4"/>
    <w:rsid w:val="00A67A6B"/>
    <w:rsid w:val="00A67A74"/>
    <w:rsid w:val="00A67AA8"/>
    <w:rsid w:val="00A67AEE"/>
    <w:rsid w:val="00A67BFB"/>
    <w:rsid w:val="00A67CF1"/>
    <w:rsid w:val="00A67D81"/>
    <w:rsid w:val="00A67EA8"/>
    <w:rsid w:val="00A70181"/>
    <w:rsid w:val="00A701E4"/>
    <w:rsid w:val="00A70210"/>
    <w:rsid w:val="00A7045E"/>
    <w:rsid w:val="00A704D9"/>
    <w:rsid w:val="00A7054C"/>
    <w:rsid w:val="00A70573"/>
    <w:rsid w:val="00A705A7"/>
    <w:rsid w:val="00A705CA"/>
    <w:rsid w:val="00A70683"/>
    <w:rsid w:val="00A7072E"/>
    <w:rsid w:val="00A707AD"/>
    <w:rsid w:val="00A708DD"/>
    <w:rsid w:val="00A7091B"/>
    <w:rsid w:val="00A70A62"/>
    <w:rsid w:val="00A70DD7"/>
    <w:rsid w:val="00A70E2C"/>
    <w:rsid w:val="00A71063"/>
    <w:rsid w:val="00A710CD"/>
    <w:rsid w:val="00A71179"/>
    <w:rsid w:val="00A71492"/>
    <w:rsid w:val="00A715C6"/>
    <w:rsid w:val="00A7167B"/>
    <w:rsid w:val="00A7168D"/>
    <w:rsid w:val="00A716C5"/>
    <w:rsid w:val="00A71786"/>
    <w:rsid w:val="00A7180F"/>
    <w:rsid w:val="00A718BA"/>
    <w:rsid w:val="00A71A42"/>
    <w:rsid w:val="00A71D8B"/>
    <w:rsid w:val="00A71DA7"/>
    <w:rsid w:val="00A71E14"/>
    <w:rsid w:val="00A71E63"/>
    <w:rsid w:val="00A71EDB"/>
    <w:rsid w:val="00A720BE"/>
    <w:rsid w:val="00A72188"/>
    <w:rsid w:val="00A721B0"/>
    <w:rsid w:val="00A72241"/>
    <w:rsid w:val="00A722C6"/>
    <w:rsid w:val="00A722F5"/>
    <w:rsid w:val="00A72420"/>
    <w:rsid w:val="00A72479"/>
    <w:rsid w:val="00A728B8"/>
    <w:rsid w:val="00A72B44"/>
    <w:rsid w:val="00A72C15"/>
    <w:rsid w:val="00A72CAA"/>
    <w:rsid w:val="00A72E3B"/>
    <w:rsid w:val="00A72ED2"/>
    <w:rsid w:val="00A730A2"/>
    <w:rsid w:val="00A730ED"/>
    <w:rsid w:val="00A73186"/>
    <w:rsid w:val="00A732F4"/>
    <w:rsid w:val="00A73382"/>
    <w:rsid w:val="00A733A3"/>
    <w:rsid w:val="00A7361E"/>
    <w:rsid w:val="00A73711"/>
    <w:rsid w:val="00A738BF"/>
    <w:rsid w:val="00A73906"/>
    <w:rsid w:val="00A73927"/>
    <w:rsid w:val="00A73A47"/>
    <w:rsid w:val="00A73A72"/>
    <w:rsid w:val="00A73DA6"/>
    <w:rsid w:val="00A73E30"/>
    <w:rsid w:val="00A73E6E"/>
    <w:rsid w:val="00A73E80"/>
    <w:rsid w:val="00A73FA8"/>
    <w:rsid w:val="00A74200"/>
    <w:rsid w:val="00A74286"/>
    <w:rsid w:val="00A744E5"/>
    <w:rsid w:val="00A74521"/>
    <w:rsid w:val="00A74794"/>
    <w:rsid w:val="00A7488E"/>
    <w:rsid w:val="00A748D6"/>
    <w:rsid w:val="00A7498E"/>
    <w:rsid w:val="00A749A1"/>
    <w:rsid w:val="00A749A7"/>
    <w:rsid w:val="00A749FC"/>
    <w:rsid w:val="00A74A3A"/>
    <w:rsid w:val="00A74A76"/>
    <w:rsid w:val="00A74AD7"/>
    <w:rsid w:val="00A74C2B"/>
    <w:rsid w:val="00A74CFA"/>
    <w:rsid w:val="00A74E00"/>
    <w:rsid w:val="00A74F05"/>
    <w:rsid w:val="00A750B0"/>
    <w:rsid w:val="00A753F6"/>
    <w:rsid w:val="00A7544B"/>
    <w:rsid w:val="00A75580"/>
    <w:rsid w:val="00A7565E"/>
    <w:rsid w:val="00A7587F"/>
    <w:rsid w:val="00A7589B"/>
    <w:rsid w:val="00A75949"/>
    <w:rsid w:val="00A75987"/>
    <w:rsid w:val="00A759F5"/>
    <w:rsid w:val="00A75A7A"/>
    <w:rsid w:val="00A75B4E"/>
    <w:rsid w:val="00A75B68"/>
    <w:rsid w:val="00A75BFE"/>
    <w:rsid w:val="00A75D3C"/>
    <w:rsid w:val="00A75D44"/>
    <w:rsid w:val="00A75E86"/>
    <w:rsid w:val="00A7634C"/>
    <w:rsid w:val="00A7641F"/>
    <w:rsid w:val="00A76453"/>
    <w:rsid w:val="00A7648A"/>
    <w:rsid w:val="00A76563"/>
    <w:rsid w:val="00A76617"/>
    <w:rsid w:val="00A766E7"/>
    <w:rsid w:val="00A76881"/>
    <w:rsid w:val="00A7689E"/>
    <w:rsid w:val="00A769DF"/>
    <w:rsid w:val="00A769F0"/>
    <w:rsid w:val="00A76BA0"/>
    <w:rsid w:val="00A76C40"/>
    <w:rsid w:val="00A76C85"/>
    <w:rsid w:val="00A76CB0"/>
    <w:rsid w:val="00A76DD7"/>
    <w:rsid w:val="00A76EB8"/>
    <w:rsid w:val="00A76F3A"/>
    <w:rsid w:val="00A770D9"/>
    <w:rsid w:val="00A7722B"/>
    <w:rsid w:val="00A77289"/>
    <w:rsid w:val="00A772F5"/>
    <w:rsid w:val="00A7749F"/>
    <w:rsid w:val="00A777C5"/>
    <w:rsid w:val="00A77B20"/>
    <w:rsid w:val="00A77BB1"/>
    <w:rsid w:val="00A77BBC"/>
    <w:rsid w:val="00A77CDD"/>
    <w:rsid w:val="00A77EAF"/>
    <w:rsid w:val="00A77F6C"/>
    <w:rsid w:val="00A800BA"/>
    <w:rsid w:val="00A800D3"/>
    <w:rsid w:val="00A8027E"/>
    <w:rsid w:val="00A80318"/>
    <w:rsid w:val="00A8039F"/>
    <w:rsid w:val="00A80554"/>
    <w:rsid w:val="00A806B0"/>
    <w:rsid w:val="00A807C9"/>
    <w:rsid w:val="00A8085D"/>
    <w:rsid w:val="00A80D89"/>
    <w:rsid w:val="00A80DEE"/>
    <w:rsid w:val="00A80EA7"/>
    <w:rsid w:val="00A80EFD"/>
    <w:rsid w:val="00A80F65"/>
    <w:rsid w:val="00A80FB9"/>
    <w:rsid w:val="00A81176"/>
    <w:rsid w:val="00A81217"/>
    <w:rsid w:val="00A81261"/>
    <w:rsid w:val="00A8165C"/>
    <w:rsid w:val="00A817E3"/>
    <w:rsid w:val="00A8181C"/>
    <w:rsid w:val="00A81907"/>
    <w:rsid w:val="00A819D5"/>
    <w:rsid w:val="00A81A02"/>
    <w:rsid w:val="00A81AE2"/>
    <w:rsid w:val="00A81CA5"/>
    <w:rsid w:val="00A81D0A"/>
    <w:rsid w:val="00A81DE4"/>
    <w:rsid w:val="00A81E21"/>
    <w:rsid w:val="00A81E22"/>
    <w:rsid w:val="00A81E84"/>
    <w:rsid w:val="00A81EED"/>
    <w:rsid w:val="00A81F52"/>
    <w:rsid w:val="00A82268"/>
    <w:rsid w:val="00A823F0"/>
    <w:rsid w:val="00A82876"/>
    <w:rsid w:val="00A828A2"/>
    <w:rsid w:val="00A828CD"/>
    <w:rsid w:val="00A82C7B"/>
    <w:rsid w:val="00A82FFD"/>
    <w:rsid w:val="00A830B3"/>
    <w:rsid w:val="00A8325B"/>
    <w:rsid w:val="00A8339A"/>
    <w:rsid w:val="00A83455"/>
    <w:rsid w:val="00A83473"/>
    <w:rsid w:val="00A834E6"/>
    <w:rsid w:val="00A83517"/>
    <w:rsid w:val="00A8354E"/>
    <w:rsid w:val="00A835EA"/>
    <w:rsid w:val="00A836AF"/>
    <w:rsid w:val="00A836DD"/>
    <w:rsid w:val="00A836FA"/>
    <w:rsid w:val="00A837F5"/>
    <w:rsid w:val="00A83820"/>
    <w:rsid w:val="00A83912"/>
    <w:rsid w:val="00A839F0"/>
    <w:rsid w:val="00A83B56"/>
    <w:rsid w:val="00A83B69"/>
    <w:rsid w:val="00A83BDD"/>
    <w:rsid w:val="00A83CE3"/>
    <w:rsid w:val="00A83D50"/>
    <w:rsid w:val="00A83DDA"/>
    <w:rsid w:val="00A83E8C"/>
    <w:rsid w:val="00A83EBD"/>
    <w:rsid w:val="00A83ED3"/>
    <w:rsid w:val="00A83FA5"/>
    <w:rsid w:val="00A83FC5"/>
    <w:rsid w:val="00A83FDC"/>
    <w:rsid w:val="00A83FE3"/>
    <w:rsid w:val="00A8406C"/>
    <w:rsid w:val="00A840E5"/>
    <w:rsid w:val="00A841BB"/>
    <w:rsid w:val="00A841F6"/>
    <w:rsid w:val="00A84530"/>
    <w:rsid w:val="00A8468C"/>
    <w:rsid w:val="00A84708"/>
    <w:rsid w:val="00A847A4"/>
    <w:rsid w:val="00A84807"/>
    <w:rsid w:val="00A84897"/>
    <w:rsid w:val="00A84942"/>
    <w:rsid w:val="00A849C7"/>
    <w:rsid w:val="00A84BB1"/>
    <w:rsid w:val="00A84C64"/>
    <w:rsid w:val="00A84DEF"/>
    <w:rsid w:val="00A84E00"/>
    <w:rsid w:val="00A84E6A"/>
    <w:rsid w:val="00A84FAE"/>
    <w:rsid w:val="00A84FD4"/>
    <w:rsid w:val="00A850F2"/>
    <w:rsid w:val="00A8510B"/>
    <w:rsid w:val="00A85220"/>
    <w:rsid w:val="00A8527D"/>
    <w:rsid w:val="00A8540E"/>
    <w:rsid w:val="00A85581"/>
    <w:rsid w:val="00A855B1"/>
    <w:rsid w:val="00A85607"/>
    <w:rsid w:val="00A8571D"/>
    <w:rsid w:val="00A8575F"/>
    <w:rsid w:val="00A857AC"/>
    <w:rsid w:val="00A8583D"/>
    <w:rsid w:val="00A8583F"/>
    <w:rsid w:val="00A85966"/>
    <w:rsid w:val="00A85A1E"/>
    <w:rsid w:val="00A85B33"/>
    <w:rsid w:val="00A85B7E"/>
    <w:rsid w:val="00A85CEE"/>
    <w:rsid w:val="00A85E2F"/>
    <w:rsid w:val="00A85F8A"/>
    <w:rsid w:val="00A86059"/>
    <w:rsid w:val="00A86189"/>
    <w:rsid w:val="00A86261"/>
    <w:rsid w:val="00A8629E"/>
    <w:rsid w:val="00A862D3"/>
    <w:rsid w:val="00A864FE"/>
    <w:rsid w:val="00A8655C"/>
    <w:rsid w:val="00A8657F"/>
    <w:rsid w:val="00A86727"/>
    <w:rsid w:val="00A86751"/>
    <w:rsid w:val="00A86968"/>
    <w:rsid w:val="00A86A72"/>
    <w:rsid w:val="00A86ABE"/>
    <w:rsid w:val="00A86BB0"/>
    <w:rsid w:val="00A86C7B"/>
    <w:rsid w:val="00A86C80"/>
    <w:rsid w:val="00A86DB2"/>
    <w:rsid w:val="00A86E08"/>
    <w:rsid w:val="00A86E8D"/>
    <w:rsid w:val="00A870B1"/>
    <w:rsid w:val="00A871B8"/>
    <w:rsid w:val="00A8722C"/>
    <w:rsid w:val="00A87427"/>
    <w:rsid w:val="00A87487"/>
    <w:rsid w:val="00A874D2"/>
    <w:rsid w:val="00A875C9"/>
    <w:rsid w:val="00A8771E"/>
    <w:rsid w:val="00A8789F"/>
    <w:rsid w:val="00A8793D"/>
    <w:rsid w:val="00A87D41"/>
    <w:rsid w:val="00A87D6C"/>
    <w:rsid w:val="00A87D8B"/>
    <w:rsid w:val="00A87E74"/>
    <w:rsid w:val="00A87F23"/>
    <w:rsid w:val="00A87FC3"/>
    <w:rsid w:val="00A901FC"/>
    <w:rsid w:val="00A90242"/>
    <w:rsid w:val="00A903E8"/>
    <w:rsid w:val="00A904E7"/>
    <w:rsid w:val="00A90760"/>
    <w:rsid w:val="00A907D1"/>
    <w:rsid w:val="00A908FA"/>
    <w:rsid w:val="00A909A6"/>
    <w:rsid w:val="00A90A8F"/>
    <w:rsid w:val="00A90B0B"/>
    <w:rsid w:val="00A90B68"/>
    <w:rsid w:val="00A90B8C"/>
    <w:rsid w:val="00A90C4F"/>
    <w:rsid w:val="00A90CF4"/>
    <w:rsid w:val="00A90EC4"/>
    <w:rsid w:val="00A90F88"/>
    <w:rsid w:val="00A91124"/>
    <w:rsid w:val="00A9113E"/>
    <w:rsid w:val="00A9119B"/>
    <w:rsid w:val="00A91252"/>
    <w:rsid w:val="00A91369"/>
    <w:rsid w:val="00A91395"/>
    <w:rsid w:val="00A91484"/>
    <w:rsid w:val="00A9156B"/>
    <w:rsid w:val="00A91590"/>
    <w:rsid w:val="00A916F4"/>
    <w:rsid w:val="00A9178F"/>
    <w:rsid w:val="00A9182A"/>
    <w:rsid w:val="00A91A70"/>
    <w:rsid w:val="00A91B8A"/>
    <w:rsid w:val="00A91BD7"/>
    <w:rsid w:val="00A91D07"/>
    <w:rsid w:val="00A91DD5"/>
    <w:rsid w:val="00A91E24"/>
    <w:rsid w:val="00A91E42"/>
    <w:rsid w:val="00A91F39"/>
    <w:rsid w:val="00A92106"/>
    <w:rsid w:val="00A922E3"/>
    <w:rsid w:val="00A9238C"/>
    <w:rsid w:val="00A92413"/>
    <w:rsid w:val="00A924CD"/>
    <w:rsid w:val="00A925A8"/>
    <w:rsid w:val="00A92620"/>
    <w:rsid w:val="00A92639"/>
    <w:rsid w:val="00A92646"/>
    <w:rsid w:val="00A92845"/>
    <w:rsid w:val="00A92869"/>
    <w:rsid w:val="00A928DC"/>
    <w:rsid w:val="00A929FC"/>
    <w:rsid w:val="00A92B43"/>
    <w:rsid w:val="00A92C61"/>
    <w:rsid w:val="00A92CA4"/>
    <w:rsid w:val="00A92DDA"/>
    <w:rsid w:val="00A92E03"/>
    <w:rsid w:val="00A92F50"/>
    <w:rsid w:val="00A92F5B"/>
    <w:rsid w:val="00A92F89"/>
    <w:rsid w:val="00A93002"/>
    <w:rsid w:val="00A931DD"/>
    <w:rsid w:val="00A933BA"/>
    <w:rsid w:val="00A934DA"/>
    <w:rsid w:val="00A93565"/>
    <w:rsid w:val="00A93685"/>
    <w:rsid w:val="00A93775"/>
    <w:rsid w:val="00A93796"/>
    <w:rsid w:val="00A93A69"/>
    <w:rsid w:val="00A93CC4"/>
    <w:rsid w:val="00A93D92"/>
    <w:rsid w:val="00A93E6E"/>
    <w:rsid w:val="00A93EC9"/>
    <w:rsid w:val="00A93F24"/>
    <w:rsid w:val="00A93FF7"/>
    <w:rsid w:val="00A9400A"/>
    <w:rsid w:val="00A940FF"/>
    <w:rsid w:val="00A9413C"/>
    <w:rsid w:val="00A94158"/>
    <w:rsid w:val="00A941E4"/>
    <w:rsid w:val="00A94372"/>
    <w:rsid w:val="00A9449D"/>
    <w:rsid w:val="00A944EA"/>
    <w:rsid w:val="00A94C35"/>
    <w:rsid w:val="00A94C87"/>
    <w:rsid w:val="00A94D18"/>
    <w:rsid w:val="00A94FC1"/>
    <w:rsid w:val="00A94FF2"/>
    <w:rsid w:val="00A95246"/>
    <w:rsid w:val="00A95483"/>
    <w:rsid w:val="00A95646"/>
    <w:rsid w:val="00A95814"/>
    <w:rsid w:val="00A958E3"/>
    <w:rsid w:val="00A9591D"/>
    <w:rsid w:val="00A95A7C"/>
    <w:rsid w:val="00A95B71"/>
    <w:rsid w:val="00A95BF4"/>
    <w:rsid w:val="00A95D1D"/>
    <w:rsid w:val="00A95D39"/>
    <w:rsid w:val="00A95D50"/>
    <w:rsid w:val="00A95D92"/>
    <w:rsid w:val="00A95ED4"/>
    <w:rsid w:val="00A95F8D"/>
    <w:rsid w:val="00A95FE9"/>
    <w:rsid w:val="00A96131"/>
    <w:rsid w:val="00A9615F"/>
    <w:rsid w:val="00A96173"/>
    <w:rsid w:val="00A962D9"/>
    <w:rsid w:val="00A9632D"/>
    <w:rsid w:val="00A96460"/>
    <w:rsid w:val="00A9683F"/>
    <w:rsid w:val="00A968AF"/>
    <w:rsid w:val="00A96CD8"/>
    <w:rsid w:val="00A96CE6"/>
    <w:rsid w:val="00A96F3A"/>
    <w:rsid w:val="00A96F53"/>
    <w:rsid w:val="00A97100"/>
    <w:rsid w:val="00A9719F"/>
    <w:rsid w:val="00A9733C"/>
    <w:rsid w:val="00A973CB"/>
    <w:rsid w:val="00A974F7"/>
    <w:rsid w:val="00A976F1"/>
    <w:rsid w:val="00A97794"/>
    <w:rsid w:val="00A977A7"/>
    <w:rsid w:val="00A978CA"/>
    <w:rsid w:val="00A979A4"/>
    <w:rsid w:val="00A97A14"/>
    <w:rsid w:val="00A97A18"/>
    <w:rsid w:val="00A97A4C"/>
    <w:rsid w:val="00A97A82"/>
    <w:rsid w:val="00A97A97"/>
    <w:rsid w:val="00A97AB8"/>
    <w:rsid w:val="00A97B47"/>
    <w:rsid w:val="00A97C6D"/>
    <w:rsid w:val="00A97E1D"/>
    <w:rsid w:val="00A97E4B"/>
    <w:rsid w:val="00A97EE4"/>
    <w:rsid w:val="00A97EEA"/>
    <w:rsid w:val="00A97F98"/>
    <w:rsid w:val="00A97F99"/>
    <w:rsid w:val="00AA0003"/>
    <w:rsid w:val="00AA0119"/>
    <w:rsid w:val="00AA0245"/>
    <w:rsid w:val="00AA0296"/>
    <w:rsid w:val="00AA029F"/>
    <w:rsid w:val="00AA02BD"/>
    <w:rsid w:val="00AA02CB"/>
    <w:rsid w:val="00AA05CF"/>
    <w:rsid w:val="00AA0903"/>
    <w:rsid w:val="00AA09D0"/>
    <w:rsid w:val="00AA0B22"/>
    <w:rsid w:val="00AA0BB3"/>
    <w:rsid w:val="00AA0C1B"/>
    <w:rsid w:val="00AA1043"/>
    <w:rsid w:val="00AA10D1"/>
    <w:rsid w:val="00AA12A0"/>
    <w:rsid w:val="00AA12C9"/>
    <w:rsid w:val="00AA1504"/>
    <w:rsid w:val="00AA173F"/>
    <w:rsid w:val="00AA189A"/>
    <w:rsid w:val="00AA1A49"/>
    <w:rsid w:val="00AA1ACE"/>
    <w:rsid w:val="00AA1B0C"/>
    <w:rsid w:val="00AA1BBB"/>
    <w:rsid w:val="00AA1C76"/>
    <w:rsid w:val="00AA1D42"/>
    <w:rsid w:val="00AA1F5D"/>
    <w:rsid w:val="00AA2219"/>
    <w:rsid w:val="00AA235D"/>
    <w:rsid w:val="00AA23AB"/>
    <w:rsid w:val="00AA245B"/>
    <w:rsid w:val="00AA251B"/>
    <w:rsid w:val="00AA262A"/>
    <w:rsid w:val="00AA266F"/>
    <w:rsid w:val="00AA26CF"/>
    <w:rsid w:val="00AA26D9"/>
    <w:rsid w:val="00AA2808"/>
    <w:rsid w:val="00AA280D"/>
    <w:rsid w:val="00AA28DA"/>
    <w:rsid w:val="00AA2971"/>
    <w:rsid w:val="00AA2A41"/>
    <w:rsid w:val="00AA2A83"/>
    <w:rsid w:val="00AA2AE0"/>
    <w:rsid w:val="00AA2B2B"/>
    <w:rsid w:val="00AA2B3A"/>
    <w:rsid w:val="00AA2C0A"/>
    <w:rsid w:val="00AA2C8B"/>
    <w:rsid w:val="00AA2CFD"/>
    <w:rsid w:val="00AA2D51"/>
    <w:rsid w:val="00AA2DA3"/>
    <w:rsid w:val="00AA2EB4"/>
    <w:rsid w:val="00AA307D"/>
    <w:rsid w:val="00AA30A9"/>
    <w:rsid w:val="00AA3144"/>
    <w:rsid w:val="00AA3188"/>
    <w:rsid w:val="00AA330C"/>
    <w:rsid w:val="00AA33D9"/>
    <w:rsid w:val="00AA3498"/>
    <w:rsid w:val="00AA3520"/>
    <w:rsid w:val="00AA3562"/>
    <w:rsid w:val="00AA3634"/>
    <w:rsid w:val="00AA38E3"/>
    <w:rsid w:val="00AA3984"/>
    <w:rsid w:val="00AA3B52"/>
    <w:rsid w:val="00AA3BB4"/>
    <w:rsid w:val="00AA3C04"/>
    <w:rsid w:val="00AA3D38"/>
    <w:rsid w:val="00AA3DF7"/>
    <w:rsid w:val="00AA3E9C"/>
    <w:rsid w:val="00AA3EAB"/>
    <w:rsid w:val="00AA3EC8"/>
    <w:rsid w:val="00AA3EF2"/>
    <w:rsid w:val="00AA4099"/>
    <w:rsid w:val="00AA4130"/>
    <w:rsid w:val="00AA4175"/>
    <w:rsid w:val="00AA421A"/>
    <w:rsid w:val="00AA425C"/>
    <w:rsid w:val="00AA42D9"/>
    <w:rsid w:val="00AA43CF"/>
    <w:rsid w:val="00AA43D8"/>
    <w:rsid w:val="00AA43FD"/>
    <w:rsid w:val="00AA4496"/>
    <w:rsid w:val="00AA44CC"/>
    <w:rsid w:val="00AA44F4"/>
    <w:rsid w:val="00AA46A7"/>
    <w:rsid w:val="00AA46A8"/>
    <w:rsid w:val="00AA46DA"/>
    <w:rsid w:val="00AA4848"/>
    <w:rsid w:val="00AA49CC"/>
    <w:rsid w:val="00AA4A4A"/>
    <w:rsid w:val="00AA4BDD"/>
    <w:rsid w:val="00AA4DB1"/>
    <w:rsid w:val="00AA4DB5"/>
    <w:rsid w:val="00AA4E9B"/>
    <w:rsid w:val="00AA4FF8"/>
    <w:rsid w:val="00AA504C"/>
    <w:rsid w:val="00AA5074"/>
    <w:rsid w:val="00AA50A0"/>
    <w:rsid w:val="00AA50BF"/>
    <w:rsid w:val="00AA50E4"/>
    <w:rsid w:val="00AA52E1"/>
    <w:rsid w:val="00AA5350"/>
    <w:rsid w:val="00AA5392"/>
    <w:rsid w:val="00AA53AF"/>
    <w:rsid w:val="00AA5465"/>
    <w:rsid w:val="00AA55AE"/>
    <w:rsid w:val="00AA561D"/>
    <w:rsid w:val="00AA5647"/>
    <w:rsid w:val="00AA564E"/>
    <w:rsid w:val="00AA578A"/>
    <w:rsid w:val="00AA5895"/>
    <w:rsid w:val="00AA58E2"/>
    <w:rsid w:val="00AA5978"/>
    <w:rsid w:val="00AA59DA"/>
    <w:rsid w:val="00AA5AFA"/>
    <w:rsid w:val="00AA5B97"/>
    <w:rsid w:val="00AA5BBE"/>
    <w:rsid w:val="00AA5BF1"/>
    <w:rsid w:val="00AA5CB4"/>
    <w:rsid w:val="00AA5D94"/>
    <w:rsid w:val="00AA609A"/>
    <w:rsid w:val="00AA60C5"/>
    <w:rsid w:val="00AA60FA"/>
    <w:rsid w:val="00AA6139"/>
    <w:rsid w:val="00AA61C2"/>
    <w:rsid w:val="00AA62D2"/>
    <w:rsid w:val="00AA646C"/>
    <w:rsid w:val="00AA648B"/>
    <w:rsid w:val="00AA6529"/>
    <w:rsid w:val="00AA65AC"/>
    <w:rsid w:val="00AA6674"/>
    <w:rsid w:val="00AA677E"/>
    <w:rsid w:val="00AA69D0"/>
    <w:rsid w:val="00AA69FE"/>
    <w:rsid w:val="00AA6BCE"/>
    <w:rsid w:val="00AA6CA9"/>
    <w:rsid w:val="00AA6CC2"/>
    <w:rsid w:val="00AA7142"/>
    <w:rsid w:val="00AA71F4"/>
    <w:rsid w:val="00AA72B3"/>
    <w:rsid w:val="00AA72B5"/>
    <w:rsid w:val="00AA7403"/>
    <w:rsid w:val="00AA7422"/>
    <w:rsid w:val="00AA75F2"/>
    <w:rsid w:val="00AA762B"/>
    <w:rsid w:val="00AA7843"/>
    <w:rsid w:val="00AA7939"/>
    <w:rsid w:val="00AA7950"/>
    <w:rsid w:val="00AA7B0D"/>
    <w:rsid w:val="00AA7BB8"/>
    <w:rsid w:val="00AA7E2F"/>
    <w:rsid w:val="00AA7EEE"/>
    <w:rsid w:val="00AA7F96"/>
    <w:rsid w:val="00AB001B"/>
    <w:rsid w:val="00AB004E"/>
    <w:rsid w:val="00AB0082"/>
    <w:rsid w:val="00AB00B8"/>
    <w:rsid w:val="00AB0464"/>
    <w:rsid w:val="00AB0578"/>
    <w:rsid w:val="00AB05AE"/>
    <w:rsid w:val="00AB0628"/>
    <w:rsid w:val="00AB068D"/>
    <w:rsid w:val="00AB0721"/>
    <w:rsid w:val="00AB0752"/>
    <w:rsid w:val="00AB07B2"/>
    <w:rsid w:val="00AB0828"/>
    <w:rsid w:val="00AB0863"/>
    <w:rsid w:val="00AB090E"/>
    <w:rsid w:val="00AB0B3D"/>
    <w:rsid w:val="00AB0CFA"/>
    <w:rsid w:val="00AB0DB1"/>
    <w:rsid w:val="00AB0DD4"/>
    <w:rsid w:val="00AB0F88"/>
    <w:rsid w:val="00AB1014"/>
    <w:rsid w:val="00AB101D"/>
    <w:rsid w:val="00AB1142"/>
    <w:rsid w:val="00AB1222"/>
    <w:rsid w:val="00AB12BC"/>
    <w:rsid w:val="00AB1394"/>
    <w:rsid w:val="00AB1479"/>
    <w:rsid w:val="00AB1509"/>
    <w:rsid w:val="00AB154E"/>
    <w:rsid w:val="00AB1555"/>
    <w:rsid w:val="00AB1677"/>
    <w:rsid w:val="00AB1716"/>
    <w:rsid w:val="00AB1A2E"/>
    <w:rsid w:val="00AB1A86"/>
    <w:rsid w:val="00AB1D39"/>
    <w:rsid w:val="00AB1D79"/>
    <w:rsid w:val="00AB1E61"/>
    <w:rsid w:val="00AB1F66"/>
    <w:rsid w:val="00AB1F6E"/>
    <w:rsid w:val="00AB201D"/>
    <w:rsid w:val="00AB201E"/>
    <w:rsid w:val="00AB219D"/>
    <w:rsid w:val="00AB2355"/>
    <w:rsid w:val="00AB241D"/>
    <w:rsid w:val="00AB24EE"/>
    <w:rsid w:val="00AB250F"/>
    <w:rsid w:val="00AB26CB"/>
    <w:rsid w:val="00AB26EA"/>
    <w:rsid w:val="00AB2727"/>
    <w:rsid w:val="00AB2768"/>
    <w:rsid w:val="00AB2810"/>
    <w:rsid w:val="00AB28C2"/>
    <w:rsid w:val="00AB29A4"/>
    <w:rsid w:val="00AB29D9"/>
    <w:rsid w:val="00AB2A02"/>
    <w:rsid w:val="00AB2C0B"/>
    <w:rsid w:val="00AB2C46"/>
    <w:rsid w:val="00AB2CFD"/>
    <w:rsid w:val="00AB2D8E"/>
    <w:rsid w:val="00AB2DC3"/>
    <w:rsid w:val="00AB2DE7"/>
    <w:rsid w:val="00AB2E7E"/>
    <w:rsid w:val="00AB2EC8"/>
    <w:rsid w:val="00AB2FE4"/>
    <w:rsid w:val="00AB3017"/>
    <w:rsid w:val="00AB3047"/>
    <w:rsid w:val="00AB305E"/>
    <w:rsid w:val="00AB3278"/>
    <w:rsid w:val="00AB3359"/>
    <w:rsid w:val="00AB338C"/>
    <w:rsid w:val="00AB3569"/>
    <w:rsid w:val="00AB37EC"/>
    <w:rsid w:val="00AB3911"/>
    <w:rsid w:val="00AB3A1B"/>
    <w:rsid w:val="00AB3AE4"/>
    <w:rsid w:val="00AB3B07"/>
    <w:rsid w:val="00AB3C18"/>
    <w:rsid w:val="00AB3E82"/>
    <w:rsid w:val="00AB3FBD"/>
    <w:rsid w:val="00AB407A"/>
    <w:rsid w:val="00AB40A9"/>
    <w:rsid w:val="00AB4344"/>
    <w:rsid w:val="00AB4562"/>
    <w:rsid w:val="00AB47DC"/>
    <w:rsid w:val="00AB47F1"/>
    <w:rsid w:val="00AB48A9"/>
    <w:rsid w:val="00AB4923"/>
    <w:rsid w:val="00AB495C"/>
    <w:rsid w:val="00AB4A30"/>
    <w:rsid w:val="00AB4AD8"/>
    <w:rsid w:val="00AB4B16"/>
    <w:rsid w:val="00AB4B26"/>
    <w:rsid w:val="00AB4B6B"/>
    <w:rsid w:val="00AB4D6A"/>
    <w:rsid w:val="00AB4DB6"/>
    <w:rsid w:val="00AB4E99"/>
    <w:rsid w:val="00AB4EB6"/>
    <w:rsid w:val="00AB50A2"/>
    <w:rsid w:val="00AB50D3"/>
    <w:rsid w:val="00AB51FD"/>
    <w:rsid w:val="00AB529B"/>
    <w:rsid w:val="00AB52CE"/>
    <w:rsid w:val="00AB539A"/>
    <w:rsid w:val="00AB53BB"/>
    <w:rsid w:val="00AB5570"/>
    <w:rsid w:val="00AB5646"/>
    <w:rsid w:val="00AB564E"/>
    <w:rsid w:val="00AB56B1"/>
    <w:rsid w:val="00AB5B9D"/>
    <w:rsid w:val="00AB5C79"/>
    <w:rsid w:val="00AB5CA9"/>
    <w:rsid w:val="00AB5D68"/>
    <w:rsid w:val="00AB6389"/>
    <w:rsid w:val="00AB6418"/>
    <w:rsid w:val="00AB661E"/>
    <w:rsid w:val="00AB6704"/>
    <w:rsid w:val="00AB67DF"/>
    <w:rsid w:val="00AB68FE"/>
    <w:rsid w:val="00AB69C3"/>
    <w:rsid w:val="00AB6A32"/>
    <w:rsid w:val="00AB6A4C"/>
    <w:rsid w:val="00AB6BAB"/>
    <w:rsid w:val="00AB6C60"/>
    <w:rsid w:val="00AB6D91"/>
    <w:rsid w:val="00AB6E4A"/>
    <w:rsid w:val="00AB6E72"/>
    <w:rsid w:val="00AB7029"/>
    <w:rsid w:val="00AB736E"/>
    <w:rsid w:val="00AB73C2"/>
    <w:rsid w:val="00AB747D"/>
    <w:rsid w:val="00AB758A"/>
    <w:rsid w:val="00AB7779"/>
    <w:rsid w:val="00AB77AD"/>
    <w:rsid w:val="00AB77C8"/>
    <w:rsid w:val="00AB77D2"/>
    <w:rsid w:val="00AB781F"/>
    <w:rsid w:val="00AB787D"/>
    <w:rsid w:val="00AB78E6"/>
    <w:rsid w:val="00AB7954"/>
    <w:rsid w:val="00AB7A02"/>
    <w:rsid w:val="00AB7A80"/>
    <w:rsid w:val="00AB7B0E"/>
    <w:rsid w:val="00AC00E9"/>
    <w:rsid w:val="00AC01F2"/>
    <w:rsid w:val="00AC0236"/>
    <w:rsid w:val="00AC02C3"/>
    <w:rsid w:val="00AC0334"/>
    <w:rsid w:val="00AC05D7"/>
    <w:rsid w:val="00AC0631"/>
    <w:rsid w:val="00AC06A2"/>
    <w:rsid w:val="00AC06E5"/>
    <w:rsid w:val="00AC0734"/>
    <w:rsid w:val="00AC09DE"/>
    <w:rsid w:val="00AC0ADB"/>
    <w:rsid w:val="00AC0B25"/>
    <w:rsid w:val="00AC0B64"/>
    <w:rsid w:val="00AC0EF2"/>
    <w:rsid w:val="00AC0F08"/>
    <w:rsid w:val="00AC0FEE"/>
    <w:rsid w:val="00AC103C"/>
    <w:rsid w:val="00AC11C7"/>
    <w:rsid w:val="00AC1270"/>
    <w:rsid w:val="00AC128F"/>
    <w:rsid w:val="00AC13E6"/>
    <w:rsid w:val="00AC145F"/>
    <w:rsid w:val="00AC14C5"/>
    <w:rsid w:val="00AC14E9"/>
    <w:rsid w:val="00AC156E"/>
    <w:rsid w:val="00AC1576"/>
    <w:rsid w:val="00AC15B4"/>
    <w:rsid w:val="00AC1611"/>
    <w:rsid w:val="00AC161D"/>
    <w:rsid w:val="00AC168E"/>
    <w:rsid w:val="00AC1742"/>
    <w:rsid w:val="00AC17BF"/>
    <w:rsid w:val="00AC182B"/>
    <w:rsid w:val="00AC1A5F"/>
    <w:rsid w:val="00AC1B88"/>
    <w:rsid w:val="00AC1D6C"/>
    <w:rsid w:val="00AC1D7A"/>
    <w:rsid w:val="00AC1DE5"/>
    <w:rsid w:val="00AC1EA6"/>
    <w:rsid w:val="00AC1FF4"/>
    <w:rsid w:val="00AC218F"/>
    <w:rsid w:val="00AC2285"/>
    <w:rsid w:val="00AC229A"/>
    <w:rsid w:val="00AC22FC"/>
    <w:rsid w:val="00AC2331"/>
    <w:rsid w:val="00AC24AF"/>
    <w:rsid w:val="00AC25D5"/>
    <w:rsid w:val="00AC2686"/>
    <w:rsid w:val="00AC26AE"/>
    <w:rsid w:val="00AC26C5"/>
    <w:rsid w:val="00AC272C"/>
    <w:rsid w:val="00AC2828"/>
    <w:rsid w:val="00AC285E"/>
    <w:rsid w:val="00AC28F2"/>
    <w:rsid w:val="00AC2C44"/>
    <w:rsid w:val="00AC3084"/>
    <w:rsid w:val="00AC30D4"/>
    <w:rsid w:val="00AC31C3"/>
    <w:rsid w:val="00AC32A8"/>
    <w:rsid w:val="00AC33CA"/>
    <w:rsid w:val="00AC3501"/>
    <w:rsid w:val="00AC350B"/>
    <w:rsid w:val="00AC36D9"/>
    <w:rsid w:val="00AC3711"/>
    <w:rsid w:val="00AC3715"/>
    <w:rsid w:val="00AC37FB"/>
    <w:rsid w:val="00AC399A"/>
    <w:rsid w:val="00AC3A8E"/>
    <w:rsid w:val="00AC3AFA"/>
    <w:rsid w:val="00AC3C68"/>
    <w:rsid w:val="00AC3CB6"/>
    <w:rsid w:val="00AC3E9A"/>
    <w:rsid w:val="00AC3ED5"/>
    <w:rsid w:val="00AC3EFF"/>
    <w:rsid w:val="00AC3F3B"/>
    <w:rsid w:val="00AC3F5E"/>
    <w:rsid w:val="00AC4042"/>
    <w:rsid w:val="00AC4329"/>
    <w:rsid w:val="00AC435A"/>
    <w:rsid w:val="00AC43E2"/>
    <w:rsid w:val="00AC451F"/>
    <w:rsid w:val="00AC46AD"/>
    <w:rsid w:val="00AC46B8"/>
    <w:rsid w:val="00AC48C8"/>
    <w:rsid w:val="00AC4976"/>
    <w:rsid w:val="00AC4A25"/>
    <w:rsid w:val="00AC4A55"/>
    <w:rsid w:val="00AC4ABD"/>
    <w:rsid w:val="00AC4B82"/>
    <w:rsid w:val="00AC4D79"/>
    <w:rsid w:val="00AC501B"/>
    <w:rsid w:val="00AC536D"/>
    <w:rsid w:val="00AC537E"/>
    <w:rsid w:val="00AC54C8"/>
    <w:rsid w:val="00AC54EE"/>
    <w:rsid w:val="00AC5608"/>
    <w:rsid w:val="00AC591A"/>
    <w:rsid w:val="00AC59C6"/>
    <w:rsid w:val="00AC5AE2"/>
    <w:rsid w:val="00AC5AF4"/>
    <w:rsid w:val="00AC5BAA"/>
    <w:rsid w:val="00AC5C47"/>
    <w:rsid w:val="00AC5C88"/>
    <w:rsid w:val="00AC5DAC"/>
    <w:rsid w:val="00AC5E28"/>
    <w:rsid w:val="00AC5E77"/>
    <w:rsid w:val="00AC5F9B"/>
    <w:rsid w:val="00AC616F"/>
    <w:rsid w:val="00AC61AB"/>
    <w:rsid w:val="00AC61C5"/>
    <w:rsid w:val="00AC61E1"/>
    <w:rsid w:val="00AC6392"/>
    <w:rsid w:val="00AC639B"/>
    <w:rsid w:val="00AC640C"/>
    <w:rsid w:val="00AC66A6"/>
    <w:rsid w:val="00AC6864"/>
    <w:rsid w:val="00AC68AD"/>
    <w:rsid w:val="00AC6A57"/>
    <w:rsid w:val="00AC6B48"/>
    <w:rsid w:val="00AC6E47"/>
    <w:rsid w:val="00AC6FA5"/>
    <w:rsid w:val="00AC70CE"/>
    <w:rsid w:val="00AC71FD"/>
    <w:rsid w:val="00AC742E"/>
    <w:rsid w:val="00AC7653"/>
    <w:rsid w:val="00AC7756"/>
    <w:rsid w:val="00AC78E7"/>
    <w:rsid w:val="00AC7965"/>
    <w:rsid w:val="00AC798B"/>
    <w:rsid w:val="00AC7A2C"/>
    <w:rsid w:val="00AC7B70"/>
    <w:rsid w:val="00AC7BD5"/>
    <w:rsid w:val="00AC7CCF"/>
    <w:rsid w:val="00AC7E0D"/>
    <w:rsid w:val="00AC7ED6"/>
    <w:rsid w:val="00AC7EE7"/>
    <w:rsid w:val="00AC7F7C"/>
    <w:rsid w:val="00AD0026"/>
    <w:rsid w:val="00AD0139"/>
    <w:rsid w:val="00AD026E"/>
    <w:rsid w:val="00AD02E7"/>
    <w:rsid w:val="00AD044E"/>
    <w:rsid w:val="00AD04BF"/>
    <w:rsid w:val="00AD04DE"/>
    <w:rsid w:val="00AD067D"/>
    <w:rsid w:val="00AD0731"/>
    <w:rsid w:val="00AD0900"/>
    <w:rsid w:val="00AD0A8B"/>
    <w:rsid w:val="00AD0C1D"/>
    <w:rsid w:val="00AD0D94"/>
    <w:rsid w:val="00AD0F22"/>
    <w:rsid w:val="00AD0FA9"/>
    <w:rsid w:val="00AD100A"/>
    <w:rsid w:val="00AD106D"/>
    <w:rsid w:val="00AD1072"/>
    <w:rsid w:val="00AD1082"/>
    <w:rsid w:val="00AD1135"/>
    <w:rsid w:val="00AD124E"/>
    <w:rsid w:val="00AD1466"/>
    <w:rsid w:val="00AD155B"/>
    <w:rsid w:val="00AD167B"/>
    <w:rsid w:val="00AD1792"/>
    <w:rsid w:val="00AD1901"/>
    <w:rsid w:val="00AD1924"/>
    <w:rsid w:val="00AD1A38"/>
    <w:rsid w:val="00AD1C1D"/>
    <w:rsid w:val="00AD1C5A"/>
    <w:rsid w:val="00AD1CDB"/>
    <w:rsid w:val="00AD1D51"/>
    <w:rsid w:val="00AD202B"/>
    <w:rsid w:val="00AD208F"/>
    <w:rsid w:val="00AD212D"/>
    <w:rsid w:val="00AD213B"/>
    <w:rsid w:val="00AD2176"/>
    <w:rsid w:val="00AD222B"/>
    <w:rsid w:val="00AD2311"/>
    <w:rsid w:val="00AD2390"/>
    <w:rsid w:val="00AD23D2"/>
    <w:rsid w:val="00AD2445"/>
    <w:rsid w:val="00AD25F1"/>
    <w:rsid w:val="00AD26E2"/>
    <w:rsid w:val="00AD2A56"/>
    <w:rsid w:val="00AD2AE1"/>
    <w:rsid w:val="00AD2B1F"/>
    <w:rsid w:val="00AD2B88"/>
    <w:rsid w:val="00AD2C07"/>
    <w:rsid w:val="00AD2C72"/>
    <w:rsid w:val="00AD2CCE"/>
    <w:rsid w:val="00AD2D59"/>
    <w:rsid w:val="00AD2EA7"/>
    <w:rsid w:val="00AD2ECF"/>
    <w:rsid w:val="00AD2FA5"/>
    <w:rsid w:val="00AD3027"/>
    <w:rsid w:val="00AD303B"/>
    <w:rsid w:val="00AD30A5"/>
    <w:rsid w:val="00AD30DC"/>
    <w:rsid w:val="00AD3477"/>
    <w:rsid w:val="00AD3570"/>
    <w:rsid w:val="00AD36CF"/>
    <w:rsid w:val="00AD373B"/>
    <w:rsid w:val="00AD374B"/>
    <w:rsid w:val="00AD378B"/>
    <w:rsid w:val="00AD3826"/>
    <w:rsid w:val="00AD3A68"/>
    <w:rsid w:val="00AD3D3B"/>
    <w:rsid w:val="00AD3F59"/>
    <w:rsid w:val="00AD3F5B"/>
    <w:rsid w:val="00AD3F99"/>
    <w:rsid w:val="00AD3FE3"/>
    <w:rsid w:val="00AD4015"/>
    <w:rsid w:val="00AD4129"/>
    <w:rsid w:val="00AD42F1"/>
    <w:rsid w:val="00AD43BD"/>
    <w:rsid w:val="00AD44D5"/>
    <w:rsid w:val="00AD452D"/>
    <w:rsid w:val="00AD454B"/>
    <w:rsid w:val="00AD4573"/>
    <w:rsid w:val="00AD45CA"/>
    <w:rsid w:val="00AD45F9"/>
    <w:rsid w:val="00AD465C"/>
    <w:rsid w:val="00AD4730"/>
    <w:rsid w:val="00AD4A79"/>
    <w:rsid w:val="00AD4BF4"/>
    <w:rsid w:val="00AD4CD6"/>
    <w:rsid w:val="00AD4DC8"/>
    <w:rsid w:val="00AD4F00"/>
    <w:rsid w:val="00AD4FFD"/>
    <w:rsid w:val="00AD50BF"/>
    <w:rsid w:val="00AD5312"/>
    <w:rsid w:val="00AD5352"/>
    <w:rsid w:val="00AD54DC"/>
    <w:rsid w:val="00AD5593"/>
    <w:rsid w:val="00AD559A"/>
    <w:rsid w:val="00AD564E"/>
    <w:rsid w:val="00AD5670"/>
    <w:rsid w:val="00AD5999"/>
    <w:rsid w:val="00AD5BC7"/>
    <w:rsid w:val="00AD5DC5"/>
    <w:rsid w:val="00AD5F05"/>
    <w:rsid w:val="00AD6345"/>
    <w:rsid w:val="00AD6369"/>
    <w:rsid w:val="00AD66A1"/>
    <w:rsid w:val="00AD66EF"/>
    <w:rsid w:val="00AD6903"/>
    <w:rsid w:val="00AD6BAE"/>
    <w:rsid w:val="00AD6BC2"/>
    <w:rsid w:val="00AD6C63"/>
    <w:rsid w:val="00AD6C65"/>
    <w:rsid w:val="00AD6DCC"/>
    <w:rsid w:val="00AD6EB7"/>
    <w:rsid w:val="00AD7081"/>
    <w:rsid w:val="00AD7146"/>
    <w:rsid w:val="00AD7156"/>
    <w:rsid w:val="00AD7186"/>
    <w:rsid w:val="00AD7296"/>
    <w:rsid w:val="00AD74B0"/>
    <w:rsid w:val="00AD7510"/>
    <w:rsid w:val="00AD77C4"/>
    <w:rsid w:val="00AD799F"/>
    <w:rsid w:val="00AD7AA0"/>
    <w:rsid w:val="00AD7B2C"/>
    <w:rsid w:val="00AD7B40"/>
    <w:rsid w:val="00AD7BA4"/>
    <w:rsid w:val="00AD7BF0"/>
    <w:rsid w:val="00AD7CD4"/>
    <w:rsid w:val="00AD7CEB"/>
    <w:rsid w:val="00AD7EAE"/>
    <w:rsid w:val="00AD7EB9"/>
    <w:rsid w:val="00AD7F39"/>
    <w:rsid w:val="00AD7FF4"/>
    <w:rsid w:val="00AE002E"/>
    <w:rsid w:val="00AE02C8"/>
    <w:rsid w:val="00AE0309"/>
    <w:rsid w:val="00AE0380"/>
    <w:rsid w:val="00AE0475"/>
    <w:rsid w:val="00AE057F"/>
    <w:rsid w:val="00AE05E5"/>
    <w:rsid w:val="00AE0637"/>
    <w:rsid w:val="00AE07AB"/>
    <w:rsid w:val="00AE088F"/>
    <w:rsid w:val="00AE08F3"/>
    <w:rsid w:val="00AE09C6"/>
    <w:rsid w:val="00AE0A8E"/>
    <w:rsid w:val="00AE0B51"/>
    <w:rsid w:val="00AE0B5B"/>
    <w:rsid w:val="00AE0BDB"/>
    <w:rsid w:val="00AE0C4A"/>
    <w:rsid w:val="00AE0DC0"/>
    <w:rsid w:val="00AE0DC7"/>
    <w:rsid w:val="00AE117E"/>
    <w:rsid w:val="00AE1298"/>
    <w:rsid w:val="00AE12A1"/>
    <w:rsid w:val="00AE130B"/>
    <w:rsid w:val="00AE13FB"/>
    <w:rsid w:val="00AE1711"/>
    <w:rsid w:val="00AE180B"/>
    <w:rsid w:val="00AE191D"/>
    <w:rsid w:val="00AE1A46"/>
    <w:rsid w:val="00AE1A94"/>
    <w:rsid w:val="00AE1ACE"/>
    <w:rsid w:val="00AE1B73"/>
    <w:rsid w:val="00AE1B8A"/>
    <w:rsid w:val="00AE1C6A"/>
    <w:rsid w:val="00AE1D4B"/>
    <w:rsid w:val="00AE1E2B"/>
    <w:rsid w:val="00AE1E72"/>
    <w:rsid w:val="00AE1EA8"/>
    <w:rsid w:val="00AE1EC1"/>
    <w:rsid w:val="00AE1FA4"/>
    <w:rsid w:val="00AE1FC5"/>
    <w:rsid w:val="00AE21A2"/>
    <w:rsid w:val="00AE22E6"/>
    <w:rsid w:val="00AE22FA"/>
    <w:rsid w:val="00AE2495"/>
    <w:rsid w:val="00AE2534"/>
    <w:rsid w:val="00AE25C3"/>
    <w:rsid w:val="00AE2683"/>
    <w:rsid w:val="00AE26F9"/>
    <w:rsid w:val="00AE2766"/>
    <w:rsid w:val="00AE27E6"/>
    <w:rsid w:val="00AE288B"/>
    <w:rsid w:val="00AE2902"/>
    <w:rsid w:val="00AE297B"/>
    <w:rsid w:val="00AE2994"/>
    <w:rsid w:val="00AE29F7"/>
    <w:rsid w:val="00AE2B06"/>
    <w:rsid w:val="00AE2C41"/>
    <w:rsid w:val="00AE2D06"/>
    <w:rsid w:val="00AE2E6E"/>
    <w:rsid w:val="00AE2EE9"/>
    <w:rsid w:val="00AE2F0E"/>
    <w:rsid w:val="00AE2F5A"/>
    <w:rsid w:val="00AE2F85"/>
    <w:rsid w:val="00AE3381"/>
    <w:rsid w:val="00AE339C"/>
    <w:rsid w:val="00AE33AD"/>
    <w:rsid w:val="00AE33D4"/>
    <w:rsid w:val="00AE34A6"/>
    <w:rsid w:val="00AE3541"/>
    <w:rsid w:val="00AE35BD"/>
    <w:rsid w:val="00AE35DF"/>
    <w:rsid w:val="00AE364A"/>
    <w:rsid w:val="00AE368C"/>
    <w:rsid w:val="00AE3840"/>
    <w:rsid w:val="00AE392D"/>
    <w:rsid w:val="00AE3B15"/>
    <w:rsid w:val="00AE3B18"/>
    <w:rsid w:val="00AE3B19"/>
    <w:rsid w:val="00AE3B57"/>
    <w:rsid w:val="00AE3B9A"/>
    <w:rsid w:val="00AE3BE3"/>
    <w:rsid w:val="00AE3C91"/>
    <w:rsid w:val="00AE40A6"/>
    <w:rsid w:val="00AE425E"/>
    <w:rsid w:val="00AE435B"/>
    <w:rsid w:val="00AE43B4"/>
    <w:rsid w:val="00AE444C"/>
    <w:rsid w:val="00AE467D"/>
    <w:rsid w:val="00AE46A0"/>
    <w:rsid w:val="00AE46BB"/>
    <w:rsid w:val="00AE4A2C"/>
    <w:rsid w:val="00AE4A5B"/>
    <w:rsid w:val="00AE4A94"/>
    <w:rsid w:val="00AE4CC6"/>
    <w:rsid w:val="00AE4D23"/>
    <w:rsid w:val="00AE4D36"/>
    <w:rsid w:val="00AE4D38"/>
    <w:rsid w:val="00AE4D59"/>
    <w:rsid w:val="00AE4E6D"/>
    <w:rsid w:val="00AE4EDA"/>
    <w:rsid w:val="00AE50AE"/>
    <w:rsid w:val="00AE512A"/>
    <w:rsid w:val="00AE521E"/>
    <w:rsid w:val="00AE547D"/>
    <w:rsid w:val="00AE556F"/>
    <w:rsid w:val="00AE5697"/>
    <w:rsid w:val="00AE571A"/>
    <w:rsid w:val="00AE577F"/>
    <w:rsid w:val="00AE5870"/>
    <w:rsid w:val="00AE58DE"/>
    <w:rsid w:val="00AE593C"/>
    <w:rsid w:val="00AE5B2A"/>
    <w:rsid w:val="00AE5BAF"/>
    <w:rsid w:val="00AE5BF9"/>
    <w:rsid w:val="00AE5C60"/>
    <w:rsid w:val="00AE5DB7"/>
    <w:rsid w:val="00AE6027"/>
    <w:rsid w:val="00AE60E9"/>
    <w:rsid w:val="00AE6530"/>
    <w:rsid w:val="00AE6646"/>
    <w:rsid w:val="00AE672A"/>
    <w:rsid w:val="00AE687C"/>
    <w:rsid w:val="00AE691B"/>
    <w:rsid w:val="00AE6991"/>
    <w:rsid w:val="00AE6AB8"/>
    <w:rsid w:val="00AE6BA6"/>
    <w:rsid w:val="00AE6D8A"/>
    <w:rsid w:val="00AE6E0C"/>
    <w:rsid w:val="00AE6FAE"/>
    <w:rsid w:val="00AE6FD1"/>
    <w:rsid w:val="00AE70AD"/>
    <w:rsid w:val="00AE70D4"/>
    <w:rsid w:val="00AE71DC"/>
    <w:rsid w:val="00AE7295"/>
    <w:rsid w:val="00AE7306"/>
    <w:rsid w:val="00AE75D4"/>
    <w:rsid w:val="00AE7602"/>
    <w:rsid w:val="00AE7677"/>
    <w:rsid w:val="00AE7716"/>
    <w:rsid w:val="00AE77D0"/>
    <w:rsid w:val="00AE77D1"/>
    <w:rsid w:val="00AE78CC"/>
    <w:rsid w:val="00AE7963"/>
    <w:rsid w:val="00AE7A29"/>
    <w:rsid w:val="00AE7A51"/>
    <w:rsid w:val="00AE7A85"/>
    <w:rsid w:val="00AE7B9A"/>
    <w:rsid w:val="00AE7C0C"/>
    <w:rsid w:val="00AE7C7B"/>
    <w:rsid w:val="00AE7F0D"/>
    <w:rsid w:val="00AE7FFA"/>
    <w:rsid w:val="00AF0013"/>
    <w:rsid w:val="00AF01D4"/>
    <w:rsid w:val="00AF0205"/>
    <w:rsid w:val="00AF037B"/>
    <w:rsid w:val="00AF03E6"/>
    <w:rsid w:val="00AF04DA"/>
    <w:rsid w:val="00AF0608"/>
    <w:rsid w:val="00AF0637"/>
    <w:rsid w:val="00AF0683"/>
    <w:rsid w:val="00AF0821"/>
    <w:rsid w:val="00AF0858"/>
    <w:rsid w:val="00AF09A8"/>
    <w:rsid w:val="00AF0A16"/>
    <w:rsid w:val="00AF0C2D"/>
    <w:rsid w:val="00AF0F5B"/>
    <w:rsid w:val="00AF0FD0"/>
    <w:rsid w:val="00AF0FDA"/>
    <w:rsid w:val="00AF103E"/>
    <w:rsid w:val="00AF10CC"/>
    <w:rsid w:val="00AF1113"/>
    <w:rsid w:val="00AF11C1"/>
    <w:rsid w:val="00AF12E6"/>
    <w:rsid w:val="00AF1481"/>
    <w:rsid w:val="00AF156B"/>
    <w:rsid w:val="00AF175B"/>
    <w:rsid w:val="00AF1833"/>
    <w:rsid w:val="00AF18B5"/>
    <w:rsid w:val="00AF1AE3"/>
    <w:rsid w:val="00AF1B1C"/>
    <w:rsid w:val="00AF1C5D"/>
    <w:rsid w:val="00AF1EA6"/>
    <w:rsid w:val="00AF1EA7"/>
    <w:rsid w:val="00AF1FA1"/>
    <w:rsid w:val="00AF20BE"/>
    <w:rsid w:val="00AF20F9"/>
    <w:rsid w:val="00AF2208"/>
    <w:rsid w:val="00AF221E"/>
    <w:rsid w:val="00AF2333"/>
    <w:rsid w:val="00AF23D4"/>
    <w:rsid w:val="00AF2478"/>
    <w:rsid w:val="00AF24F6"/>
    <w:rsid w:val="00AF25DF"/>
    <w:rsid w:val="00AF2737"/>
    <w:rsid w:val="00AF284F"/>
    <w:rsid w:val="00AF28F4"/>
    <w:rsid w:val="00AF2963"/>
    <w:rsid w:val="00AF2994"/>
    <w:rsid w:val="00AF2A13"/>
    <w:rsid w:val="00AF2AE6"/>
    <w:rsid w:val="00AF2B64"/>
    <w:rsid w:val="00AF2BFA"/>
    <w:rsid w:val="00AF2CF8"/>
    <w:rsid w:val="00AF2D59"/>
    <w:rsid w:val="00AF2D99"/>
    <w:rsid w:val="00AF2DE5"/>
    <w:rsid w:val="00AF307D"/>
    <w:rsid w:val="00AF31FC"/>
    <w:rsid w:val="00AF32F5"/>
    <w:rsid w:val="00AF330B"/>
    <w:rsid w:val="00AF353C"/>
    <w:rsid w:val="00AF3778"/>
    <w:rsid w:val="00AF3793"/>
    <w:rsid w:val="00AF3829"/>
    <w:rsid w:val="00AF39EC"/>
    <w:rsid w:val="00AF3A8D"/>
    <w:rsid w:val="00AF3AD1"/>
    <w:rsid w:val="00AF3B10"/>
    <w:rsid w:val="00AF3D16"/>
    <w:rsid w:val="00AF3F68"/>
    <w:rsid w:val="00AF3F6D"/>
    <w:rsid w:val="00AF3FAB"/>
    <w:rsid w:val="00AF3FB8"/>
    <w:rsid w:val="00AF41E6"/>
    <w:rsid w:val="00AF4336"/>
    <w:rsid w:val="00AF435D"/>
    <w:rsid w:val="00AF4363"/>
    <w:rsid w:val="00AF43EC"/>
    <w:rsid w:val="00AF44AE"/>
    <w:rsid w:val="00AF4574"/>
    <w:rsid w:val="00AF4624"/>
    <w:rsid w:val="00AF462F"/>
    <w:rsid w:val="00AF46A7"/>
    <w:rsid w:val="00AF4A05"/>
    <w:rsid w:val="00AF4A3D"/>
    <w:rsid w:val="00AF4A90"/>
    <w:rsid w:val="00AF4BB4"/>
    <w:rsid w:val="00AF4BC0"/>
    <w:rsid w:val="00AF4C6F"/>
    <w:rsid w:val="00AF4C85"/>
    <w:rsid w:val="00AF4DAA"/>
    <w:rsid w:val="00AF4EAE"/>
    <w:rsid w:val="00AF504C"/>
    <w:rsid w:val="00AF5196"/>
    <w:rsid w:val="00AF521E"/>
    <w:rsid w:val="00AF53AF"/>
    <w:rsid w:val="00AF54E5"/>
    <w:rsid w:val="00AF553B"/>
    <w:rsid w:val="00AF565E"/>
    <w:rsid w:val="00AF5906"/>
    <w:rsid w:val="00AF595B"/>
    <w:rsid w:val="00AF5A66"/>
    <w:rsid w:val="00AF5B29"/>
    <w:rsid w:val="00AF5B67"/>
    <w:rsid w:val="00AF5B98"/>
    <w:rsid w:val="00AF5E4B"/>
    <w:rsid w:val="00AF5E64"/>
    <w:rsid w:val="00AF5F40"/>
    <w:rsid w:val="00AF6054"/>
    <w:rsid w:val="00AF6084"/>
    <w:rsid w:val="00AF61E6"/>
    <w:rsid w:val="00AF6403"/>
    <w:rsid w:val="00AF654B"/>
    <w:rsid w:val="00AF65CB"/>
    <w:rsid w:val="00AF65D6"/>
    <w:rsid w:val="00AF6764"/>
    <w:rsid w:val="00AF6768"/>
    <w:rsid w:val="00AF679D"/>
    <w:rsid w:val="00AF6929"/>
    <w:rsid w:val="00AF6A40"/>
    <w:rsid w:val="00AF6A62"/>
    <w:rsid w:val="00AF6A9D"/>
    <w:rsid w:val="00AF6AE6"/>
    <w:rsid w:val="00AF6B35"/>
    <w:rsid w:val="00AF6CC9"/>
    <w:rsid w:val="00AF6CDF"/>
    <w:rsid w:val="00AF6E11"/>
    <w:rsid w:val="00AF6E12"/>
    <w:rsid w:val="00AF6E21"/>
    <w:rsid w:val="00AF6F54"/>
    <w:rsid w:val="00AF7110"/>
    <w:rsid w:val="00AF714A"/>
    <w:rsid w:val="00AF7336"/>
    <w:rsid w:val="00AF7430"/>
    <w:rsid w:val="00AF7524"/>
    <w:rsid w:val="00AF7589"/>
    <w:rsid w:val="00AF7656"/>
    <w:rsid w:val="00AF775F"/>
    <w:rsid w:val="00AF7792"/>
    <w:rsid w:val="00AF7796"/>
    <w:rsid w:val="00AF7825"/>
    <w:rsid w:val="00AF7A09"/>
    <w:rsid w:val="00AF7A26"/>
    <w:rsid w:val="00AF7ABC"/>
    <w:rsid w:val="00AF7B0C"/>
    <w:rsid w:val="00AF7CB5"/>
    <w:rsid w:val="00AF7D14"/>
    <w:rsid w:val="00AF7D45"/>
    <w:rsid w:val="00AF7DCE"/>
    <w:rsid w:val="00AF7DEB"/>
    <w:rsid w:val="00AF7ECD"/>
    <w:rsid w:val="00AF7F3D"/>
    <w:rsid w:val="00B00024"/>
    <w:rsid w:val="00B00045"/>
    <w:rsid w:val="00B000E3"/>
    <w:rsid w:val="00B0016C"/>
    <w:rsid w:val="00B0021E"/>
    <w:rsid w:val="00B00242"/>
    <w:rsid w:val="00B002CB"/>
    <w:rsid w:val="00B00343"/>
    <w:rsid w:val="00B00449"/>
    <w:rsid w:val="00B00632"/>
    <w:rsid w:val="00B00647"/>
    <w:rsid w:val="00B0079A"/>
    <w:rsid w:val="00B00815"/>
    <w:rsid w:val="00B00929"/>
    <w:rsid w:val="00B00B36"/>
    <w:rsid w:val="00B00C40"/>
    <w:rsid w:val="00B00CB5"/>
    <w:rsid w:val="00B00DCE"/>
    <w:rsid w:val="00B0104B"/>
    <w:rsid w:val="00B010A0"/>
    <w:rsid w:val="00B011D1"/>
    <w:rsid w:val="00B013BE"/>
    <w:rsid w:val="00B014A8"/>
    <w:rsid w:val="00B014DC"/>
    <w:rsid w:val="00B014F7"/>
    <w:rsid w:val="00B0154C"/>
    <w:rsid w:val="00B0163A"/>
    <w:rsid w:val="00B01796"/>
    <w:rsid w:val="00B017A8"/>
    <w:rsid w:val="00B0189E"/>
    <w:rsid w:val="00B018BD"/>
    <w:rsid w:val="00B018ED"/>
    <w:rsid w:val="00B018FB"/>
    <w:rsid w:val="00B01924"/>
    <w:rsid w:val="00B01A3D"/>
    <w:rsid w:val="00B01A7B"/>
    <w:rsid w:val="00B01B81"/>
    <w:rsid w:val="00B01B95"/>
    <w:rsid w:val="00B01BCE"/>
    <w:rsid w:val="00B01BF1"/>
    <w:rsid w:val="00B01C0D"/>
    <w:rsid w:val="00B01DEA"/>
    <w:rsid w:val="00B01E9B"/>
    <w:rsid w:val="00B01F0A"/>
    <w:rsid w:val="00B01F26"/>
    <w:rsid w:val="00B020EE"/>
    <w:rsid w:val="00B0212E"/>
    <w:rsid w:val="00B0216E"/>
    <w:rsid w:val="00B021F1"/>
    <w:rsid w:val="00B023E9"/>
    <w:rsid w:val="00B02452"/>
    <w:rsid w:val="00B024DC"/>
    <w:rsid w:val="00B0253D"/>
    <w:rsid w:val="00B02620"/>
    <w:rsid w:val="00B02796"/>
    <w:rsid w:val="00B027BC"/>
    <w:rsid w:val="00B027FE"/>
    <w:rsid w:val="00B0284C"/>
    <w:rsid w:val="00B0292A"/>
    <w:rsid w:val="00B02A15"/>
    <w:rsid w:val="00B02D0D"/>
    <w:rsid w:val="00B02F29"/>
    <w:rsid w:val="00B0300C"/>
    <w:rsid w:val="00B030DE"/>
    <w:rsid w:val="00B031B8"/>
    <w:rsid w:val="00B03511"/>
    <w:rsid w:val="00B03682"/>
    <w:rsid w:val="00B03726"/>
    <w:rsid w:val="00B0385A"/>
    <w:rsid w:val="00B03936"/>
    <w:rsid w:val="00B039CE"/>
    <w:rsid w:val="00B03B21"/>
    <w:rsid w:val="00B03B66"/>
    <w:rsid w:val="00B03D9D"/>
    <w:rsid w:val="00B03F6D"/>
    <w:rsid w:val="00B04311"/>
    <w:rsid w:val="00B04431"/>
    <w:rsid w:val="00B0453F"/>
    <w:rsid w:val="00B0455B"/>
    <w:rsid w:val="00B045B0"/>
    <w:rsid w:val="00B045D6"/>
    <w:rsid w:val="00B04720"/>
    <w:rsid w:val="00B0488D"/>
    <w:rsid w:val="00B04A8F"/>
    <w:rsid w:val="00B04B1D"/>
    <w:rsid w:val="00B04BC6"/>
    <w:rsid w:val="00B04E1E"/>
    <w:rsid w:val="00B04E78"/>
    <w:rsid w:val="00B04F62"/>
    <w:rsid w:val="00B04FBA"/>
    <w:rsid w:val="00B054DC"/>
    <w:rsid w:val="00B054E4"/>
    <w:rsid w:val="00B0551A"/>
    <w:rsid w:val="00B0552E"/>
    <w:rsid w:val="00B0563C"/>
    <w:rsid w:val="00B056E6"/>
    <w:rsid w:val="00B0587C"/>
    <w:rsid w:val="00B058F3"/>
    <w:rsid w:val="00B05998"/>
    <w:rsid w:val="00B05A6C"/>
    <w:rsid w:val="00B05ABD"/>
    <w:rsid w:val="00B05B0E"/>
    <w:rsid w:val="00B05BE5"/>
    <w:rsid w:val="00B05D03"/>
    <w:rsid w:val="00B05DF3"/>
    <w:rsid w:val="00B05EC8"/>
    <w:rsid w:val="00B05F72"/>
    <w:rsid w:val="00B06024"/>
    <w:rsid w:val="00B062BF"/>
    <w:rsid w:val="00B063FA"/>
    <w:rsid w:val="00B06469"/>
    <w:rsid w:val="00B06632"/>
    <w:rsid w:val="00B06633"/>
    <w:rsid w:val="00B06794"/>
    <w:rsid w:val="00B067FC"/>
    <w:rsid w:val="00B069A0"/>
    <w:rsid w:val="00B06A2F"/>
    <w:rsid w:val="00B06B2C"/>
    <w:rsid w:val="00B06BDC"/>
    <w:rsid w:val="00B06C54"/>
    <w:rsid w:val="00B06CDB"/>
    <w:rsid w:val="00B06D94"/>
    <w:rsid w:val="00B06EB5"/>
    <w:rsid w:val="00B06EE9"/>
    <w:rsid w:val="00B06F4E"/>
    <w:rsid w:val="00B06FA8"/>
    <w:rsid w:val="00B070E1"/>
    <w:rsid w:val="00B0714C"/>
    <w:rsid w:val="00B0723D"/>
    <w:rsid w:val="00B07398"/>
    <w:rsid w:val="00B0742E"/>
    <w:rsid w:val="00B0748B"/>
    <w:rsid w:val="00B07577"/>
    <w:rsid w:val="00B07611"/>
    <w:rsid w:val="00B077F2"/>
    <w:rsid w:val="00B07A40"/>
    <w:rsid w:val="00B07A7A"/>
    <w:rsid w:val="00B07ACC"/>
    <w:rsid w:val="00B07B40"/>
    <w:rsid w:val="00B07B61"/>
    <w:rsid w:val="00B07C31"/>
    <w:rsid w:val="00B07E94"/>
    <w:rsid w:val="00B07FF6"/>
    <w:rsid w:val="00B1001B"/>
    <w:rsid w:val="00B10059"/>
    <w:rsid w:val="00B10085"/>
    <w:rsid w:val="00B10086"/>
    <w:rsid w:val="00B101EF"/>
    <w:rsid w:val="00B10235"/>
    <w:rsid w:val="00B102E0"/>
    <w:rsid w:val="00B106C0"/>
    <w:rsid w:val="00B10754"/>
    <w:rsid w:val="00B108B9"/>
    <w:rsid w:val="00B109A4"/>
    <w:rsid w:val="00B109F9"/>
    <w:rsid w:val="00B109FA"/>
    <w:rsid w:val="00B10AED"/>
    <w:rsid w:val="00B10B91"/>
    <w:rsid w:val="00B10CC0"/>
    <w:rsid w:val="00B10D10"/>
    <w:rsid w:val="00B10DD9"/>
    <w:rsid w:val="00B10FB7"/>
    <w:rsid w:val="00B11078"/>
    <w:rsid w:val="00B1110A"/>
    <w:rsid w:val="00B11185"/>
    <w:rsid w:val="00B11388"/>
    <w:rsid w:val="00B113BC"/>
    <w:rsid w:val="00B115D3"/>
    <w:rsid w:val="00B11612"/>
    <w:rsid w:val="00B11635"/>
    <w:rsid w:val="00B1174E"/>
    <w:rsid w:val="00B117CA"/>
    <w:rsid w:val="00B11826"/>
    <w:rsid w:val="00B1182D"/>
    <w:rsid w:val="00B11C39"/>
    <w:rsid w:val="00B11CDF"/>
    <w:rsid w:val="00B11E6F"/>
    <w:rsid w:val="00B11E7C"/>
    <w:rsid w:val="00B11EB2"/>
    <w:rsid w:val="00B120E8"/>
    <w:rsid w:val="00B1221A"/>
    <w:rsid w:val="00B12234"/>
    <w:rsid w:val="00B12250"/>
    <w:rsid w:val="00B12382"/>
    <w:rsid w:val="00B123CD"/>
    <w:rsid w:val="00B1242A"/>
    <w:rsid w:val="00B1242D"/>
    <w:rsid w:val="00B12590"/>
    <w:rsid w:val="00B12620"/>
    <w:rsid w:val="00B1268F"/>
    <w:rsid w:val="00B12699"/>
    <w:rsid w:val="00B126C2"/>
    <w:rsid w:val="00B126D9"/>
    <w:rsid w:val="00B12925"/>
    <w:rsid w:val="00B12990"/>
    <w:rsid w:val="00B12AA8"/>
    <w:rsid w:val="00B12D3B"/>
    <w:rsid w:val="00B12E0A"/>
    <w:rsid w:val="00B12E6D"/>
    <w:rsid w:val="00B12F0A"/>
    <w:rsid w:val="00B12FD6"/>
    <w:rsid w:val="00B1304D"/>
    <w:rsid w:val="00B13123"/>
    <w:rsid w:val="00B13173"/>
    <w:rsid w:val="00B13247"/>
    <w:rsid w:val="00B1333F"/>
    <w:rsid w:val="00B13643"/>
    <w:rsid w:val="00B136FF"/>
    <w:rsid w:val="00B137F5"/>
    <w:rsid w:val="00B1388B"/>
    <w:rsid w:val="00B13B02"/>
    <w:rsid w:val="00B13B9A"/>
    <w:rsid w:val="00B13CA1"/>
    <w:rsid w:val="00B13D31"/>
    <w:rsid w:val="00B13D85"/>
    <w:rsid w:val="00B13D90"/>
    <w:rsid w:val="00B13DB9"/>
    <w:rsid w:val="00B13FE4"/>
    <w:rsid w:val="00B13FF8"/>
    <w:rsid w:val="00B1419D"/>
    <w:rsid w:val="00B1433F"/>
    <w:rsid w:val="00B144ED"/>
    <w:rsid w:val="00B14566"/>
    <w:rsid w:val="00B145E0"/>
    <w:rsid w:val="00B145F7"/>
    <w:rsid w:val="00B14644"/>
    <w:rsid w:val="00B14686"/>
    <w:rsid w:val="00B146D3"/>
    <w:rsid w:val="00B14899"/>
    <w:rsid w:val="00B148BA"/>
    <w:rsid w:val="00B149C1"/>
    <w:rsid w:val="00B149F3"/>
    <w:rsid w:val="00B14A41"/>
    <w:rsid w:val="00B14B01"/>
    <w:rsid w:val="00B14B46"/>
    <w:rsid w:val="00B14B85"/>
    <w:rsid w:val="00B14CFE"/>
    <w:rsid w:val="00B14DDB"/>
    <w:rsid w:val="00B14DEB"/>
    <w:rsid w:val="00B15014"/>
    <w:rsid w:val="00B15252"/>
    <w:rsid w:val="00B15452"/>
    <w:rsid w:val="00B15475"/>
    <w:rsid w:val="00B154DC"/>
    <w:rsid w:val="00B1562C"/>
    <w:rsid w:val="00B15687"/>
    <w:rsid w:val="00B156D2"/>
    <w:rsid w:val="00B15705"/>
    <w:rsid w:val="00B157F7"/>
    <w:rsid w:val="00B15802"/>
    <w:rsid w:val="00B15859"/>
    <w:rsid w:val="00B158E1"/>
    <w:rsid w:val="00B15920"/>
    <w:rsid w:val="00B15A58"/>
    <w:rsid w:val="00B15A69"/>
    <w:rsid w:val="00B15B5E"/>
    <w:rsid w:val="00B15DFC"/>
    <w:rsid w:val="00B15E1D"/>
    <w:rsid w:val="00B15E3D"/>
    <w:rsid w:val="00B15EC5"/>
    <w:rsid w:val="00B16027"/>
    <w:rsid w:val="00B1606A"/>
    <w:rsid w:val="00B16309"/>
    <w:rsid w:val="00B16329"/>
    <w:rsid w:val="00B163C6"/>
    <w:rsid w:val="00B164BD"/>
    <w:rsid w:val="00B165B8"/>
    <w:rsid w:val="00B165EF"/>
    <w:rsid w:val="00B166BD"/>
    <w:rsid w:val="00B16741"/>
    <w:rsid w:val="00B1685C"/>
    <w:rsid w:val="00B16A76"/>
    <w:rsid w:val="00B16C1C"/>
    <w:rsid w:val="00B16D7F"/>
    <w:rsid w:val="00B16EB3"/>
    <w:rsid w:val="00B16F73"/>
    <w:rsid w:val="00B16F7F"/>
    <w:rsid w:val="00B17094"/>
    <w:rsid w:val="00B170E1"/>
    <w:rsid w:val="00B1711C"/>
    <w:rsid w:val="00B17149"/>
    <w:rsid w:val="00B171F8"/>
    <w:rsid w:val="00B17202"/>
    <w:rsid w:val="00B172EF"/>
    <w:rsid w:val="00B17485"/>
    <w:rsid w:val="00B174D2"/>
    <w:rsid w:val="00B1761B"/>
    <w:rsid w:val="00B17662"/>
    <w:rsid w:val="00B17727"/>
    <w:rsid w:val="00B177BA"/>
    <w:rsid w:val="00B17832"/>
    <w:rsid w:val="00B17887"/>
    <w:rsid w:val="00B17918"/>
    <w:rsid w:val="00B17946"/>
    <w:rsid w:val="00B179FB"/>
    <w:rsid w:val="00B17A84"/>
    <w:rsid w:val="00B17CCD"/>
    <w:rsid w:val="00B17D18"/>
    <w:rsid w:val="00B17E77"/>
    <w:rsid w:val="00B17F73"/>
    <w:rsid w:val="00B201C5"/>
    <w:rsid w:val="00B20225"/>
    <w:rsid w:val="00B2035F"/>
    <w:rsid w:val="00B203B2"/>
    <w:rsid w:val="00B2043C"/>
    <w:rsid w:val="00B205C5"/>
    <w:rsid w:val="00B205FF"/>
    <w:rsid w:val="00B20600"/>
    <w:rsid w:val="00B2074E"/>
    <w:rsid w:val="00B209B5"/>
    <w:rsid w:val="00B20A6B"/>
    <w:rsid w:val="00B20AF5"/>
    <w:rsid w:val="00B20BE2"/>
    <w:rsid w:val="00B20C2A"/>
    <w:rsid w:val="00B20C46"/>
    <w:rsid w:val="00B20D20"/>
    <w:rsid w:val="00B20D2F"/>
    <w:rsid w:val="00B20D49"/>
    <w:rsid w:val="00B20E48"/>
    <w:rsid w:val="00B20FF9"/>
    <w:rsid w:val="00B21132"/>
    <w:rsid w:val="00B21143"/>
    <w:rsid w:val="00B211CA"/>
    <w:rsid w:val="00B211CC"/>
    <w:rsid w:val="00B213D7"/>
    <w:rsid w:val="00B2159E"/>
    <w:rsid w:val="00B21668"/>
    <w:rsid w:val="00B2186F"/>
    <w:rsid w:val="00B21D50"/>
    <w:rsid w:val="00B21D86"/>
    <w:rsid w:val="00B21DBE"/>
    <w:rsid w:val="00B21E05"/>
    <w:rsid w:val="00B21EA6"/>
    <w:rsid w:val="00B21F0F"/>
    <w:rsid w:val="00B22048"/>
    <w:rsid w:val="00B2210E"/>
    <w:rsid w:val="00B22273"/>
    <w:rsid w:val="00B222F4"/>
    <w:rsid w:val="00B22374"/>
    <w:rsid w:val="00B223B2"/>
    <w:rsid w:val="00B2253F"/>
    <w:rsid w:val="00B22611"/>
    <w:rsid w:val="00B22612"/>
    <w:rsid w:val="00B226A1"/>
    <w:rsid w:val="00B226A6"/>
    <w:rsid w:val="00B226B9"/>
    <w:rsid w:val="00B22849"/>
    <w:rsid w:val="00B229C7"/>
    <w:rsid w:val="00B229F1"/>
    <w:rsid w:val="00B22A40"/>
    <w:rsid w:val="00B22B16"/>
    <w:rsid w:val="00B22D0F"/>
    <w:rsid w:val="00B22E5A"/>
    <w:rsid w:val="00B22FD6"/>
    <w:rsid w:val="00B23021"/>
    <w:rsid w:val="00B23038"/>
    <w:rsid w:val="00B2320F"/>
    <w:rsid w:val="00B232A2"/>
    <w:rsid w:val="00B2330D"/>
    <w:rsid w:val="00B23401"/>
    <w:rsid w:val="00B2345C"/>
    <w:rsid w:val="00B234D9"/>
    <w:rsid w:val="00B23549"/>
    <w:rsid w:val="00B2355C"/>
    <w:rsid w:val="00B2371D"/>
    <w:rsid w:val="00B23767"/>
    <w:rsid w:val="00B239C0"/>
    <w:rsid w:val="00B23A58"/>
    <w:rsid w:val="00B23A64"/>
    <w:rsid w:val="00B23CBF"/>
    <w:rsid w:val="00B23D09"/>
    <w:rsid w:val="00B23D10"/>
    <w:rsid w:val="00B23D8F"/>
    <w:rsid w:val="00B23E12"/>
    <w:rsid w:val="00B23F47"/>
    <w:rsid w:val="00B2402E"/>
    <w:rsid w:val="00B240D9"/>
    <w:rsid w:val="00B24157"/>
    <w:rsid w:val="00B2418A"/>
    <w:rsid w:val="00B2432C"/>
    <w:rsid w:val="00B243D0"/>
    <w:rsid w:val="00B243F1"/>
    <w:rsid w:val="00B2458C"/>
    <w:rsid w:val="00B245FA"/>
    <w:rsid w:val="00B24666"/>
    <w:rsid w:val="00B24823"/>
    <w:rsid w:val="00B24851"/>
    <w:rsid w:val="00B248DC"/>
    <w:rsid w:val="00B24932"/>
    <w:rsid w:val="00B24B6E"/>
    <w:rsid w:val="00B24B7A"/>
    <w:rsid w:val="00B24BCE"/>
    <w:rsid w:val="00B24C4D"/>
    <w:rsid w:val="00B24E3B"/>
    <w:rsid w:val="00B24EBF"/>
    <w:rsid w:val="00B24ECF"/>
    <w:rsid w:val="00B24FEB"/>
    <w:rsid w:val="00B252C0"/>
    <w:rsid w:val="00B25319"/>
    <w:rsid w:val="00B2532A"/>
    <w:rsid w:val="00B2541C"/>
    <w:rsid w:val="00B25496"/>
    <w:rsid w:val="00B25526"/>
    <w:rsid w:val="00B255C0"/>
    <w:rsid w:val="00B255FA"/>
    <w:rsid w:val="00B256DA"/>
    <w:rsid w:val="00B2579B"/>
    <w:rsid w:val="00B25803"/>
    <w:rsid w:val="00B25947"/>
    <w:rsid w:val="00B25973"/>
    <w:rsid w:val="00B25A9D"/>
    <w:rsid w:val="00B25B1D"/>
    <w:rsid w:val="00B25D92"/>
    <w:rsid w:val="00B25E43"/>
    <w:rsid w:val="00B25E82"/>
    <w:rsid w:val="00B25FB7"/>
    <w:rsid w:val="00B25FC9"/>
    <w:rsid w:val="00B26115"/>
    <w:rsid w:val="00B2619D"/>
    <w:rsid w:val="00B263FB"/>
    <w:rsid w:val="00B2641D"/>
    <w:rsid w:val="00B265BD"/>
    <w:rsid w:val="00B26653"/>
    <w:rsid w:val="00B266CD"/>
    <w:rsid w:val="00B26825"/>
    <w:rsid w:val="00B26946"/>
    <w:rsid w:val="00B2698B"/>
    <w:rsid w:val="00B26A20"/>
    <w:rsid w:val="00B26B8A"/>
    <w:rsid w:val="00B26CAF"/>
    <w:rsid w:val="00B26DE0"/>
    <w:rsid w:val="00B26E8A"/>
    <w:rsid w:val="00B26F1C"/>
    <w:rsid w:val="00B26F87"/>
    <w:rsid w:val="00B271B8"/>
    <w:rsid w:val="00B271D1"/>
    <w:rsid w:val="00B272F2"/>
    <w:rsid w:val="00B2734E"/>
    <w:rsid w:val="00B273BE"/>
    <w:rsid w:val="00B273D7"/>
    <w:rsid w:val="00B273F8"/>
    <w:rsid w:val="00B27502"/>
    <w:rsid w:val="00B275A0"/>
    <w:rsid w:val="00B275D1"/>
    <w:rsid w:val="00B276EA"/>
    <w:rsid w:val="00B27735"/>
    <w:rsid w:val="00B2782F"/>
    <w:rsid w:val="00B27951"/>
    <w:rsid w:val="00B27A80"/>
    <w:rsid w:val="00B27AB7"/>
    <w:rsid w:val="00B27B71"/>
    <w:rsid w:val="00B27B8F"/>
    <w:rsid w:val="00B27C2B"/>
    <w:rsid w:val="00B27C2D"/>
    <w:rsid w:val="00B27C66"/>
    <w:rsid w:val="00B27D0B"/>
    <w:rsid w:val="00B27D7A"/>
    <w:rsid w:val="00B27EC4"/>
    <w:rsid w:val="00B30018"/>
    <w:rsid w:val="00B3009A"/>
    <w:rsid w:val="00B30135"/>
    <w:rsid w:val="00B301C2"/>
    <w:rsid w:val="00B30388"/>
    <w:rsid w:val="00B303FA"/>
    <w:rsid w:val="00B304BA"/>
    <w:rsid w:val="00B30559"/>
    <w:rsid w:val="00B30644"/>
    <w:rsid w:val="00B30687"/>
    <w:rsid w:val="00B309E1"/>
    <w:rsid w:val="00B30C40"/>
    <w:rsid w:val="00B30C5C"/>
    <w:rsid w:val="00B30C78"/>
    <w:rsid w:val="00B30D89"/>
    <w:rsid w:val="00B30EB0"/>
    <w:rsid w:val="00B310B1"/>
    <w:rsid w:val="00B310D8"/>
    <w:rsid w:val="00B3116B"/>
    <w:rsid w:val="00B3127F"/>
    <w:rsid w:val="00B313AF"/>
    <w:rsid w:val="00B313B1"/>
    <w:rsid w:val="00B315BF"/>
    <w:rsid w:val="00B3161C"/>
    <w:rsid w:val="00B316DD"/>
    <w:rsid w:val="00B31709"/>
    <w:rsid w:val="00B31833"/>
    <w:rsid w:val="00B318B2"/>
    <w:rsid w:val="00B318CD"/>
    <w:rsid w:val="00B318D9"/>
    <w:rsid w:val="00B31A5A"/>
    <w:rsid w:val="00B31C07"/>
    <w:rsid w:val="00B31CA9"/>
    <w:rsid w:val="00B31DCD"/>
    <w:rsid w:val="00B31DD2"/>
    <w:rsid w:val="00B31E5D"/>
    <w:rsid w:val="00B31E61"/>
    <w:rsid w:val="00B31F20"/>
    <w:rsid w:val="00B31F8A"/>
    <w:rsid w:val="00B32018"/>
    <w:rsid w:val="00B32059"/>
    <w:rsid w:val="00B32405"/>
    <w:rsid w:val="00B32539"/>
    <w:rsid w:val="00B32684"/>
    <w:rsid w:val="00B326E2"/>
    <w:rsid w:val="00B3278D"/>
    <w:rsid w:val="00B327F0"/>
    <w:rsid w:val="00B32805"/>
    <w:rsid w:val="00B32807"/>
    <w:rsid w:val="00B32B42"/>
    <w:rsid w:val="00B32B91"/>
    <w:rsid w:val="00B32DB8"/>
    <w:rsid w:val="00B32E3E"/>
    <w:rsid w:val="00B32F12"/>
    <w:rsid w:val="00B32F44"/>
    <w:rsid w:val="00B32F66"/>
    <w:rsid w:val="00B32F99"/>
    <w:rsid w:val="00B3302D"/>
    <w:rsid w:val="00B33062"/>
    <w:rsid w:val="00B3309F"/>
    <w:rsid w:val="00B33125"/>
    <w:rsid w:val="00B33193"/>
    <w:rsid w:val="00B33281"/>
    <w:rsid w:val="00B3330F"/>
    <w:rsid w:val="00B3339B"/>
    <w:rsid w:val="00B3343F"/>
    <w:rsid w:val="00B3347F"/>
    <w:rsid w:val="00B33918"/>
    <w:rsid w:val="00B339DB"/>
    <w:rsid w:val="00B33D1E"/>
    <w:rsid w:val="00B33E74"/>
    <w:rsid w:val="00B33ECF"/>
    <w:rsid w:val="00B33F78"/>
    <w:rsid w:val="00B33FCB"/>
    <w:rsid w:val="00B340FC"/>
    <w:rsid w:val="00B342BF"/>
    <w:rsid w:val="00B343A6"/>
    <w:rsid w:val="00B343F2"/>
    <w:rsid w:val="00B3442B"/>
    <w:rsid w:val="00B34464"/>
    <w:rsid w:val="00B344BE"/>
    <w:rsid w:val="00B345BB"/>
    <w:rsid w:val="00B346D5"/>
    <w:rsid w:val="00B34801"/>
    <w:rsid w:val="00B348AE"/>
    <w:rsid w:val="00B34988"/>
    <w:rsid w:val="00B34B47"/>
    <w:rsid w:val="00B34C93"/>
    <w:rsid w:val="00B34D3D"/>
    <w:rsid w:val="00B34D44"/>
    <w:rsid w:val="00B34E36"/>
    <w:rsid w:val="00B34E5F"/>
    <w:rsid w:val="00B34EE7"/>
    <w:rsid w:val="00B34F8E"/>
    <w:rsid w:val="00B35013"/>
    <w:rsid w:val="00B350F7"/>
    <w:rsid w:val="00B35114"/>
    <w:rsid w:val="00B3525B"/>
    <w:rsid w:val="00B352D9"/>
    <w:rsid w:val="00B35386"/>
    <w:rsid w:val="00B3541D"/>
    <w:rsid w:val="00B35510"/>
    <w:rsid w:val="00B35645"/>
    <w:rsid w:val="00B356EA"/>
    <w:rsid w:val="00B357B7"/>
    <w:rsid w:val="00B357ED"/>
    <w:rsid w:val="00B35A2E"/>
    <w:rsid w:val="00B35CC8"/>
    <w:rsid w:val="00B35DD1"/>
    <w:rsid w:val="00B35E4D"/>
    <w:rsid w:val="00B360F6"/>
    <w:rsid w:val="00B36155"/>
    <w:rsid w:val="00B3616E"/>
    <w:rsid w:val="00B36261"/>
    <w:rsid w:val="00B36362"/>
    <w:rsid w:val="00B363FE"/>
    <w:rsid w:val="00B36621"/>
    <w:rsid w:val="00B366A9"/>
    <w:rsid w:val="00B366B7"/>
    <w:rsid w:val="00B3674A"/>
    <w:rsid w:val="00B36995"/>
    <w:rsid w:val="00B36B60"/>
    <w:rsid w:val="00B36BA3"/>
    <w:rsid w:val="00B36C5B"/>
    <w:rsid w:val="00B36C88"/>
    <w:rsid w:val="00B36D9B"/>
    <w:rsid w:val="00B36ED0"/>
    <w:rsid w:val="00B37059"/>
    <w:rsid w:val="00B37069"/>
    <w:rsid w:val="00B371D1"/>
    <w:rsid w:val="00B372A0"/>
    <w:rsid w:val="00B372F2"/>
    <w:rsid w:val="00B37346"/>
    <w:rsid w:val="00B37350"/>
    <w:rsid w:val="00B374F2"/>
    <w:rsid w:val="00B37556"/>
    <w:rsid w:val="00B37686"/>
    <w:rsid w:val="00B37A33"/>
    <w:rsid w:val="00B37B32"/>
    <w:rsid w:val="00B37C4C"/>
    <w:rsid w:val="00B37D1A"/>
    <w:rsid w:val="00B37E88"/>
    <w:rsid w:val="00B37F01"/>
    <w:rsid w:val="00B37F8F"/>
    <w:rsid w:val="00B37F9D"/>
    <w:rsid w:val="00B40007"/>
    <w:rsid w:val="00B4002B"/>
    <w:rsid w:val="00B400CD"/>
    <w:rsid w:val="00B401C9"/>
    <w:rsid w:val="00B40491"/>
    <w:rsid w:val="00B40547"/>
    <w:rsid w:val="00B405E0"/>
    <w:rsid w:val="00B4088E"/>
    <w:rsid w:val="00B408DB"/>
    <w:rsid w:val="00B409CB"/>
    <w:rsid w:val="00B40A09"/>
    <w:rsid w:val="00B40A25"/>
    <w:rsid w:val="00B40D1F"/>
    <w:rsid w:val="00B41145"/>
    <w:rsid w:val="00B41225"/>
    <w:rsid w:val="00B4127C"/>
    <w:rsid w:val="00B41296"/>
    <w:rsid w:val="00B41424"/>
    <w:rsid w:val="00B414A3"/>
    <w:rsid w:val="00B414BA"/>
    <w:rsid w:val="00B416F1"/>
    <w:rsid w:val="00B4175F"/>
    <w:rsid w:val="00B4181B"/>
    <w:rsid w:val="00B41A18"/>
    <w:rsid w:val="00B41BCA"/>
    <w:rsid w:val="00B41CC3"/>
    <w:rsid w:val="00B41CF7"/>
    <w:rsid w:val="00B41D1B"/>
    <w:rsid w:val="00B41F03"/>
    <w:rsid w:val="00B41F1F"/>
    <w:rsid w:val="00B41F8E"/>
    <w:rsid w:val="00B4210A"/>
    <w:rsid w:val="00B421E9"/>
    <w:rsid w:val="00B4225F"/>
    <w:rsid w:val="00B4237A"/>
    <w:rsid w:val="00B424D3"/>
    <w:rsid w:val="00B4251C"/>
    <w:rsid w:val="00B4254C"/>
    <w:rsid w:val="00B42759"/>
    <w:rsid w:val="00B4281D"/>
    <w:rsid w:val="00B428A6"/>
    <w:rsid w:val="00B42A1A"/>
    <w:rsid w:val="00B42B10"/>
    <w:rsid w:val="00B42BEC"/>
    <w:rsid w:val="00B42F36"/>
    <w:rsid w:val="00B42F94"/>
    <w:rsid w:val="00B430D3"/>
    <w:rsid w:val="00B430D8"/>
    <w:rsid w:val="00B431F3"/>
    <w:rsid w:val="00B43405"/>
    <w:rsid w:val="00B438DD"/>
    <w:rsid w:val="00B4396A"/>
    <w:rsid w:val="00B43996"/>
    <w:rsid w:val="00B439B9"/>
    <w:rsid w:val="00B439BD"/>
    <w:rsid w:val="00B43B29"/>
    <w:rsid w:val="00B43B61"/>
    <w:rsid w:val="00B43BDF"/>
    <w:rsid w:val="00B43C3E"/>
    <w:rsid w:val="00B43CF5"/>
    <w:rsid w:val="00B43D42"/>
    <w:rsid w:val="00B43DCD"/>
    <w:rsid w:val="00B43DD7"/>
    <w:rsid w:val="00B43F51"/>
    <w:rsid w:val="00B43F6C"/>
    <w:rsid w:val="00B43FBC"/>
    <w:rsid w:val="00B4403D"/>
    <w:rsid w:val="00B440F7"/>
    <w:rsid w:val="00B44138"/>
    <w:rsid w:val="00B44148"/>
    <w:rsid w:val="00B44432"/>
    <w:rsid w:val="00B4448E"/>
    <w:rsid w:val="00B44639"/>
    <w:rsid w:val="00B44671"/>
    <w:rsid w:val="00B44674"/>
    <w:rsid w:val="00B446AF"/>
    <w:rsid w:val="00B44958"/>
    <w:rsid w:val="00B44A5E"/>
    <w:rsid w:val="00B44C0A"/>
    <w:rsid w:val="00B44CA3"/>
    <w:rsid w:val="00B44D82"/>
    <w:rsid w:val="00B44DC3"/>
    <w:rsid w:val="00B44EB8"/>
    <w:rsid w:val="00B44F44"/>
    <w:rsid w:val="00B44F7B"/>
    <w:rsid w:val="00B44FA4"/>
    <w:rsid w:val="00B451AC"/>
    <w:rsid w:val="00B452B5"/>
    <w:rsid w:val="00B452D8"/>
    <w:rsid w:val="00B4539C"/>
    <w:rsid w:val="00B453B9"/>
    <w:rsid w:val="00B45562"/>
    <w:rsid w:val="00B45661"/>
    <w:rsid w:val="00B45672"/>
    <w:rsid w:val="00B457B0"/>
    <w:rsid w:val="00B458E4"/>
    <w:rsid w:val="00B45B35"/>
    <w:rsid w:val="00B45C56"/>
    <w:rsid w:val="00B45C5D"/>
    <w:rsid w:val="00B45CDF"/>
    <w:rsid w:val="00B45E0D"/>
    <w:rsid w:val="00B45EFA"/>
    <w:rsid w:val="00B45F20"/>
    <w:rsid w:val="00B46147"/>
    <w:rsid w:val="00B461C0"/>
    <w:rsid w:val="00B4625E"/>
    <w:rsid w:val="00B462CC"/>
    <w:rsid w:val="00B46372"/>
    <w:rsid w:val="00B46389"/>
    <w:rsid w:val="00B466C4"/>
    <w:rsid w:val="00B46718"/>
    <w:rsid w:val="00B46742"/>
    <w:rsid w:val="00B468D8"/>
    <w:rsid w:val="00B46AFD"/>
    <w:rsid w:val="00B46BB3"/>
    <w:rsid w:val="00B46C54"/>
    <w:rsid w:val="00B46D1F"/>
    <w:rsid w:val="00B46D9B"/>
    <w:rsid w:val="00B46DD0"/>
    <w:rsid w:val="00B46EAB"/>
    <w:rsid w:val="00B46ECD"/>
    <w:rsid w:val="00B47021"/>
    <w:rsid w:val="00B47066"/>
    <w:rsid w:val="00B473DF"/>
    <w:rsid w:val="00B47714"/>
    <w:rsid w:val="00B47731"/>
    <w:rsid w:val="00B47954"/>
    <w:rsid w:val="00B479B2"/>
    <w:rsid w:val="00B47A4E"/>
    <w:rsid w:val="00B47B5E"/>
    <w:rsid w:val="00B47C25"/>
    <w:rsid w:val="00B47D95"/>
    <w:rsid w:val="00B47DE8"/>
    <w:rsid w:val="00B500B0"/>
    <w:rsid w:val="00B500D8"/>
    <w:rsid w:val="00B500F8"/>
    <w:rsid w:val="00B501C0"/>
    <w:rsid w:val="00B50226"/>
    <w:rsid w:val="00B502E6"/>
    <w:rsid w:val="00B50343"/>
    <w:rsid w:val="00B50446"/>
    <w:rsid w:val="00B50462"/>
    <w:rsid w:val="00B505BB"/>
    <w:rsid w:val="00B5091F"/>
    <w:rsid w:val="00B50BA6"/>
    <w:rsid w:val="00B50BD5"/>
    <w:rsid w:val="00B5111C"/>
    <w:rsid w:val="00B5111F"/>
    <w:rsid w:val="00B51146"/>
    <w:rsid w:val="00B51191"/>
    <w:rsid w:val="00B511F0"/>
    <w:rsid w:val="00B5124A"/>
    <w:rsid w:val="00B51323"/>
    <w:rsid w:val="00B51380"/>
    <w:rsid w:val="00B5164E"/>
    <w:rsid w:val="00B517BE"/>
    <w:rsid w:val="00B51844"/>
    <w:rsid w:val="00B51896"/>
    <w:rsid w:val="00B518DB"/>
    <w:rsid w:val="00B51945"/>
    <w:rsid w:val="00B51A17"/>
    <w:rsid w:val="00B51A9D"/>
    <w:rsid w:val="00B51CED"/>
    <w:rsid w:val="00B51D05"/>
    <w:rsid w:val="00B51E93"/>
    <w:rsid w:val="00B522B5"/>
    <w:rsid w:val="00B523E5"/>
    <w:rsid w:val="00B5261B"/>
    <w:rsid w:val="00B526A2"/>
    <w:rsid w:val="00B5270D"/>
    <w:rsid w:val="00B52728"/>
    <w:rsid w:val="00B528E3"/>
    <w:rsid w:val="00B52922"/>
    <w:rsid w:val="00B5297E"/>
    <w:rsid w:val="00B52985"/>
    <w:rsid w:val="00B529F4"/>
    <w:rsid w:val="00B52A17"/>
    <w:rsid w:val="00B52AA3"/>
    <w:rsid w:val="00B52B07"/>
    <w:rsid w:val="00B52D29"/>
    <w:rsid w:val="00B52D73"/>
    <w:rsid w:val="00B52E1A"/>
    <w:rsid w:val="00B52E33"/>
    <w:rsid w:val="00B52F11"/>
    <w:rsid w:val="00B530A8"/>
    <w:rsid w:val="00B53152"/>
    <w:rsid w:val="00B53186"/>
    <w:rsid w:val="00B531DF"/>
    <w:rsid w:val="00B532DB"/>
    <w:rsid w:val="00B5338E"/>
    <w:rsid w:val="00B533FB"/>
    <w:rsid w:val="00B53453"/>
    <w:rsid w:val="00B5349F"/>
    <w:rsid w:val="00B53524"/>
    <w:rsid w:val="00B535B3"/>
    <w:rsid w:val="00B536B4"/>
    <w:rsid w:val="00B537C9"/>
    <w:rsid w:val="00B53864"/>
    <w:rsid w:val="00B5386C"/>
    <w:rsid w:val="00B538BD"/>
    <w:rsid w:val="00B53A60"/>
    <w:rsid w:val="00B53B9D"/>
    <w:rsid w:val="00B53CCA"/>
    <w:rsid w:val="00B53D1D"/>
    <w:rsid w:val="00B53D31"/>
    <w:rsid w:val="00B53DDE"/>
    <w:rsid w:val="00B53F4C"/>
    <w:rsid w:val="00B53FC1"/>
    <w:rsid w:val="00B54024"/>
    <w:rsid w:val="00B54093"/>
    <w:rsid w:val="00B540AD"/>
    <w:rsid w:val="00B540C9"/>
    <w:rsid w:val="00B5432B"/>
    <w:rsid w:val="00B5450A"/>
    <w:rsid w:val="00B54637"/>
    <w:rsid w:val="00B54696"/>
    <w:rsid w:val="00B5472B"/>
    <w:rsid w:val="00B5474A"/>
    <w:rsid w:val="00B547C5"/>
    <w:rsid w:val="00B5484C"/>
    <w:rsid w:val="00B54987"/>
    <w:rsid w:val="00B54A1A"/>
    <w:rsid w:val="00B54AA3"/>
    <w:rsid w:val="00B54B5E"/>
    <w:rsid w:val="00B54C47"/>
    <w:rsid w:val="00B54CC2"/>
    <w:rsid w:val="00B54E07"/>
    <w:rsid w:val="00B54FD7"/>
    <w:rsid w:val="00B550DE"/>
    <w:rsid w:val="00B55260"/>
    <w:rsid w:val="00B552A6"/>
    <w:rsid w:val="00B55330"/>
    <w:rsid w:val="00B55366"/>
    <w:rsid w:val="00B553D0"/>
    <w:rsid w:val="00B554E1"/>
    <w:rsid w:val="00B55555"/>
    <w:rsid w:val="00B55682"/>
    <w:rsid w:val="00B55727"/>
    <w:rsid w:val="00B55761"/>
    <w:rsid w:val="00B557FA"/>
    <w:rsid w:val="00B55844"/>
    <w:rsid w:val="00B55879"/>
    <w:rsid w:val="00B558CE"/>
    <w:rsid w:val="00B558E1"/>
    <w:rsid w:val="00B558E6"/>
    <w:rsid w:val="00B55A0D"/>
    <w:rsid w:val="00B55A2E"/>
    <w:rsid w:val="00B55D5A"/>
    <w:rsid w:val="00B55EDC"/>
    <w:rsid w:val="00B56119"/>
    <w:rsid w:val="00B56209"/>
    <w:rsid w:val="00B563CA"/>
    <w:rsid w:val="00B565AB"/>
    <w:rsid w:val="00B565E1"/>
    <w:rsid w:val="00B566A4"/>
    <w:rsid w:val="00B56826"/>
    <w:rsid w:val="00B56852"/>
    <w:rsid w:val="00B569F9"/>
    <w:rsid w:val="00B56A80"/>
    <w:rsid w:val="00B56B0D"/>
    <w:rsid w:val="00B56BCF"/>
    <w:rsid w:val="00B56CA8"/>
    <w:rsid w:val="00B56DAB"/>
    <w:rsid w:val="00B56DF9"/>
    <w:rsid w:val="00B56E40"/>
    <w:rsid w:val="00B5702E"/>
    <w:rsid w:val="00B570A2"/>
    <w:rsid w:val="00B570C4"/>
    <w:rsid w:val="00B57157"/>
    <w:rsid w:val="00B571C8"/>
    <w:rsid w:val="00B572AD"/>
    <w:rsid w:val="00B573B5"/>
    <w:rsid w:val="00B57475"/>
    <w:rsid w:val="00B57622"/>
    <w:rsid w:val="00B57624"/>
    <w:rsid w:val="00B577A2"/>
    <w:rsid w:val="00B57866"/>
    <w:rsid w:val="00B57886"/>
    <w:rsid w:val="00B57922"/>
    <w:rsid w:val="00B57A9D"/>
    <w:rsid w:val="00B57C17"/>
    <w:rsid w:val="00B57CDE"/>
    <w:rsid w:val="00B57DE6"/>
    <w:rsid w:val="00B57DEE"/>
    <w:rsid w:val="00B57EE6"/>
    <w:rsid w:val="00B57FB9"/>
    <w:rsid w:val="00B60092"/>
    <w:rsid w:val="00B60172"/>
    <w:rsid w:val="00B602BD"/>
    <w:rsid w:val="00B6037F"/>
    <w:rsid w:val="00B60619"/>
    <w:rsid w:val="00B6068D"/>
    <w:rsid w:val="00B606F0"/>
    <w:rsid w:val="00B60862"/>
    <w:rsid w:val="00B60A23"/>
    <w:rsid w:val="00B60AE8"/>
    <w:rsid w:val="00B60BB7"/>
    <w:rsid w:val="00B60C2C"/>
    <w:rsid w:val="00B60C86"/>
    <w:rsid w:val="00B60CC7"/>
    <w:rsid w:val="00B60E22"/>
    <w:rsid w:val="00B60E25"/>
    <w:rsid w:val="00B610F7"/>
    <w:rsid w:val="00B6122E"/>
    <w:rsid w:val="00B612AF"/>
    <w:rsid w:val="00B613FC"/>
    <w:rsid w:val="00B6144C"/>
    <w:rsid w:val="00B61483"/>
    <w:rsid w:val="00B61525"/>
    <w:rsid w:val="00B61595"/>
    <w:rsid w:val="00B6188E"/>
    <w:rsid w:val="00B6190A"/>
    <w:rsid w:val="00B6191E"/>
    <w:rsid w:val="00B619A1"/>
    <w:rsid w:val="00B619F2"/>
    <w:rsid w:val="00B61A4C"/>
    <w:rsid w:val="00B61A73"/>
    <w:rsid w:val="00B61CF7"/>
    <w:rsid w:val="00B62150"/>
    <w:rsid w:val="00B621C3"/>
    <w:rsid w:val="00B62238"/>
    <w:rsid w:val="00B62249"/>
    <w:rsid w:val="00B6224F"/>
    <w:rsid w:val="00B62396"/>
    <w:rsid w:val="00B623D5"/>
    <w:rsid w:val="00B6246D"/>
    <w:rsid w:val="00B626B4"/>
    <w:rsid w:val="00B62792"/>
    <w:rsid w:val="00B627A7"/>
    <w:rsid w:val="00B627EA"/>
    <w:rsid w:val="00B62874"/>
    <w:rsid w:val="00B62A95"/>
    <w:rsid w:val="00B62AB8"/>
    <w:rsid w:val="00B62AFD"/>
    <w:rsid w:val="00B62BFA"/>
    <w:rsid w:val="00B62C7E"/>
    <w:rsid w:val="00B62CCB"/>
    <w:rsid w:val="00B62CD1"/>
    <w:rsid w:val="00B62CFE"/>
    <w:rsid w:val="00B62D1C"/>
    <w:rsid w:val="00B62FFC"/>
    <w:rsid w:val="00B63001"/>
    <w:rsid w:val="00B63073"/>
    <w:rsid w:val="00B630C4"/>
    <w:rsid w:val="00B63122"/>
    <w:rsid w:val="00B63315"/>
    <w:rsid w:val="00B633B6"/>
    <w:rsid w:val="00B634B1"/>
    <w:rsid w:val="00B63593"/>
    <w:rsid w:val="00B635F5"/>
    <w:rsid w:val="00B63652"/>
    <w:rsid w:val="00B636D9"/>
    <w:rsid w:val="00B6379D"/>
    <w:rsid w:val="00B63952"/>
    <w:rsid w:val="00B639FB"/>
    <w:rsid w:val="00B63A0D"/>
    <w:rsid w:val="00B63A89"/>
    <w:rsid w:val="00B63AE1"/>
    <w:rsid w:val="00B63AF1"/>
    <w:rsid w:val="00B63B9B"/>
    <w:rsid w:val="00B63C19"/>
    <w:rsid w:val="00B63D13"/>
    <w:rsid w:val="00B63D20"/>
    <w:rsid w:val="00B63D4D"/>
    <w:rsid w:val="00B63EE4"/>
    <w:rsid w:val="00B64001"/>
    <w:rsid w:val="00B640EB"/>
    <w:rsid w:val="00B64163"/>
    <w:rsid w:val="00B641DA"/>
    <w:rsid w:val="00B642E3"/>
    <w:rsid w:val="00B64339"/>
    <w:rsid w:val="00B64564"/>
    <w:rsid w:val="00B64587"/>
    <w:rsid w:val="00B64682"/>
    <w:rsid w:val="00B649A4"/>
    <w:rsid w:val="00B64C02"/>
    <w:rsid w:val="00B64C60"/>
    <w:rsid w:val="00B64C9F"/>
    <w:rsid w:val="00B64E0D"/>
    <w:rsid w:val="00B64E38"/>
    <w:rsid w:val="00B64E4F"/>
    <w:rsid w:val="00B64EBC"/>
    <w:rsid w:val="00B65139"/>
    <w:rsid w:val="00B6515C"/>
    <w:rsid w:val="00B655B0"/>
    <w:rsid w:val="00B655CD"/>
    <w:rsid w:val="00B656C5"/>
    <w:rsid w:val="00B656FE"/>
    <w:rsid w:val="00B657E4"/>
    <w:rsid w:val="00B65889"/>
    <w:rsid w:val="00B65983"/>
    <w:rsid w:val="00B659E3"/>
    <w:rsid w:val="00B65A52"/>
    <w:rsid w:val="00B65A60"/>
    <w:rsid w:val="00B65B6D"/>
    <w:rsid w:val="00B65C6A"/>
    <w:rsid w:val="00B65DF3"/>
    <w:rsid w:val="00B65ED1"/>
    <w:rsid w:val="00B66029"/>
    <w:rsid w:val="00B661F0"/>
    <w:rsid w:val="00B66316"/>
    <w:rsid w:val="00B66446"/>
    <w:rsid w:val="00B66549"/>
    <w:rsid w:val="00B6658E"/>
    <w:rsid w:val="00B666D6"/>
    <w:rsid w:val="00B667A7"/>
    <w:rsid w:val="00B6690F"/>
    <w:rsid w:val="00B66A05"/>
    <w:rsid w:val="00B66B57"/>
    <w:rsid w:val="00B66B5D"/>
    <w:rsid w:val="00B66E34"/>
    <w:rsid w:val="00B66E53"/>
    <w:rsid w:val="00B66E94"/>
    <w:rsid w:val="00B66EFF"/>
    <w:rsid w:val="00B66F45"/>
    <w:rsid w:val="00B66FFC"/>
    <w:rsid w:val="00B67058"/>
    <w:rsid w:val="00B67103"/>
    <w:rsid w:val="00B67191"/>
    <w:rsid w:val="00B67195"/>
    <w:rsid w:val="00B67283"/>
    <w:rsid w:val="00B673CB"/>
    <w:rsid w:val="00B674F6"/>
    <w:rsid w:val="00B67503"/>
    <w:rsid w:val="00B675A5"/>
    <w:rsid w:val="00B67661"/>
    <w:rsid w:val="00B677F2"/>
    <w:rsid w:val="00B6780B"/>
    <w:rsid w:val="00B678E5"/>
    <w:rsid w:val="00B67AA6"/>
    <w:rsid w:val="00B67B4C"/>
    <w:rsid w:val="00B67CA0"/>
    <w:rsid w:val="00B67CE6"/>
    <w:rsid w:val="00B67DBE"/>
    <w:rsid w:val="00B67E37"/>
    <w:rsid w:val="00B67F75"/>
    <w:rsid w:val="00B70256"/>
    <w:rsid w:val="00B702CF"/>
    <w:rsid w:val="00B702E0"/>
    <w:rsid w:val="00B7041D"/>
    <w:rsid w:val="00B70431"/>
    <w:rsid w:val="00B705F0"/>
    <w:rsid w:val="00B70611"/>
    <w:rsid w:val="00B70627"/>
    <w:rsid w:val="00B7078A"/>
    <w:rsid w:val="00B70895"/>
    <w:rsid w:val="00B708EC"/>
    <w:rsid w:val="00B7090B"/>
    <w:rsid w:val="00B709B1"/>
    <w:rsid w:val="00B70A6B"/>
    <w:rsid w:val="00B70AF4"/>
    <w:rsid w:val="00B70B34"/>
    <w:rsid w:val="00B70D0C"/>
    <w:rsid w:val="00B70D41"/>
    <w:rsid w:val="00B70DA7"/>
    <w:rsid w:val="00B70E49"/>
    <w:rsid w:val="00B70F25"/>
    <w:rsid w:val="00B70F9A"/>
    <w:rsid w:val="00B70FF8"/>
    <w:rsid w:val="00B71053"/>
    <w:rsid w:val="00B7116A"/>
    <w:rsid w:val="00B712EB"/>
    <w:rsid w:val="00B712F3"/>
    <w:rsid w:val="00B71353"/>
    <w:rsid w:val="00B713AB"/>
    <w:rsid w:val="00B71699"/>
    <w:rsid w:val="00B71768"/>
    <w:rsid w:val="00B719C8"/>
    <w:rsid w:val="00B71B12"/>
    <w:rsid w:val="00B71B4C"/>
    <w:rsid w:val="00B71BE9"/>
    <w:rsid w:val="00B71CB0"/>
    <w:rsid w:val="00B71CCE"/>
    <w:rsid w:val="00B71D83"/>
    <w:rsid w:val="00B71F1E"/>
    <w:rsid w:val="00B71F44"/>
    <w:rsid w:val="00B72197"/>
    <w:rsid w:val="00B72221"/>
    <w:rsid w:val="00B72293"/>
    <w:rsid w:val="00B723CC"/>
    <w:rsid w:val="00B723DC"/>
    <w:rsid w:val="00B7241E"/>
    <w:rsid w:val="00B7265F"/>
    <w:rsid w:val="00B72723"/>
    <w:rsid w:val="00B727FC"/>
    <w:rsid w:val="00B7295A"/>
    <w:rsid w:val="00B729EF"/>
    <w:rsid w:val="00B72B71"/>
    <w:rsid w:val="00B72C94"/>
    <w:rsid w:val="00B72D69"/>
    <w:rsid w:val="00B72E7D"/>
    <w:rsid w:val="00B72ECC"/>
    <w:rsid w:val="00B72F80"/>
    <w:rsid w:val="00B72FD6"/>
    <w:rsid w:val="00B73023"/>
    <w:rsid w:val="00B73109"/>
    <w:rsid w:val="00B73201"/>
    <w:rsid w:val="00B73408"/>
    <w:rsid w:val="00B734D2"/>
    <w:rsid w:val="00B735B2"/>
    <w:rsid w:val="00B73747"/>
    <w:rsid w:val="00B738C5"/>
    <w:rsid w:val="00B73935"/>
    <w:rsid w:val="00B739A9"/>
    <w:rsid w:val="00B739C7"/>
    <w:rsid w:val="00B73A17"/>
    <w:rsid w:val="00B73BAB"/>
    <w:rsid w:val="00B73C17"/>
    <w:rsid w:val="00B73D8C"/>
    <w:rsid w:val="00B73EDB"/>
    <w:rsid w:val="00B73F8C"/>
    <w:rsid w:val="00B74269"/>
    <w:rsid w:val="00B74362"/>
    <w:rsid w:val="00B7439B"/>
    <w:rsid w:val="00B7448C"/>
    <w:rsid w:val="00B74508"/>
    <w:rsid w:val="00B74683"/>
    <w:rsid w:val="00B746EC"/>
    <w:rsid w:val="00B749A9"/>
    <w:rsid w:val="00B74A28"/>
    <w:rsid w:val="00B74A7E"/>
    <w:rsid w:val="00B74BF2"/>
    <w:rsid w:val="00B74F21"/>
    <w:rsid w:val="00B74F9A"/>
    <w:rsid w:val="00B75057"/>
    <w:rsid w:val="00B750FF"/>
    <w:rsid w:val="00B75130"/>
    <w:rsid w:val="00B7513C"/>
    <w:rsid w:val="00B751CE"/>
    <w:rsid w:val="00B7521D"/>
    <w:rsid w:val="00B75294"/>
    <w:rsid w:val="00B7547A"/>
    <w:rsid w:val="00B755DF"/>
    <w:rsid w:val="00B75603"/>
    <w:rsid w:val="00B75777"/>
    <w:rsid w:val="00B75912"/>
    <w:rsid w:val="00B75953"/>
    <w:rsid w:val="00B759EA"/>
    <w:rsid w:val="00B75A3B"/>
    <w:rsid w:val="00B75A3D"/>
    <w:rsid w:val="00B75AEE"/>
    <w:rsid w:val="00B75AF1"/>
    <w:rsid w:val="00B75BD4"/>
    <w:rsid w:val="00B75C3D"/>
    <w:rsid w:val="00B75CD0"/>
    <w:rsid w:val="00B75CDD"/>
    <w:rsid w:val="00B75DDA"/>
    <w:rsid w:val="00B75E1C"/>
    <w:rsid w:val="00B75E28"/>
    <w:rsid w:val="00B75E5A"/>
    <w:rsid w:val="00B75EDC"/>
    <w:rsid w:val="00B75EE6"/>
    <w:rsid w:val="00B75F5B"/>
    <w:rsid w:val="00B760A8"/>
    <w:rsid w:val="00B76314"/>
    <w:rsid w:val="00B765C3"/>
    <w:rsid w:val="00B765FB"/>
    <w:rsid w:val="00B76628"/>
    <w:rsid w:val="00B769AE"/>
    <w:rsid w:val="00B769C7"/>
    <w:rsid w:val="00B769FE"/>
    <w:rsid w:val="00B76A86"/>
    <w:rsid w:val="00B76B4B"/>
    <w:rsid w:val="00B76C5E"/>
    <w:rsid w:val="00B76DB9"/>
    <w:rsid w:val="00B770F7"/>
    <w:rsid w:val="00B77230"/>
    <w:rsid w:val="00B77284"/>
    <w:rsid w:val="00B77289"/>
    <w:rsid w:val="00B773F8"/>
    <w:rsid w:val="00B77488"/>
    <w:rsid w:val="00B777EE"/>
    <w:rsid w:val="00B77889"/>
    <w:rsid w:val="00B778E5"/>
    <w:rsid w:val="00B779A4"/>
    <w:rsid w:val="00B77DD7"/>
    <w:rsid w:val="00B800A5"/>
    <w:rsid w:val="00B801C1"/>
    <w:rsid w:val="00B80256"/>
    <w:rsid w:val="00B80495"/>
    <w:rsid w:val="00B80502"/>
    <w:rsid w:val="00B8060F"/>
    <w:rsid w:val="00B8067F"/>
    <w:rsid w:val="00B8081D"/>
    <w:rsid w:val="00B8082A"/>
    <w:rsid w:val="00B809CB"/>
    <w:rsid w:val="00B80A0C"/>
    <w:rsid w:val="00B80B0B"/>
    <w:rsid w:val="00B80B18"/>
    <w:rsid w:val="00B80B60"/>
    <w:rsid w:val="00B80C6A"/>
    <w:rsid w:val="00B80C8F"/>
    <w:rsid w:val="00B80E0D"/>
    <w:rsid w:val="00B80F20"/>
    <w:rsid w:val="00B80FCB"/>
    <w:rsid w:val="00B810D7"/>
    <w:rsid w:val="00B81103"/>
    <w:rsid w:val="00B81144"/>
    <w:rsid w:val="00B81285"/>
    <w:rsid w:val="00B812B1"/>
    <w:rsid w:val="00B812C5"/>
    <w:rsid w:val="00B81564"/>
    <w:rsid w:val="00B8161D"/>
    <w:rsid w:val="00B8162C"/>
    <w:rsid w:val="00B81686"/>
    <w:rsid w:val="00B817EF"/>
    <w:rsid w:val="00B818BB"/>
    <w:rsid w:val="00B81A02"/>
    <w:rsid w:val="00B81B94"/>
    <w:rsid w:val="00B81BE7"/>
    <w:rsid w:val="00B81C7A"/>
    <w:rsid w:val="00B81CCA"/>
    <w:rsid w:val="00B81CF1"/>
    <w:rsid w:val="00B81D36"/>
    <w:rsid w:val="00B81DB6"/>
    <w:rsid w:val="00B81E07"/>
    <w:rsid w:val="00B81E3D"/>
    <w:rsid w:val="00B81E47"/>
    <w:rsid w:val="00B81F8F"/>
    <w:rsid w:val="00B81F93"/>
    <w:rsid w:val="00B81FEC"/>
    <w:rsid w:val="00B82011"/>
    <w:rsid w:val="00B8210E"/>
    <w:rsid w:val="00B82178"/>
    <w:rsid w:val="00B821A7"/>
    <w:rsid w:val="00B821AC"/>
    <w:rsid w:val="00B8223F"/>
    <w:rsid w:val="00B8225B"/>
    <w:rsid w:val="00B8229D"/>
    <w:rsid w:val="00B82301"/>
    <w:rsid w:val="00B82594"/>
    <w:rsid w:val="00B825EB"/>
    <w:rsid w:val="00B826A3"/>
    <w:rsid w:val="00B826FD"/>
    <w:rsid w:val="00B82783"/>
    <w:rsid w:val="00B82873"/>
    <w:rsid w:val="00B829EF"/>
    <w:rsid w:val="00B82AF8"/>
    <w:rsid w:val="00B82B0A"/>
    <w:rsid w:val="00B82B14"/>
    <w:rsid w:val="00B82EFF"/>
    <w:rsid w:val="00B83032"/>
    <w:rsid w:val="00B8307B"/>
    <w:rsid w:val="00B8328D"/>
    <w:rsid w:val="00B83631"/>
    <w:rsid w:val="00B83660"/>
    <w:rsid w:val="00B83702"/>
    <w:rsid w:val="00B838DA"/>
    <w:rsid w:val="00B838DD"/>
    <w:rsid w:val="00B83900"/>
    <w:rsid w:val="00B83B2B"/>
    <w:rsid w:val="00B83B33"/>
    <w:rsid w:val="00B83B41"/>
    <w:rsid w:val="00B83BB8"/>
    <w:rsid w:val="00B83C8D"/>
    <w:rsid w:val="00B83F92"/>
    <w:rsid w:val="00B84049"/>
    <w:rsid w:val="00B8426C"/>
    <w:rsid w:val="00B842A3"/>
    <w:rsid w:val="00B842C9"/>
    <w:rsid w:val="00B84530"/>
    <w:rsid w:val="00B84608"/>
    <w:rsid w:val="00B84788"/>
    <w:rsid w:val="00B8481E"/>
    <w:rsid w:val="00B848B9"/>
    <w:rsid w:val="00B8492D"/>
    <w:rsid w:val="00B84995"/>
    <w:rsid w:val="00B849C5"/>
    <w:rsid w:val="00B84A8A"/>
    <w:rsid w:val="00B84A96"/>
    <w:rsid w:val="00B84B80"/>
    <w:rsid w:val="00B84BC4"/>
    <w:rsid w:val="00B84C28"/>
    <w:rsid w:val="00B84C47"/>
    <w:rsid w:val="00B84CA3"/>
    <w:rsid w:val="00B84CD2"/>
    <w:rsid w:val="00B84D38"/>
    <w:rsid w:val="00B84D61"/>
    <w:rsid w:val="00B84DCC"/>
    <w:rsid w:val="00B84DE7"/>
    <w:rsid w:val="00B84E23"/>
    <w:rsid w:val="00B8500C"/>
    <w:rsid w:val="00B85175"/>
    <w:rsid w:val="00B851E4"/>
    <w:rsid w:val="00B852D3"/>
    <w:rsid w:val="00B8553E"/>
    <w:rsid w:val="00B855DC"/>
    <w:rsid w:val="00B857D2"/>
    <w:rsid w:val="00B85B7C"/>
    <w:rsid w:val="00B85C8D"/>
    <w:rsid w:val="00B85E36"/>
    <w:rsid w:val="00B85E89"/>
    <w:rsid w:val="00B86039"/>
    <w:rsid w:val="00B860A2"/>
    <w:rsid w:val="00B860BC"/>
    <w:rsid w:val="00B8621D"/>
    <w:rsid w:val="00B86223"/>
    <w:rsid w:val="00B8628A"/>
    <w:rsid w:val="00B863DC"/>
    <w:rsid w:val="00B86507"/>
    <w:rsid w:val="00B8651B"/>
    <w:rsid w:val="00B86581"/>
    <w:rsid w:val="00B865B9"/>
    <w:rsid w:val="00B865D5"/>
    <w:rsid w:val="00B866B1"/>
    <w:rsid w:val="00B86733"/>
    <w:rsid w:val="00B869DC"/>
    <w:rsid w:val="00B86A05"/>
    <w:rsid w:val="00B86AE2"/>
    <w:rsid w:val="00B86BCA"/>
    <w:rsid w:val="00B86BCC"/>
    <w:rsid w:val="00B86C94"/>
    <w:rsid w:val="00B86D42"/>
    <w:rsid w:val="00B86E78"/>
    <w:rsid w:val="00B86F33"/>
    <w:rsid w:val="00B87053"/>
    <w:rsid w:val="00B8706E"/>
    <w:rsid w:val="00B873FA"/>
    <w:rsid w:val="00B874A8"/>
    <w:rsid w:val="00B874B8"/>
    <w:rsid w:val="00B87647"/>
    <w:rsid w:val="00B876C6"/>
    <w:rsid w:val="00B877A4"/>
    <w:rsid w:val="00B877B7"/>
    <w:rsid w:val="00B87BB6"/>
    <w:rsid w:val="00B87C0E"/>
    <w:rsid w:val="00B87D47"/>
    <w:rsid w:val="00B87D78"/>
    <w:rsid w:val="00B87D8C"/>
    <w:rsid w:val="00B87F69"/>
    <w:rsid w:val="00B90069"/>
    <w:rsid w:val="00B90166"/>
    <w:rsid w:val="00B90347"/>
    <w:rsid w:val="00B903F3"/>
    <w:rsid w:val="00B90479"/>
    <w:rsid w:val="00B9059B"/>
    <w:rsid w:val="00B906D1"/>
    <w:rsid w:val="00B906ED"/>
    <w:rsid w:val="00B9071C"/>
    <w:rsid w:val="00B90725"/>
    <w:rsid w:val="00B907A9"/>
    <w:rsid w:val="00B907C4"/>
    <w:rsid w:val="00B908FA"/>
    <w:rsid w:val="00B9091F"/>
    <w:rsid w:val="00B90951"/>
    <w:rsid w:val="00B90D38"/>
    <w:rsid w:val="00B90D45"/>
    <w:rsid w:val="00B90D4C"/>
    <w:rsid w:val="00B910B0"/>
    <w:rsid w:val="00B91178"/>
    <w:rsid w:val="00B91195"/>
    <w:rsid w:val="00B9137A"/>
    <w:rsid w:val="00B914E1"/>
    <w:rsid w:val="00B915A5"/>
    <w:rsid w:val="00B915C7"/>
    <w:rsid w:val="00B91741"/>
    <w:rsid w:val="00B917C8"/>
    <w:rsid w:val="00B91834"/>
    <w:rsid w:val="00B9193B"/>
    <w:rsid w:val="00B9195E"/>
    <w:rsid w:val="00B91BAE"/>
    <w:rsid w:val="00B91E7B"/>
    <w:rsid w:val="00B91ED2"/>
    <w:rsid w:val="00B91FAD"/>
    <w:rsid w:val="00B91FD7"/>
    <w:rsid w:val="00B91FD8"/>
    <w:rsid w:val="00B92073"/>
    <w:rsid w:val="00B92255"/>
    <w:rsid w:val="00B923F2"/>
    <w:rsid w:val="00B92413"/>
    <w:rsid w:val="00B9249A"/>
    <w:rsid w:val="00B924F1"/>
    <w:rsid w:val="00B92579"/>
    <w:rsid w:val="00B925C3"/>
    <w:rsid w:val="00B926A9"/>
    <w:rsid w:val="00B9285C"/>
    <w:rsid w:val="00B928A1"/>
    <w:rsid w:val="00B92ABD"/>
    <w:rsid w:val="00B92B45"/>
    <w:rsid w:val="00B92B4B"/>
    <w:rsid w:val="00B92BDA"/>
    <w:rsid w:val="00B92BE1"/>
    <w:rsid w:val="00B92C27"/>
    <w:rsid w:val="00B92C6B"/>
    <w:rsid w:val="00B92F45"/>
    <w:rsid w:val="00B92F5C"/>
    <w:rsid w:val="00B92F69"/>
    <w:rsid w:val="00B93188"/>
    <w:rsid w:val="00B93208"/>
    <w:rsid w:val="00B93235"/>
    <w:rsid w:val="00B933A4"/>
    <w:rsid w:val="00B93458"/>
    <w:rsid w:val="00B934D7"/>
    <w:rsid w:val="00B93569"/>
    <w:rsid w:val="00B93593"/>
    <w:rsid w:val="00B936FE"/>
    <w:rsid w:val="00B93712"/>
    <w:rsid w:val="00B9388C"/>
    <w:rsid w:val="00B93A46"/>
    <w:rsid w:val="00B93A5A"/>
    <w:rsid w:val="00B93A80"/>
    <w:rsid w:val="00B93AA6"/>
    <w:rsid w:val="00B93BFB"/>
    <w:rsid w:val="00B93D4A"/>
    <w:rsid w:val="00B93D59"/>
    <w:rsid w:val="00B93F68"/>
    <w:rsid w:val="00B93FFE"/>
    <w:rsid w:val="00B94041"/>
    <w:rsid w:val="00B94067"/>
    <w:rsid w:val="00B94211"/>
    <w:rsid w:val="00B9425A"/>
    <w:rsid w:val="00B94343"/>
    <w:rsid w:val="00B9444E"/>
    <w:rsid w:val="00B94458"/>
    <w:rsid w:val="00B94485"/>
    <w:rsid w:val="00B94513"/>
    <w:rsid w:val="00B9459B"/>
    <w:rsid w:val="00B948D8"/>
    <w:rsid w:val="00B949FB"/>
    <w:rsid w:val="00B94A9E"/>
    <w:rsid w:val="00B94AB2"/>
    <w:rsid w:val="00B94B21"/>
    <w:rsid w:val="00B94BF7"/>
    <w:rsid w:val="00B94E87"/>
    <w:rsid w:val="00B94FA0"/>
    <w:rsid w:val="00B94FB5"/>
    <w:rsid w:val="00B94FB7"/>
    <w:rsid w:val="00B94FF2"/>
    <w:rsid w:val="00B95092"/>
    <w:rsid w:val="00B95278"/>
    <w:rsid w:val="00B953BF"/>
    <w:rsid w:val="00B9543F"/>
    <w:rsid w:val="00B95451"/>
    <w:rsid w:val="00B9564F"/>
    <w:rsid w:val="00B957B9"/>
    <w:rsid w:val="00B9584F"/>
    <w:rsid w:val="00B95879"/>
    <w:rsid w:val="00B9590A"/>
    <w:rsid w:val="00B95970"/>
    <w:rsid w:val="00B959CF"/>
    <w:rsid w:val="00B95A97"/>
    <w:rsid w:val="00B95AF7"/>
    <w:rsid w:val="00B95BCE"/>
    <w:rsid w:val="00B95C12"/>
    <w:rsid w:val="00B95CED"/>
    <w:rsid w:val="00B95D3B"/>
    <w:rsid w:val="00B95DD0"/>
    <w:rsid w:val="00B95F03"/>
    <w:rsid w:val="00B96078"/>
    <w:rsid w:val="00B963AB"/>
    <w:rsid w:val="00B964BC"/>
    <w:rsid w:val="00B9664A"/>
    <w:rsid w:val="00B968A7"/>
    <w:rsid w:val="00B968BA"/>
    <w:rsid w:val="00B969C7"/>
    <w:rsid w:val="00B96BF7"/>
    <w:rsid w:val="00B96C9F"/>
    <w:rsid w:val="00B96D37"/>
    <w:rsid w:val="00B96D98"/>
    <w:rsid w:val="00B96DD8"/>
    <w:rsid w:val="00B96DF6"/>
    <w:rsid w:val="00B96E0E"/>
    <w:rsid w:val="00B970B6"/>
    <w:rsid w:val="00B971E9"/>
    <w:rsid w:val="00B97200"/>
    <w:rsid w:val="00B97203"/>
    <w:rsid w:val="00B97461"/>
    <w:rsid w:val="00B974A0"/>
    <w:rsid w:val="00B9764F"/>
    <w:rsid w:val="00B97757"/>
    <w:rsid w:val="00B9780C"/>
    <w:rsid w:val="00B9787F"/>
    <w:rsid w:val="00B97957"/>
    <w:rsid w:val="00B979DB"/>
    <w:rsid w:val="00B97BD5"/>
    <w:rsid w:val="00B97C76"/>
    <w:rsid w:val="00B97CC6"/>
    <w:rsid w:val="00B97E46"/>
    <w:rsid w:val="00B97EF1"/>
    <w:rsid w:val="00BA00B8"/>
    <w:rsid w:val="00BA01A6"/>
    <w:rsid w:val="00BA02B8"/>
    <w:rsid w:val="00BA052E"/>
    <w:rsid w:val="00BA05C8"/>
    <w:rsid w:val="00BA061A"/>
    <w:rsid w:val="00BA06D9"/>
    <w:rsid w:val="00BA0836"/>
    <w:rsid w:val="00BA0841"/>
    <w:rsid w:val="00BA0893"/>
    <w:rsid w:val="00BA09A1"/>
    <w:rsid w:val="00BA0A0C"/>
    <w:rsid w:val="00BA0B04"/>
    <w:rsid w:val="00BA0E3E"/>
    <w:rsid w:val="00BA104C"/>
    <w:rsid w:val="00BA1353"/>
    <w:rsid w:val="00BA1568"/>
    <w:rsid w:val="00BA1576"/>
    <w:rsid w:val="00BA158E"/>
    <w:rsid w:val="00BA1782"/>
    <w:rsid w:val="00BA199E"/>
    <w:rsid w:val="00BA1A02"/>
    <w:rsid w:val="00BA1A85"/>
    <w:rsid w:val="00BA1B79"/>
    <w:rsid w:val="00BA1BB4"/>
    <w:rsid w:val="00BA1C90"/>
    <w:rsid w:val="00BA1D19"/>
    <w:rsid w:val="00BA1D34"/>
    <w:rsid w:val="00BA2057"/>
    <w:rsid w:val="00BA2175"/>
    <w:rsid w:val="00BA21AC"/>
    <w:rsid w:val="00BA2225"/>
    <w:rsid w:val="00BA22C8"/>
    <w:rsid w:val="00BA2388"/>
    <w:rsid w:val="00BA23D4"/>
    <w:rsid w:val="00BA272A"/>
    <w:rsid w:val="00BA277B"/>
    <w:rsid w:val="00BA2848"/>
    <w:rsid w:val="00BA2B87"/>
    <w:rsid w:val="00BA2BD8"/>
    <w:rsid w:val="00BA2BF8"/>
    <w:rsid w:val="00BA2C0F"/>
    <w:rsid w:val="00BA2C57"/>
    <w:rsid w:val="00BA2EB5"/>
    <w:rsid w:val="00BA2EFA"/>
    <w:rsid w:val="00BA3000"/>
    <w:rsid w:val="00BA3008"/>
    <w:rsid w:val="00BA3019"/>
    <w:rsid w:val="00BA3037"/>
    <w:rsid w:val="00BA308B"/>
    <w:rsid w:val="00BA31B0"/>
    <w:rsid w:val="00BA31F0"/>
    <w:rsid w:val="00BA325B"/>
    <w:rsid w:val="00BA32C1"/>
    <w:rsid w:val="00BA348C"/>
    <w:rsid w:val="00BA3491"/>
    <w:rsid w:val="00BA34F4"/>
    <w:rsid w:val="00BA3690"/>
    <w:rsid w:val="00BA371D"/>
    <w:rsid w:val="00BA3AAA"/>
    <w:rsid w:val="00BA3ADA"/>
    <w:rsid w:val="00BA3B95"/>
    <w:rsid w:val="00BA3F36"/>
    <w:rsid w:val="00BA3FDE"/>
    <w:rsid w:val="00BA4027"/>
    <w:rsid w:val="00BA40FE"/>
    <w:rsid w:val="00BA410F"/>
    <w:rsid w:val="00BA41F7"/>
    <w:rsid w:val="00BA43C2"/>
    <w:rsid w:val="00BA4535"/>
    <w:rsid w:val="00BA45EC"/>
    <w:rsid w:val="00BA4890"/>
    <w:rsid w:val="00BA4916"/>
    <w:rsid w:val="00BA49FB"/>
    <w:rsid w:val="00BA4E71"/>
    <w:rsid w:val="00BA4F95"/>
    <w:rsid w:val="00BA504B"/>
    <w:rsid w:val="00BA5070"/>
    <w:rsid w:val="00BA50C3"/>
    <w:rsid w:val="00BA5181"/>
    <w:rsid w:val="00BA51AF"/>
    <w:rsid w:val="00BA52B9"/>
    <w:rsid w:val="00BA53DF"/>
    <w:rsid w:val="00BA54EE"/>
    <w:rsid w:val="00BA5584"/>
    <w:rsid w:val="00BA5678"/>
    <w:rsid w:val="00BA583A"/>
    <w:rsid w:val="00BA5990"/>
    <w:rsid w:val="00BA5A0A"/>
    <w:rsid w:val="00BA5A1C"/>
    <w:rsid w:val="00BA5D0E"/>
    <w:rsid w:val="00BA5D64"/>
    <w:rsid w:val="00BA5D6B"/>
    <w:rsid w:val="00BA5DA1"/>
    <w:rsid w:val="00BA5DFD"/>
    <w:rsid w:val="00BA5E1C"/>
    <w:rsid w:val="00BA5EF3"/>
    <w:rsid w:val="00BA6044"/>
    <w:rsid w:val="00BA60A5"/>
    <w:rsid w:val="00BA62F6"/>
    <w:rsid w:val="00BA6355"/>
    <w:rsid w:val="00BA650B"/>
    <w:rsid w:val="00BA65B5"/>
    <w:rsid w:val="00BA6740"/>
    <w:rsid w:val="00BA67FA"/>
    <w:rsid w:val="00BA698B"/>
    <w:rsid w:val="00BA69B9"/>
    <w:rsid w:val="00BA69D0"/>
    <w:rsid w:val="00BA6AFF"/>
    <w:rsid w:val="00BA6B20"/>
    <w:rsid w:val="00BA6D5C"/>
    <w:rsid w:val="00BA6D97"/>
    <w:rsid w:val="00BA6E10"/>
    <w:rsid w:val="00BA6E29"/>
    <w:rsid w:val="00BA6E60"/>
    <w:rsid w:val="00BA6EB5"/>
    <w:rsid w:val="00BA6EBD"/>
    <w:rsid w:val="00BA7054"/>
    <w:rsid w:val="00BA72D0"/>
    <w:rsid w:val="00BA73B9"/>
    <w:rsid w:val="00BA7417"/>
    <w:rsid w:val="00BA745F"/>
    <w:rsid w:val="00BA74BA"/>
    <w:rsid w:val="00BA75BF"/>
    <w:rsid w:val="00BA763C"/>
    <w:rsid w:val="00BA78D7"/>
    <w:rsid w:val="00BA797D"/>
    <w:rsid w:val="00BA7983"/>
    <w:rsid w:val="00BA7A14"/>
    <w:rsid w:val="00BA7CE4"/>
    <w:rsid w:val="00BA7CEF"/>
    <w:rsid w:val="00BA7CF8"/>
    <w:rsid w:val="00BA7D7D"/>
    <w:rsid w:val="00BA7DDE"/>
    <w:rsid w:val="00BA7E6B"/>
    <w:rsid w:val="00BA7EEB"/>
    <w:rsid w:val="00BB0040"/>
    <w:rsid w:val="00BB008D"/>
    <w:rsid w:val="00BB018E"/>
    <w:rsid w:val="00BB04CF"/>
    <w:rsid w:val="00BB05D9"/>
    <w:rsid w:val="00BB06FB"/>
    <w:rsid w:val="00BB0A6B"/>
    <w:rsid w:val="00BB0B0F"/>
    <w:rsid w:val="00BB0BDA"/>
    <w:rsid w:val="00BB0BF7"/>
    <w:rsid w:val="00BB0C80"/>
    <w:rsid w:val="00BB0CC9"/>
    <w:rsid w:val="00BB0CF3"/>
    <w:rsid w:val="00BB0D7F"/>
    <w:rsid w:val="00BB0E0B"/>
    <w:rsid w:val="00BB0FAF"/>
    <w:rsid w:val="00BB10D2"/>
    <w:rsid w:val="00BB10FF"/>
    <w:rsid w:val="00BB11A9"/>
    <w:rsid w:val="00BB1442"/>
    <w:rsid w:val="00BB14FD"/>
    <w:rsid w:val="00BB157E"/>
    <w:rsid w:val="00BB15B6"/>
    <w:rsid w:val="00BB1711"/>
    <w:rsid w:val="00BB1731"/>
    <w:rsid w:val="00BB17C8"/>
    <w:rsid w:val="00BB19B1"/>
    <w:rsid w:val="00BB1BC0"/>
    <w:rsid w:val="00BB1BFA"/>
    <w:rsid w:val="00BB1C45"/>
    <w:rsid w:val="00BB1D6C"/>
    <w:rsid w:val="00BB1D96"/>
    <w:rsid w:val="00BB1DA0"/>
    <w:rsid w:val="00BB1F12"/>
    <w:rsid w:val="00BB1FF4"/>
    <w:rsid w:val="00BB2198"/>
    <w:rsid w:val="00BB2256"/>
    <w:rsid w:val="00BB2260"/>
    <w:rsid w:val="00BB2268"/>
    <w:rsid w:val="00BB2394"/>
    <w:rsid w:val="00BB24A7"/>
    <w:rsid w:val="00BB2B2E"/>
    <w:rsid w:val="00BB2B91"/>
    <w:rsid w:val="00BB2CEF"/>
    <w:rsid w:val="00BB2DFB"/>
    <w:rsid w:val="00BB2E3A"/>
    <w:rsid w:val="00BB2FB2"/>
    <w:rsid w:val="00BB2FFD"/>
    <w:rsid w:val="00BB320F"/>
    <w:rsid w:val="00BB3320"/>
    <w:rsid w:val="00BB34A6"/>
    <w:rsid w:val="00BB34E6"/>
    <w:rsid w:val="00BB34EE"/>
    <w:rsid w:val="00BB37AE"/>
    <w:rsid w:val="00BB38B3"/>
    <w:rsid w:val="00BB3908"/>
    <w:rsid w:val="00BB3C2E"/>
    <w:rsid w:val="00BB3CB0"/>
    <w:rsid w:val="00BB3E3A"/>
    <w:rsid w:val="00BB3EF3"/>
    <w:rsid w:val="00BB3FF5"/>
    <w:rsid w:val="00BB4269"/>
    <w:rsid w:val="00BB4274"/>
    <w:rsid w:val="00BB42DF"/>
    <w:rsid w:val="00BB431A"/>
    <w:rsid w:val="00BB44A3"/>
    <w:rsid w:val="00BB4582"/>
    <w:rsid w:val="00BB46EB"/>
    <w:rsid w:val="00BB476C"/>
    <w:rsid w:val="00BB4900"/>
    <w:rsid w:val="00BB4A2C"/>
    <w:rsid w:val="00BB4B1B"/>
    <w:rsid w:val="00BB4B41"/>
    <w:rsid w:val="00BB4B58"/>
    <w:rsid w:val="00BB4B90"/>
    <w:rsid w:val="00BB4C70"/>
    <w:rsid w:val="00BB4C81"/>
    <w:rsid w:val="00BB4E11"/>
    <w:rsid w:val="00BB4FC2"/>
    <w:rsid w:val="00BB500C"/>
    <w:rsid w:val="00BB5114"/>
    <w:rsid w:val="00BB511C"/>
    <w:rsid w:val="00BB5149"/>
    <w:rsid w:val="00BB51C6"/>
    <w:rsid w:val="00BB5327"/>
    <w:rsid w:val="00BB5473"/>
    <w:rsid w:val="00BB5492"/>
    <w:rsid w:val="00BB5496"/>
    <w:rsid w:val="00BB556B"/>
    <w:rsid w:val="00BB556F"/>
    <w:rsid w:val="00BB5672"/>
    <w:rsid w:val="00BB56DF"/>
    <w:rsid w:val="00BB5722"/>
    <w:rsid w:val="00BB580A"/>
    <w:rsid w:val="00BB5B25"/>
    <w:rsid w:val="00BB5D3B"/>
    <w:rsid w:val="00BB5D8A"/>
    <w:rsid w:val="00BB5DF5"/>
    <w:rsid w:val="00BB5FCF"/>
    <w:rsid w:val="00BB60AC"/>
    <w:rsid w:val="00BB612D"/>
    <w:rsid w:val="00BB619F"/>
    <w:rsid w:val="00BB639B"/>
    <w:rsid w:val="00BB63D3"/>
    <w:rsid w:val="00BB64E2"/>
    <w:rsid w:val="00BB659A"/>
    <w:rsid w:val="00BB663E"/>
    <w:rsid w:val="00BB6670"/>
    <w:rsid w:val="00BB6732"/>
    <w:rsid w:val="00BB683C"/>
    <w:rsid w:val="00BB68E4"/>
    <w:rsid w:val="00BB68F1"/>
    <w:rsid w:val="00BB6AFA"/>
    <w:rsid w:val="00BB6B12"/>
    <w:rsid w:val="00BB6B2C"/>
    <w:rsid w:val="00BB6BA3"/>
    <w:rsid w:val="00BB6BB9"/>
    <w:rsid w:val="00BB6C4E"/>
    <w:rsid w:val="00BB6D35"/>
    <w:rsid w:val="00BB6EAE"/>
    <w:rsid w:val="00BB6EE7"/>
    <w:rsid w:val="00BB70F4"/>
    <w:rsid w:val="00BB7170"/>
    <w:rsid w:val="00BB7281"/>
    <w:rsid w:val="00BB7380"/>
    <w:rsid w:val="00BB7530"/>
    <w:rsid w:val="00BB7553"/>
    <w:rsid w:val="00BB758A"/>
    <w:rsid w:val="00BB7594"/>
    <w:rsid w:val="00BB75FB"/>
    <w:rsid w:val="00BB76E4"/>
    <w:rsid w:val="00BB7864"/>
    <w:rsid w:val="00BB78AD"/>
    <w:rsid w:val="00BB7A1F"/>
    <w:rsid w:val="00BB7B5E"/>
    <w:rsid w:val="00BB7BC4"/>
    <w:rsid w:val="00BB7D10"/>
    <w:rsid w:val="00BB7F76"/>
    <w:rsid w:val="00BB7FD0"/>
    <w:rsid w:val="00BC044D"/>
    <w:rsid w:val="00BC059B"/>
    <w:rsid w:val="00BC0711"/>
    <w:rsid w:val="00BC09C8"/>
    <w:rsid w:val="00BC0BC3"/>
    <w:rsid w:val="00BC0C8E"/>
    <w:rsid w:val="00BC0DD7"/>
    <w:rsid w:val="00BC0EDE"/>
    <w:rsid w:val="00BC0F0D"/>
    <w:rsid w:val="00BC0FD8"/>
    <w:rsid w:val="00BC102D"/>
    <w:rsid w:val="00BC10D4"/>
    <w:rsid w:val="00BC12A2"/>
    <w:rsid w:val="00BC1311"/>
    <w:rsid w:val="00BC142B"/>
    <w:rsid w:val="00BC146F"/>
    <w:rsid w:val="00BC14B9"/>
    <w:rsid w:val="00BC14F4"/>
    <w:rsid w:val="00BC159E"/>
    <w:rsid w:val="00BC15EB"/>
    <w:rsid w:val="00BC170D"/>
    <w:rsid w:val="00BC17F9"/>
    <w:rsid w:val="00BC1811"/>
    <w:rsid w:val="00BC18DF"/>
    <w:rsid w:val="00BC1995"/>
    <w:rsid w:val="00BC1998"/>
    <w:rsid w:val="00BC1B69"/>
    <w:rsid w:val="00BC1BDC"/>
    <w:rsid w:val="00BC1C71"/>
    <w:rsid w:val="00BC1CEE"/>
    <w:rsid w:val="00BC1EAF"/>
    <w:rsid w:val="00BC1EB6"/>
    <w:rsid w:val="00BC1F50"/>
    <w:rsid w:val="00BC200D"/>
    <w:rsid w:val="00BC20FC"/>
    <w:rsid w:val="00BC2282"/>
    <w:rsid w:val="00BC22B6"/>
    <w:rsid w:val="00BC23CD"/>
    <w:rsid w:val="00BC2432"/>
    <w:rsid w:val="00BC24FD"/>
    <w:rsid w:val="00BC2699"/>
    <w:rsid w:val="00BC26E3"/>
    <w:rsid w:val="00BC2706"/>
    <w:rsid w:val="00BC2834"/>
    <w:rsid w:val="00BC29DE"/>
    <w:rsid w:val="00BC2A84"/>
    <w:rsid w:val="00BC2AC4"/>
    <w:rsid w:val="00BC2AE6"/>
    <w:rsid w:val="00BC2B27"/>
    <w:rsid w:val="00BC2D21"/>
    <w:rsid w:val="00BC2E3F"/>
    <w:rsid w:val="00BC2E69"/>
    <w:rsid w:val="00BC2E6A"/>
    <w:rsid w:val="00BC2E93"/>
    <w:rsid w:val="00BC2F11"/>
    <w:rsid w:val="00BC2F3D"/>
    <w:rsid w:val="00BC2FD5"/>
    <w:rsid w:val="00BC3044"/>
    <w:rsid w:val="00BC30A0"/>
    <w:rsid w:val="00BC3115"/>
    <w:rsid w:val="00BC3410"/>
    <w:rsid w:val="00BC3532"/>
    <w:rsid w:val="00BC3591"/>
    <w:rsid w:val="00BC3627"/>
    <w:rsid w:val="00BC36D7"/>
    <w:rsid w:val="00BC37F2"/>
    <w:rsid w:val="00BC3913"/>
    <w:rsid w:val="00BC39F6"/>
    <w:rsid w:val="00BC3A4C"/>
    <w:rsid w:val="00BC3B10"/>
    <w:rsid w:val="00BC3B78"/>
    <w:rsid w:val="00BC3C06"/>
    <w:rsid w:val="00BC3C76"/>
    <w:rsid w:val="00BC3E0A"/>
    <w:rsid w:val="00BC3E40"/>
    <w:rsid w:val="00BC3E84"/>
    <w:rsid w:val="00BC3EF3"/>
    <w:rsid w:val="00BC3F83"/>
    <w:rsid w:val="00BC404A"/>
    <w:rsid w:val="00BC40AC"/>
    <w:rsid w:val="00BC41C8"/>
    <w:rsid w:val="00BC4302"/>
    <w:rsid w:val="00BC430E"/>
    <w:rsid w:val="00BC458D"/>
    <w:rsid w:val="00BC45D9"/>
    <w:rsid w:val="00BC47A4"/>
    <w:rsid w:val="00BC487C"/>
    <w:rsid w:val="00BC48D4"/>
    <w:rsid w:val="00BC4900"/>
    <w:rsid w:val="00BC4992"/>
    <w:rsid w:val="00BC49C0"/>
    <w:rsid w:val="00BC4A18"/>
    <w:rsid w:val="00BC4BBB"/>
    <w:rsid w:val="00BC4D3C"/>
    <w:rsid w:val="00BC4D6B"/>
    <w:rsid w:val="00BC4E7D"/>
    <w:rsid w:val="00BC4F64"/>
    <w:rsid w:val="00BC500F"/>
    <w:rsid w:val="00BC502B"/>
    <w:rsid w:val="00BC50C6"/>
    <w:rsid w:val="00BC5213"/>
    <w:rsid w:val="00BC522E"/>
    <w:rsid w:val="00BC5289"/>
    <w:rsid w:val="00BC543E"/>
    <w:rsid w:val="00BC5522"/>
    <w:rsid w:val="00BC5608"/>
    <w:rsid w:val="00BC5668"/>
    <w:rsid w:val="00BC5748"/>
    <w:rsid w:val="00BC5750"/>
    <w:rsid w:val="00BC57C7"/>
    <w:rsid w:val="00BC58EA"/>
    <w:rsid w:val="00BC5B8E"/>
    <w:rsid w:val="00BC5C22"/>
    <w:rsid w:val="00BC5C9C"/>
    <w:rsid w:val="00BC5CA6"/>
    <w:rsid w:val="00BC5E93"/>
    <w:rsid w:val="00BC5F02"/>
    <w:rsid w:val="00BC5FBA"/>
    <w:rsid w:val="00BC604D"/>
    <w:rsid w:val="00BC60F8"/>
    <w:rsid w:val="00BC6248"/>
    <w:rsid w:val="00BC6284"/>
    <w:rsid w:val="00BC62BD"/>
    <w:rsid w:val="00BC636F"/>
    <w:rsid w:val="00BC6400"/>
    <w:rsid w:val="00BC6580"/>
    <w:rsid w:val="00BC669E"/>
    <w:rsid w:val="00BC6793"/>
    <w:rsid w:val="00BC6831"/>
    <w:rsid w:val="00BC6858"/>
    <w:rsid w:val="00BC6C6E"/>
    <w:rsid w:val="00BC6D48"/>
    <w:rsid w:val="00BC6EAF"/>
    <w:rsid w:val="00BC6EB6"/>
    <w:rsid w:val="00BC6F25"/>
    <w:rsid w:val="00BC708B"/>
    <w:rsid w:val="00BC7194"/>
    <w:rsid w:val="00BC71A6"/>
    <w:rsid w:val="00BC7200"/>
    <w:rsid w:val="00BC7480"/>
    <w:rsid w:val="00BC7655"/>
    <w:rsid w:val="00BC76FC"/>
    <w:rsid w:val="00BC7716"/>
    <w:rsid w:val="00BC783F"/>
    <w:rsid w:val="00BC7902"/>
    <w:rsid w:val="00BC7909"/>
    <w:rsid w:val="00BC79D0"/>
    <w:rsid w:val="00BC79EE"/>
    <w:rsid w:val="00BD0051"/>
    <w:rsid w:val="00BD0082"/>
    <w:rsid w:val="00BD0428"/>
    <w:rsid w:val="00BD0467"/>
    <w:rsid w:val="00BD0584"/>
    <w:rsid w:val="00BD0594"/>
    <w:rsid w:val="00BD0624"/>
    <w:rsid w:val="00BD0643"/>
    <w:rsid w:val="00BD0654"/>
    <w:rsid w:val="00BD068B"/>
    <w:rsid w:val="00BD06A5"/>
    <w:rsid w:val="00BD07C1"/>
    <w:rsid w:val="00BD0BD5"/>
    <w:rsid w:val="00BD0CD6"/>
    <w:rsid w:val="00BD0CE6"/>
    <w:rsid w:val="00BD0EE1"/>
    <w:rsid w:val="00BD1077"/>
    <w:rsid w:val="00BD1164"/>
    <w:rsid w:val="00BD1393"/>
    <w:rsid w:val="00BD1456"/>
    <w:rsid w:val="00BD14FF"/>
    <w:rsid w:val="00BD1609"/>
    <w:rsid w:val="00BD16E4"/>
    <w:rsid w:val="00BD17CD"/>
    <w:rsid w:val="00BD1B1F"/>
    <w:rsid w:val="00BD1B27"/>
    <w:rsid w:val="00BD1CBB"/>
    <w:rsid w:val="00BD1DCA"/>
    <w:rsid w:val="00BD1DDE"/>
    <w:rsid w:val="00BD1DE5"/>
    <w:rsid w:val="00BD1E7C"/>
    <w:rsid w:val="00BD1EE8"/>
    <w:rsid w:val="00BD1FD4"/>
    <w:rsid w:val="00BD2081"/>
    <w:rsid w:val="00BD2098"/>
    <w:rsid w:val="00BD225D"/>
    <w:rsid w:val="00BD22CF"/>
    <w:rsid w:val="00BD239B"/>
    <w:rsid w:val="00BD2497"/>
    <w:rsid w:val="00BD25B6"/>
    <w:rsid w:val="00BD288F"/>
    <w:rsid w:val="00BD2903"/>
    <w:rsid w:val="00BD2B0C"/>
    <w:rsid w:val="00BD2C47"/>
    <w:rsid w:val="00BD2CC8"/>
    <w:rsid w:val="00BD305F"/>
    <w:rsid w:val="00BD3068"/>
    <w:rsid w:val="00BD3076"/>
    <w:rsid w:val="00BD316A"/>
    <w:rsid w:val="00BD318D"/>
    <w:rsid w:val="00BD32EC"/>
    <w:rsid w:val="00BD3311"/>
    <w:rsid w:val="00BD337D"/>
    <w:rsid w:val="00BD357E"/>
    <w:rsid w:val="00BD380C"/>
    <w:rsid w:val="00BD3816"/>
    <w:rsid w:val="00BD388B"/>
    <w:rsid w:val="00BD390D"/>
    <w:rsid w:val="00BD391B"/>
    <w:rsid w:val="00BD3BB2"/>
    <w:rsid w:val="00BD3D65"/>
    <w:rsid w:val="00BD3F12"/>
    <w:rsid w:val="00BD3F26"/>
    <w:rsid w:val="00BD40B8"/>
    <w:rsid w:val="00BD40C7"/>
    <w:rsid w:val="00BD4189"/>
    <w:rsid w:val="00BD41AE"/>
    <w:rsid w:val="00BD41C6"/>
    <w:rsid w:val="00BD42B3"/>
    <w:rsid w:val="00BD42B9"/>
    <w:rsid w:val="00BD4470"/>
    <w:rsid w:val="00BD44D5"/>
    <w:rsid w:val="00BD465A"/>
    <w:rsid w:val="00BD4684"/>
    <w:rsid w:val="00BD478D"/>
    <w:rsid w:val="00BD482A"/>
    <w:rsid w:val="00BD49CC"/>
    <w:rsid w:val="00BD49DB"/>
    <w:rsid w:val="00BD49F1"/>
    <w:rsid w:val="00BD4A76"/>
    <w:rsid w:val="00BD4A86"/>
    <w:rsid w:val="00BD4B1E"/>
    <w:rsid w:val="00BD4C0F"/>
    <w:rsid w:val="00BD4C48"/>
    <w:rsid w:val="00BD4D22"/>
    <w:rsid w:val="00BD4D38"/>
    <w:rsid w:val="00BD4DBB"/>
    <w:rsid w:val="00BD548B"/>
    <w:rsid w:val="00BD5535"/>
    <w:rsid w:val="00BD57DB"/>
    <w:rsid w:val="00BD5823"/>
    <w:rsid w:val="00BD58BD"/>
    <w:rsid w:val="00BD59DC"/>
    <w:rsid w:val="00BD59DD"/>
    <w:rsid w:val="00BD5ADB"/>
    <w:rsid w:val="00BD5C87"/>
    <w:rsid w:val="00BD5D8A"/>
    <w:rsid w:val="00BD6152"/>
    <w:rsid w:val="00BD6354"/>
    <w:rsid w:val="00BD6358"/>
    <w:rsid w:val="00BD642E"/>
    <w:rsid w:val="00BD645B"/>
    <w:rsid w:val="00BD6497"/>
    <w:rsid w:val="00BD64E5"/>
    <w:rsid w:val="00BD6537"/>
    <w:rsid w:val="00BD65FB"/>
    <w:rsid w:val="00BD6742"/>
    <w:rsid w:val="00BD6810"/>
    <w:rsid w:val="00BD6918"/>
    <w:rsid w:val="00BD6B30"/>
    <w:rsid w:val="00BD6B75"/>
    <w:rsid w:val="00BD6BB2"/>
    <w:rsid w:val="00BD6CA0"/>
    <w:rsid w:val="00BD6DE7"/>
    <w:rsid w:val="00BD6F20"/>
    <w:rsid w:val="00BD6F61"/>
    <w:rsid w:val="00BD7053"/>
    <w:rsid w:val="00BD70CC"/>
    <w:rsid w:val="00BD7131"/>
    <w:rsid w:val="00BD7140"/>
    <w:rsid w:val="00BD7161"/>
    <w:rsid w:val="00BD7335"/>
    <w:rsid w:val="00BD750F"/>
    <w:rsid w:val="00BD7653"/>
    <w:rsid w:val="00BD76E0"/>
    <w:rsid w:val="00BD77E3"/>
    <w:rsid w:val="00BD79E0"/>
    <w:rsid w:val="00BD7A35"/>
    <w:rsid w:val="00BD7B08"/>
    <w:rsid w:val="00BD7B73"/>
    <w:rsid w:val="00BD7BE0"/>
    <w:rsid w:val="00BD7E24"/>
    <w:rsid w:val="00BD7FE5"/>
    <w:rsid w:val="00BE0003"/>
    <w:rsid w:val="00BE004D"/>
    <w:rsid w:val="00BE031F"/>
    <w:rsid w:val="00BE04FD"/>
    <w:rsid w:val="00BE053B"/>
    <w:rsid w:val="00BE0562"/>
    <w:rsid w:val="00BE05DD"/>
    <w:rsid w:val="00BE05F3"/>
    <w:rsid w:val="00BE0720"/>
    <w:rsid w:val="00BE080A"/>
    <w:rsid w:val="00BE0921"/>
    <w:rsid w:val="00BE0ACE"/>
    <w:rsid w:val="00BE0B05"/>
    <w:rsid w:val="00BE0CBC"/>
    <w:rsid w:val="00BE0DA5"/>
    <w:rsid w:val="00BE0F1D"/>
    <w:rsid w:val="00BE0FDD"/>
    <w:rsid w:val="00BE10C9"/>
    <w:rsid w:val="00BE10DA"/>
    <w:rsid w:val="00BE1173"/>
    <w:rsid w:val="00BE1279"/>
    <w:rsid w:val="00BE12D2"/>
    <w:rsid w:val="00BE12F3"/>
    <w:rsid w:val="00BE13BF"/>
    <w:rsid w:val="00BE149E"/>
    <w:rsid w:val="00BE1571"/>
    <w:rsid w:val="00BE15AE"/>
    <w:rsid w:val="00BE16A3"/>
    <w:rsid w:val="00BE195D"/>
    <w:rsid w:val="00BE1A04"/>
    <w:rsid w:val="00BE1B17"/>
    <w:rsid w:val="00BE1D00"/>
    <w:rsid w:val="00BE1EF4"/>
    <w:rsid w:val="00BE1F62"/>
    <w:rsid w:val="00BE202A"/>
    <w:rsid w:val="00BE2060"/>
    <w:rsid w:val="00BE217A"/>
    <w:rsid w:val="00BE21DB"/>
    <w:rsid w:val="00BE2370"/>
    <w:rsid w:val="00BE23BC"/>
    <w:rsid w:val="00BE259D"/>
    <w:rsid w:val="00BE25AC"/>
    <w:rsid w:val="00BE269E"/>
    <w:rsid w:val="00BE2805"/>
    <w:rsid w:val="00BE2938"/>
    <w:rsid w:val="00BE29E9"/>
    <w:rsid w:val="00BE2B56"/>
    <w:rsid w:val="00BE2BD6"/>
    <w:rsid w:val="00BE2C5C"/>
    <w:rsid w:val="00BE2CB0"/>
    <w:rsid w:val="00BE2CEA"/>
    <w:rsid w:val="00BE2D30"/>
    <w:rsid w:val="00BE2E36"/>
    <w:rsid w:val="00BE2F1A"/>
    <w:rsid w:val="00BE2F9A"/>
    <w:rsid w:val="00BE2F9B"/>
    <w:rsid w:val="00BE303B"/>
    <w:rsid w:val="00BE3088"/>
    <w:rsid w:val="00BE320E"/>
    <w:rsid w:val="00BE34EE"/>
    <w:rsid w:val="00BE35E6"/>
    <w:rsid w:val="00BE390B"/>
    <w:rsid w:val="00BE3992"/>
    <w:rsid w:val="00BE3A31"/>
    <w:rsid w:val="00BE3AE2"/>
    <w:rsid w:val="00BE3B21"/>
    <w:rsid w:val="00BE3B66"/>
    <w:rsid w:val="00BE3B79"/>
    <w:rsid w:val="00BE3C47"/>
    <w:rsid w:val="00BE3C65"/>
    <w:rsid w:val="00BE3CA4"/>
    <w:rsid w:val="00BE3CDB"/>
    <w:rsid w:val="00BE3D11"/>
    <w:rsid w:val="00BE3D37"/>
    <w:rsid w:val="00BE3D62"/>
    <w:rsid w:val="00BE3DBC"/>
    <w:rsid w:val="00BE3FCE"/>
    <w:rsid w:val="00BE4012"/>
    <w:rsid w:val="00BE40BB"/>
    <w:rsid w:val="00BE40C9"/>
    <w:rsid w:val="00BE4190"/>
    <w:rsid w:val="00BE41B4"/>
    <w:rsid w:val="00BE4215"/>
    <w:rsid w:val="00BE4307"/>
    <w:rsid w:val="00BE452D"/>
    <w:rsid w:val="00BE453E"/>
    <w:rsid w:val="00BE4560"/>
    <w:rsid w:val="00BE47C0"/>
    <w:rsid w:val="00BE47F0"/>
    <w:rsid w:val="00BE480B"/>
    <w:rsid w:val="00BE4AA1"/>
    <w:rsid w:val="00BE4B73"/>
    <w:rsid w:val="00BE4C0D"/>
    <w:rsid w:val="00BE4C43"/>
    <w:rsid w:val="00BE4C86"/>
    <w:rsid w:val="00BE4E87"/>
    <w:rsid w:val="00BE4EF7"/>
    <w:rsid w:val="00BE4F19"/>
    <w:rsid w:val="00BE4FAB"/>
    <w:rsid w:val="00BE4FB7"/>
    <w:rsid w:val="00BE505C"/>
    <w:rsid w:val="00BE50A8"/>
    <w:rsid w:val="00BE573D"/>
    <w:rsid w:val="00BE57C8"/>
    <w:rsid w:val="00BE58C4"/>
    <w:rsid w:val="00BE593C"/>
    <w:rsid w:val="00BE5A4A"/>
    <w:rsid w:val="00BE5A73"/>
    <w:rsid w:val="00BE5B00"/>
    <w:rsid w:val="00BE5CB4"/>
    <w:rsid w:val="00BE5D95"/>
    <w:rsid w:val="00BE5EF6"/>
    <w:rsid w:val="00BE5F0E"/>
    <w:rsid w:val="00BE6154"/>
    <w:rsid w:val="00BE624C"/>
    <w:rsid w:val="00BE6294"/>
    <w:rsid w:val="00BE62D5"/>
    <w:rsid w:val="00BE63C0"/>
    <w:rsid w:val="00BE647B"/>
    <w:rsid w:val="00BE64EA"/>
    <w:rsid w:val="00BE658A"/>
    <w:rsid w:val="00BE6599"/>
    <w:rsid w:val="00BE6688"/>
    <w:rsid w:val="00BE6942"/>
    <w:rsid w:val="00BE6A19"/>
    <w:rsid w:val="00BE6A83"/>
    <w:rsid w:val="00BE6B5A"/>
    <w:rsid w:val="00BE6DED"/>
    <w:rsid w:val="00BE6E70"/>
    <w:rsid w:val="00BE7199"/>
    <w:rsid w:val="00BE71F2"/>
    <w:rsid w:val="00BE7310"/>
    <w:rsid w:val="00BE74DD"/>
    <w:rsid w:val="00BE7594"/>
    <w:rsid w:val="00BE779A"/>
    <w:rsid w:val="00BE77B1"/>
    <w:rsid w:val="00BE77B5"/>
    <w:rsid w:val="00BE7829"/>
    <w:rsid w:val="00BE7833"/>
    <w:rsid w:val="00BE79CA"/>
    <w:rsid w:val="00BE7ABD"/>
    <w:rsid w:val="00BE7AF0"/>
    <w:rsid w:val="00BE7B2D"/>
    <w:rsid w:val="00BE7C5A"/>
    <w:rsid w:val="00BE7DC8"/>
    <w:rsid w:val="00BF001A"/>
    <w:rsid w:val="00BF0039"/>
    <w:rsid w:val="00BF0042"/>
    <w:rsid w:val="00BF008A"/>
    <w:rsid w:val="00BF0108"/>
    <w:rsid w:val="00BF010E"/>
    <w:rsid w:val="00BF01A4"/>
    <w:rsid w:val="00BF01FB"/>
    <w:rsid w:val="00BF025F"/>
    <w:rsid w:val="00BF0360"/>
    <w:rsid w:val="00BF038F"/>
    <w:rsid w:val="00BF05C5"/>
    <w:rsid w:val="00BF067E"/>
    <w:rsid w:val="00BF0A47"/>
    <w:rsid w:val="00BF0A8D"/>
    <w:rsid w:val="00BF0B16"/>
    <w:rsid w:val="00BF0C14"/>
    <w:rsid w:val="00BF0D30"/>
    <w:rsid w:val="00BF0E27"/>
    <w:rsid w:val="00BF0E71"/>
    <w:rsid w:val="00BF0E91"/>
    <w:rsid w:val="00BF0EBD"/>
    <w:rsid w:val="00BF0FF7"/>
    <w:rsid w:val="00BF1013"/>
    <w:rsid w:val="00BF10B6"/>
    <w:rsid w:val="00BF125F"/>
    <w:rsid w:val="00BF12AA"/>
    <w:rsid w:val="00BF15C3"/>
    <w:rsid w:val="00BF1614"/>
    <w:rsid w:val="00BF16CD"/>
    <w:rsid w:val="00BF1791"/>
    <w:rsid w:val="00BF17AE"/>
    <w:rsid w:val="00BF19B6"/>
    <w:rsid w:val="00BF19D5"/>
    <w:rsid w:val="00BF1A47"/>
    <w:rsid w:val="00BF1B41"/>
    <w:rsid w:val="00BF1B52"/>
    <w:rsid w:val="00BF1C11"/>
    <w:rsid w:val="00BF1C67"/>
    <w:rsid w:val="00BF1CE4"/>
    <w:rsid w:val="00BF1D84"/>
    <w:rsid w:val="00BF1EAE"/>
    <w:rsid w:val="00BF1EC1"/>
    <w:rsid w:val="00BF1F53"/>
    <w:rsid w:val="00BF2026"/>
    <w:rsid w:val="00BF20D1"/>
    <w:rsid w:val="00BF213F"/>
    <w:rsid w:val="00BF21A1"/>
    <w:rsid w:val="00BF21B7"/>
    <w:rsid w:val="00BF21E1"/>
    <w:rsid w:val="00BF226D"/>
    <w:rsid w:val="00BF236F"/>
    <w:rsid w:val="00BF23D2"/>
    <w:rsid w:val="00BF26B6"/>
    <w:rsid w:val="00BF2768"/>
    <w:rsid w:val="00BF27C0"/>
    <w:rsid w:val="00BF27EE"/>
    <w:rsid w:val="00BF2B1E"/>
    <w:rsid w:val="00BF2B5D"/>
    <w:rsid w:val="00BF2B90"/>
    <w:rsid w:val="00BF2C07"/>
    <w:rsid w:val="00BF2D67"/>
    <w:rsid w:val="00BF3005"/>
    <w:rsid w:val="00BF3061"/>
    <w:rsid w:val="00BF306E"/>
    <w:rsid w:val="00BF31C0"/>
    <w:rsid w:val="00BF334F"/>
    <w:rsid w:val="00BF3368"/>
    <w:rsid w:val="00BF33C6"/>
    <w:rsid w:val="00BF34CB"/>
    <w:rsid w:val="00BF34D6"/>
    <w:rsid w:val="00BF359D"/>
    <w:rsid w:val="00BF37ED"/>
    <w:rsid w:val="00BF38F9"/>
    <w:rsid w:val="00BF3905"/>
    <w:rsid w:val="00BF3AD4"/>
    <w:rsid w:val="00BF3B94"/>
    <w:rsid w:val="00BF3BD0"/>
    <w:rsid w:val="00BF3D95"/>
    <w:rsid w:val="00BF3EAB"/>
    <w:rsid w:val="00BF3FB9"/>
    <w:rsid w:val="00BF3FDE"/>
    <w:rsid w:val="00BF408A"/>
    <w:rsid w:val="00BF40FB"/>
    <w:rsid w:val="00BF42A4"/>
    <w:rsid w:val="00BF4353"/>
    <w:rsid w:val="00BF43E9"/>
    <w:rsid w:val="00BF442B"/>
    <w:rsid w:val="00BF4448"/>
    <w:rsid w:val="00BF44E7"/>
    <w:rsid w:val="00BF45E4"/>
    <w:rsid w:val="00BF48EE"/>
    <w:rsid w:val="00BF4935"/>
    <w:rsid w:val="00BF4A30"/>
    <w:rsid w:val="00BF4AF8"/>
    <w:rsid w:val="00BF4C34"/>
    <w:rsid w:val="00BF4D19"/>
    <w:rsid w:val="00BF4D69"/>
    <w:rsid w:val="00BF4FA7"/>
    <w:rsid w:val="00BF4FAE"/>
    <w:rsid w:val="00BF4FFF"/>
    <w:rsid w:val="00BF5102"/>
    <w:rsid w:val="00BF51A7"/>
    <w:rsid w:val="00BF5251"/>
    <w:rsid w:val="00BF52D0"/>
    <w:rsid w:val="00BF52E5"/>
    <w:rsid w:val="00BF52EA"/>
    <w:rsid w:val="00BF532B"/>
    <w:rsid w:val="00BF5350"/>
    <w:rsid w:val="00BF55FF"/>
    <w:rsid w:val="00BF56FB"/>
    <w:rsid w:val="00BF5820"/>
    <w:rsid w:val="00BF5BDF"/>
    <w:rsid w:val="00BF5CA8"/>
    <w:rsid w:val="00BF5D60"/>
    <w:rsid w:val="00BF5D99"/>
    <w:rsid w:val="00BF5EB9"/>
    <w:rsid w:val="00BF5FC3"/>
    <w:rsid w:val="00BF61A7"/>
    <w:rsid w:val="00BF624C"/>
    <w:rsid w:val="00BF63A0"/>
    <w:rsid w:val="00BF65A2"/>
    <w:rsid w:val="00BF65D0"/>
    <w:rsid w:val="00BF65EE"/>
    <w:rsid w:val="00BF665B"/>
    <w:rsid w:val="00BF66D1"/>
    <w:rsid w:val="00BF67B3"/>
    <w:rsid w:val="00BF6854"/>
    <w:rsid w:val="00BF6A87"/>
    <w:rsid w:val="00BF6BF2"/>
    <w:rsid w:val="00BF6CB4"/>
    <w:rsid w:val="00BF6ECB"/>
    <w:rsid w:val="00BF7049"/>
    <w:rsid w:val="00BF70F5"/>
    <w:rsid w:val="00BF7140"/>
    <w:rsid w:val="00BF715D"/>
    <w:rsid w:val="00BF72B4"/>
    <w:rsid w:val="00BF7301"/>
    <w:rsid w:val="00BF7557"/>
    <w:rsid w:val="00BF778F"/>
    <w:rsid w:val="00BF7866"/>
    <w:rsid w:val="00BF7964"/>
    <w:rsid w:val="00BF7998"/>
    <w:rsid w:val="00BF79F1"/>
    <w:rsid w:val="00BF7B0A"/>
    <w:rsid w:val="00BF7DFB"/>
    <w:rsid w:val="00BF7E60"/>
    <w:rsid w:val="00BF7EDA"/>
    <w:rsid w:val="00C0004D"/>
    <w:rsid w:val="00C00074"/>
    <w:rsid w:val="00C00079"/>
    <w:rsid w:val="00C00223"/>
    <w:rsid w:val="00C00236"/>
    <w:rsid w:val="00C0039C"/>
    <w:rsid w:val="00C004F0"/>
    <w:rsid w:val="00C0072A"/>
    <w:rsid w:val="00C0086E"/>
    <w:rsid w:val="00C008B2"/>
    <w:rsid w:val="00C00C8D"/>
    <w:rsid w:val="00C00CBB"/>
    <w:rsid w:val="00C00D13"/>
    <w:rsid w:val="00C00D89"/>
    <w:rsid w:val="00C00E7A"/>
    <w:rsid w:val="00C00EE0"/>
    <w:rsid w:val="00C00F1A"/>
    <w:rsid w:val="00C010E1"/>
    <w:rsid w:val="00C011B1"/>
    <w:rsid w:val="00C011E5"/>
    <w:rsid w:val="00C01246"/>
    <w:rsid w:val="00C0125C"/>
    <w:rsid w:val="00C01298"/>
    <w:rsid w:val="00C012D5"/>
    <w:rsid w:val="00C0135B"/>
    <w:rsid w:val="00C0149C"/>
    <w:rsid w:val="00C01601"/>
    <w:rsid w:val="00C018B3"/>
    <w:rsid w:val="00C0190A"/>
    <w:rsid w:val="00C0197C"/>
    <w:rsid w:val="00C01B60"/>
    <w:rsid w:val="00C01D6E"/>
    <w:rsid w:val="00C01DF4"/>
    <w:rsid w:val="00C01F26"/>
    <w:rsid w:val="00C0203D"/>
    <w:rsid w:val="00C020E8"/>
    <w:rsid w:val="00C02241"/>
    <w:rsid w:val="00C02391"/>
    <w:rsid w:val="00C02454"/>
    <w:rsid w:val="00C02497"/>
    <w:rsid w:val="00C0268F"/>
    <w:rsid w:val="00C02755"/>
    <w:rsid w:val="00C027CB"/>
    <w:rsid w:val="00C02913"/>
    <w:rsid w:val="00C0291B"/>
    <w:rsid w:val="00C02A42"/>
    <w:rsid w:val="00C02A9A"/>
    <w:rsid w:val="00C02AC6"/>
    <w:rsid w:val="00C02AD4"/>
    <w:rsid w:val="00C02B15"/>
    <w:rsid w:val="00C02B57"/>
    <w:rsid w:val="00C03017"/>
    <w:rsid w:val="00C03029"/>
    <w:rsid w:val="00C030FF"/>
    <w:rsid w:val="00C0326F"/>
    <w:rsid w:val="00C032D7"/>
    <w:rsid w:val="00C033C3"/>
    <w:rsid w:val="00C03489"/>
    <w:rsid w:val="00C03520"/>
    <w:rsid w:val="00C035C5"/>
    <w:rsid w:val="00C03673"/>
    <w:rsid w:val="00C03678"/>
    <w:rsid w:val="00C036AF"/>
    <w:rsid w:val="00C036D7"/>
    <w:rsid w:val="00C03836"/>
    <w:rsid w:val="00C03B4F"/>
    <w:rsid w:val="00C03BD3"/>
    <w:rsid w:val="00C03BFE"/>
    <w:rsid w:val="00C03C10"/>
    <w:rsid w:val="00C03CE1"/>
    <w:rsid w:val="00C03D66"/>
    <w:rsid w:val="00C03E27"/>
    <w:rsid w:val="00C03F50"/>
    <w:rsid w:val="00C03F8B"/>
    <w:rsid w:val="00C03FF4"/>
    <w:rsid w:val="00C0406D"/>
    <w:rsid w:val="00C04088"/>
    <w:rsid w:val="00C040F4"/>
    <w:rsid w:val="00C040FA"/>
    <w:rsid w:val="00C04110"/>
    <w:rsid w:val="00C042DE"/>
    <w:rsid w:val="00C0436C"/>
    <w:rsid w:val="00C043A4"/>
    <w:rsid w:val="00C04430"/>
    <w:rsid w:val="00C0444F"/>
    <w:rsid w:val="00C044DD"/>
    <w:rsid w:val="00C04566"/>
    <w:rsid w:val="00C0491E"/>
    <w:rsid w:val="00C04AC5"/>
    <w:rsid w:val="00C04BFF"/>
    <w:rsid w:val="00C04E07"/>
    <w:rsid w:val="00C04E3B"/>
    <w:rsid w:val="00C04FD3"/>
    <w:rsid w:val="00C0513F"/>
    <w:rsid w:val="00C051EB"/>
    <w:rsid w:val="00C05311"/>
    <w:rsid w:val="00C055BC"/>
    <w:rsid w:val="00C055F5"/>
    <w:rsid w:val="00C0561E"/>
    <w:rsid w:val="00C05898"/>
    <w:rsid w:val="00C05965"/>
    <w:rsid w:val="00C05E92"/>
    <w:rsid w:val="00C05F1C"/>
    <w:rsid w:val="00C05F76"/>
    <w:rsid w:val="00C05FC3"/>
    <w:rsid w:val="00C05FD0"/>
    <w:rsid w:val="00C0605E"/>
    <w:rsid w:val="00C06195"/>
    <w:rsid w:val="00C061EB"/>
    <w:rsid w:val="00C06363"/>
    <w:rsid w:val="00C06453"/>
    <w:rsid w:val="00C064C4"/>
    <w:rsid w:val="00C064F3"/>
    <w:rsid w:val="00C06507"/>
    <w:rsid w:val="00C06593"/>
    <w:rsid w:val="00C067AE"/>
    <w:rsid w:val="00C0695C"/>
    <w:rsid w:val="00C0699C"/>
    <w:rsid w:val="00C06AA2"/>
    <w:rsid w:val="00C06AF2"/>
    <w:rsid w:val="00C06CF4"/>
    <w:rsid w:val="00C06CF6"/>
    <w:rsid w:val="00C07051"/>
    <w:rsid w:val="00C07159"/>
    <w:rsid w:val="00C072BE"/>
    <w:rsid w:val="00C076AE"/>
    <w:rsid w:val="00C077C6"/>
    <w:rsid w:val="00C077CA"/>
    <w:rsid w:val="00C07812"/>
    <w:rsid w:val="00C07831"/>
    <w:rsid w:val="00C07844"/>
    <w:rsid w:val="00C078E6"/>
    <w:rsid w:val="00C07A45"/>
    <w:rsid w:val="00C07A98"/>
    <w:rsid w:val="00C07C18"/>
    <w:rsid w:val="00C07C9B"/>
    <w:rsid w:val="00C07D7E"/>
    <w:rsid w:val="00C07DB1"/>
    <w:rsid w:val="00C07E78"/>
    <w:rsid w:val="00C07EB0"/>
    <w:rsid w:val="00C07FB1"/>
    <w:rsid w:val="00C07FBC"/>
    <w:rsid w:val="00C10040"/>
    <w:rsid w:val="00C10130"/>
    <w:rsid w:val="00C1015C"/>
    <w:rsid w:val="00C10447"/>
    <w:rsid w:val="00C10498"/>
    <w:rsid w:val="00C10598"/>
    <w:rsid w:val="00C105DE"/>
    <w:rsid w:val="00C108EB"/>
    <w:rsid w:val="00C10A62"/>
    <w:rsid w:val="00C10A75"/>
    <w:rsid w:val="00C10B1B"/>
    <w:rsid w:val="00C10BBB"/>
    <w:rsid w:val="00C10EE3"/>
    <w:rsid w:val="00C10FB9"/>
    <w:rsid w:val="00C112D4"/>
    <w:rsid w:val="00C113EA"/>
    <w:rsid w:val="00C113FD"/>
    <w:rsid w:val="00C11466"/>
    <w:rsid w:val="00C114BD"/>
    <w:rsid w:val="00C11517"/>
    <w:rsid w:val="00C115B0"/>
    <w:rsid w:val="00C115C5"/>
    <w:rsid w:val="00C11657"/>
    <w:rsid w:val="00C116C8"/>
    <w:rsid w:val="00C1171F"/>
    <w:rsid w:val="00C1184A"/>
    <w:rsid w:val="00C118EF"/>
    <w:rsid w:val="00C119F0"/>
    <w:rsid w:val="00C11C35"/>
    <w:rsid w:val="00C11C66"/>
    <w:rsid w:val="00C11CD7"/>
    <w:rsid w:val="00C11D8C"/>
    <w:rsid w:val="00C11EEE"/>
    <w:rsid w:val="00C11F3B"/>
    <w:rsid w:val="00C122A5"/>
    <w:rsid w:val="00C122F4"/>
    <w:rsid w:val="00C12333"/>
    <w:rsid w:val="00C12665"/>
    <w:rsid w:val="00C1267C"/>
    <w:rsid w:val="00C12822"/>
    <w:rsid w:val="00C12831"/>
    <w:rsid w:val="00C12930"/>
    <w:rsid w:val="00C1296E"/>
    <w:rsid w:val="00C1299A"/>
    <w:rsid w:val="00C12A07"/>
    <w:rsid w:val="00C12AC9"/>
    <w:rsid w:val="00C12B03"/>
    <w:rsid w:val="00C12D51"/>
    <w:rsid w:val="00C12D75"/>
    <w:rsid w:val="00C12E6F"/>
    <w:rsid w:val="00C12F14"/>
    <w:rsid w:val="00C1305C"/>
    <w:rsid w:val="00C130B5"/>
    <w:rsid w:val="00C131B7"/>
    <w:rsid w:val="00C1332C"/>
    <w:rsid w:val="00C13361"/>
    <w:rsid w:val="00C13663"/>
    <w:rsid w:val="00C13700"/>
    <w:rsid w:val="00C13894"/>
    <w:rsid w:val="00C13916"/>
    <w:rsid w:val="00C139C1"/>
    <w:rsid w:val="00C13A88"/>
    <w:rsid w:val="00C13AF8"/>
    <w:rsid w:val="00C13B1E"/>
    <w:rsid w:val="00C13BE6"/>
    <w:rsid w:val="00C13BFB"/>
    <w:rsid w:val="00C13D61"/>
    <w:rsid w:val="00C13D90"/>
    <w:rsid w:val="00C13EC5"/>
    <w:rsid w:val="00C1410D"/>
    <w:rsid w:val="00C142B5"/>
    <w:rsid w:val="00C1430E"/>
    <w:rsid w:val="00C143EA"/>
    <w:rsid w:val="00C144C1"/>
    <w:rsid w:val="00C1456F"/>
    <w:rsid w:val="00C145EB"/>
    <w:rsid w:val="00C1467C"/>
    <w:rsid w:val="00C14792"/>
    <w:rsid w:val="00C14860"/>
    <w:rsid w:val="00C148ED"/>
    <w:rsid w:val="00C1494B"/>
    <w:rsid w:val="00C14A30"/>
    <w:rsid w:val="00C14A8B"/>
    <w:rsid w:val="00C14D21"/>
    <w:rsid w:val="00C14EB6"/>
    <w:rsid w:val="00C15104"/>
    <w:rsid w:val="00C1517A"/>
    <w:rsid w:val="00C1517F"/>
    <w:rsid w:val="00C151D7"/>
    <w:rsid w:val="00C152BD"/>
    <w:rsid w:val="00C15337"/>
    <w:rsid w:val="00C1544D"/>
    <w:rsid w:val="00C154D5"/>
    <w:rsid w:val="00C15507"/>
    <w:rsid w:val="00C155E3"/>
    <w:rsid w:val="00C1566E"/>
    <w:rsid w:val="00C15688"/>
    <w:rsid w:val="00C1575E"/>
    <w:rsid w:val="00C15A2C"/>
    <w:rsid w:val="00C15B07"/>
    <w:rsid w:val="00C15B67"/>
    <w:rsid w:val="00C15D64"/>
    <w:rsid w:val="00C15E9A"/>
    <w:rsid w:val="00C15EC6"/>
    <w:rsid w:val="00C15F8D"/>
    <w:rsid w:val="00C161F0"/>
    <w:rsid w:val="00C164D3"/>
    <w:rsid w:val="00C165C5"/>
    <w:rsid w:val="00C1667B"/>
    <w:rsid w:val="00C16750"/>
    <w:rsid w:val="00C16820"/>
    <w:rsid w:val="00C16893"/>
    <w:rsid w:val="00C169AC"/>
    <w:rsid w:val="00C169C5"/>
    <w:rsid w:val="00C16B54"/>
    <w:rsid w:val="00C16B66"/>
    <w:rsid w:val="00C16B79"/>
    <w:rsid w:val="00C16DBB"/>
    <w:rsid w:val="00C16DC3"/>
    <w:rsid w:val="00C16ED9"/>
    <w:rsid w:val="00C17206"/>
    <w:rsid w:val="00C17223"/>
    <w:rsid w:val="00C1727E"/>
    <w:rsid w:val="00C17369"/>
    <w:rsid w:val="00C17408"/>
    <w:rsid w:val="00C175AE"/>
    <w:rsid w:val="00C17601"/>
    <w:rsid w:val="00C17631"/>
    <w:rsid w:val="00C1765B"/>
    <w:rsid w:val="00C17668"/>
    <w:rsid w:val="00C176CA"/>
    <w:rsid w:val="00C177FE"/>
    <w:rsid w:val="00C17877"/>
    <w:rsid w:val="00C17A81"/>
    <w:rsid w:val="00C17AE9"/>
    <w:rsid w:val="00C17B1A"/>
    <w:rsid w:val="00C17B5C"/>
    <w:rsid w:val="00C17B61"/>
    <w:rsid w:val="00C17C0A"/>
    <w:rsid w:val="00C17CE3"/>
    <w:rsid w:val="00C17D73"/>
    <w:rsid w:val="00C17F2C"/>
    <w:rsid w:val="00C2006D"/>
    <w:rsid w:val="00C20161"/>
    <w:rsid w:val="00C201A2"/>
    <w:rsid w:val="00C2029F"/>
    <w:rsid w:val="00C202D4"/>
    <w:rsid w:val="00C2055E"/>
    <w:rsid w:val="00C205CA"/>
    <w:rsid w:val="00C2074B"/>
    <w:rsid w:val="00C2082C"/>
    <w:rsid w:val="00C2087A"/>
    <w:rsid w:val="00C20990"/>
    <w:rsid w:val="00C20BAB"/>
    <w:rsid w:val="00C20BED"/>
    <w:rsid w:val="00C20C06"/>
    <w:rsid w:val="00C20CD0"/>
    <w:rsid w:val="00C20D3C"/>
    <w:rsid w:val="00C20DCE"/>
    <w:rsid w:val="00C20F0D"/>
    <w:rsid w:val="00C20F9C"/>
    <w:rsid w:val="00C20FA1"/>
    <w:rsid w:val="00C210C7"/>
    <w:rsid w:val="00C21120"/>
    <w:rsid w:val="00C213B7"/>
    <w:rsid w:val="00C214E5"/>
    <w:rsid w:val="00C215A0"/>
    <w:rsid w:val="00C21624"/>
    <w:rsid w:val="00C2174B"/>
    <w:rsid w:val="00C217B9"/>
    <w:rsid w:val="00C21804"/>
    <w:rsid w:val="00C21839"/>
    <w:rsid w:val="00C21871"/>
    <w:rsid w:val="00C21BC4"/>
    <w:rsid w:val="00C21BD2"/>
    <w:rsid w:val="00C21C1C"/>
    <w:rsid w:val="00C21CF5"/>
    <w:rsid w:val="00C21ED6"/>
    <w:rsid w:val="00C21FFA"/>
    <w:rsid w:val="00C2213B"/>
    <w:rsid w:val="00C22169"/>
    <w:rsid w:val="00C221ED"/>
    <w:rsid w:val="00C2234F"/>
    <w:rsid w:val="00C22372"/>
    <w:rsid w:val="00C224B2"/>
    <w:rsid w:val="00C2250A"/>
    <w:rsid w:val="00C22681"/>
    <w:rsid w:val="00C22729"/>
    <w:rsid w:val="00C22740"/>
    <w:rsid w:val="00C22784"/>
    <w:rsid w:val="00C227C1"/>
    <w:rsid w:val="00C2282E"/>
    <w:rsid w:val="00C2283C"/>
    <w:rsid w:val="00C22955"/>
    <w:rsid w:val="00C22B44"/>
    <w:rsid w:val="00C22C70"/>
    <w:rsid w:val="00C22CB1"/>
    <w:rsid w:val="00C22CF6"/>
    <w:rsid w:val="00C22DBF"/>
    <w:rsid w:val="00C22E75"/>
    <w:rsid w:val="00C23182"/>
    <w:rsid w:val="00C233EB"/>
    <w:rsid w:val="00C234DA"/>
    <w:rsid w:val="00C235D6"/>
    <w:rsid w:val="00C236EB"/>
    <w:rsid w:val="00C2374C"/>
    <w:rsid w:val="00C2382A"/>
    <w:rsid w:val="00C2391D"/>
    <w:rsid w:val="00C23A25"/>
    <w:rsid w:val="00C23CC3"/>
    <w:rsid w:val="00C23D7B"/>
    <w:rsid w:val="00C23E13"/>
    <w:rsid w:val="00C24202"/>
    <w:rsid w:val="00C24274"/>
    <w:rsid w:val="00C242DA"/>
    <w:rsid w:val="00C242E7"/>
    <w:rsid w:val="00C243D0"/>
    <w:rsid w:val="00C244E7"/>
    <w:rsid w:val="00C24621"/>
    <w:rsid w:val="00C2463D"/>
    <w:rsid w:val="00C2468F"/>
    <w:rsid w:val="00C247DE"/>
    <w:rsid w:val="00C24875"/>
    <w:rsid w:val="00C248CF"/>
    <w:rsid w:val="00C24940"/>
    <w:rsid w:val="00C24941"/>
    <w:rsid w:val="00C24AD6"/>
    <w:rsid w:val="00C24E37"/>
    <w:rsid w:val="00C24F8D"/>
    <w:rsid w:val="00C2513F"/>
    <w:rsid w:val="00C25438"/>
    <w:rsid w:val="00C254E7"/>
    <w:rsid w:val="00C25541"/>
    <w:rsid w:val="00C25723"/>
    <w:rsid w:val="00C258A0"/>
    <w:rsid w:val="00C259F1"/>
    <w:rsid w:val="00C25B52"/>
    <w:rsid w:val="00C25C0D"/>
    <w:rsid w:val="00C25FD1"/>
    <w:rsid w:val="00C261CD"/>
    <w:rsid w:val="00C263B0"/>
    <w:rsid w:val="00C263D5"/>
    <w:rsid w:val="00C264AF"/>
    <w:rsid w:val="00C266B0"/>
    <w:rsid w:val="00C266E4"/>
    <w:rsid w:val="00C26738"/>
    <w:rsid w:val="00C26A49"/>
    <w:rsid w:val="00C26B45"/>
    <w:rsid w:val="00C26B72"/>
    <w:rsid w:val="00C26BDB"/>
    <w:rsid w:val="00C26C9C"/>
    <w:rsid w:val="00C26E3E"/>
    <w:rsid w:val="00C27102"/>
    <w:rsid w:val="00C27123"/>
    <w:rsid w:val="00C271B4"/>
    <w:rsid w:val="00C27258"/>
    <w:rsid w:val="00C27293"/>
    <w:rsid w:val="00C2741B"/>
    <w:rsid w:val="00C274B8"/>
    <w:rsid w:val="00C2750C"/>
    <w:rsid w:val="00C2763E"/>
    <w:rsid w:val="00C27774"/>
    <w:rsid w:val="00C27786"/>
    <w:rsid w:val="00C27809"/>
    <w:rsid w:val="00C278D4"/>
    <w:rsid w:val="00C2791E"/>
    <w:rsid w:val="00C2795D"/>
    <w:rsid w:val="00C279B1"/>
    <w:rsid w:val="00C27AE5"/>
    <w:rsid w:val="00C27BC8"/>
    <w:rsid w:val="00C27C4F"/>
    <w:rsid w:val="00C27C60"/>
    <w:rsid w:val="00C27DCC"/>
    <w:rsid w:val="00C27FA9"/>
    <w:rsid w:val="00C30003"/>
    <w:rsid w:val="00C30015"/>
    <w:rsid w:val="00C30034"/>
    <w:rsid w:val="00C3007A"/>
    <w:rsid w:val="00C30273"/>
    <w:rsid w:val="00C302E6"/>
    <w:rsid w:val="00C30638"/>
    <w:rsid w:val="00C30821"/>
    <w:rsid w:val="00C30836"/>
    <w:rsid w:val="00C308DD"/>
    <w:rsid w:val="00C309AD"/>
    <w:rsid w:val="00C30A61"/>
    <w:rsid w:val="00C30ABE"/>
    <w:rsid w:val="00C30BB6"/>
    <w:rsid w:val="00C30DB8"/>
    <w:rsid w:val="00C310C7"/>
    <w:rsid w:val="00C3114E"/>
    <w:rsid w:val="00C311F7"/>
    <w:rsid w:val="00C3129C"/>
    <w:rsid w:val="00C312AB"/>
    <w:rsid w:val="00C31470"/>
    <w:rsid w:val="00C3149A"/>
    <w:rsid w:val="00C31533"/>
    <w:rsid w:val="00C315CB"/>
    <w:rsid w:val="00C316C0"/>
    <w:rsid w:val="00C317A6"/>
    <w:rsid w:val="00C317BD"/>
    <w:rsid w:val="00C31804"/>
    <w:rsid w:val="00C31843"/>
    <w:rsid w:val="00C31918"/>
    <w:rsid w:val="00C31B12"/>
    <w:rsid w:val="00C31D3F"/>
    <w:rsid w:val="00C31D96"/>
    <w:rsid w:val="00C31DC6"/>
    <w:rsid w:val="00C31E55"/>
    <w:rsid w:val="00C31E5E"/>
    <w:rsid w:val="00C31E92"/>
    <w:rsid w:val="00C31FDF"/>
    <w:rsid w:val="00C31FEB"/>
    <w:rsid w:val="00C3200B"/>
    <w:rsid w:val="00C32046"/>
    <w:rsid w:val="00C32068"/>
    <w:rsid w:val="00C320C6"/>
    <w:rsid w:val="00C320D6"/>
    <w:rsid w:val="00C32232"/>
    <w:rsid w:val="00C3225E"/>
    <w:rsid w:val="00C325DA"/>
    <w:rsid w:val="00C325F2"/>
    <w:rsid w:val="00C32637"/>
    <w:rsid w:val="00C32649"/>
    <w:rsid w:val="00C327AB"/>
    <w:rsid w:val="00C32A1D"/>
    <w:rsid w:val="00C32AD3"/>
    <w:rsid w:val="00C32AD8"/>
    <w:rsid w:val="00C32B78"/>
    <w:rsid w:val="00C32C20"/>
    <w:rsid w:val="00C32CE5"/>
    <w:rsid w:val="00C32E71"/>
    <w:rsid w:val="00C33053"/>
    <w:rsid w:val="00C33147"/>
    <w:rsid w:val="00C331DD"/>
    <w:rsid w:val="00C33311"/>
    <w:rsid w:val="00C333DD"/>
    <w:rsid w:val="00C33489"/>
    <w:rsid w:val="00C33516"/>
    <w:rsid w:val="00C3353D"/>
    <w:rsid w:val="00C33A71"/>
    <w:rsid w:val="00C33A84"/>
    <w:rsid w:val="00C33ACA"/>
    <w:rsid w:val="00C33B8D"/>
    <w:rsid w:val="00C33BDB"/>
    <w:rsid w:val="00C33BF3"/>
    <w:rsid w:val="00C33C1E"/>
    <w:rsid w:val="00C33C9B"/>
    <w:rsid w:val="00C33CB6"/>
    <w:rsid w:val="00C33D7B"/>
    <w:rsid w:val="00C33F6E"/>
    <w:rsid w:val="00C33F79"/>
    <w:rsid w:val="00C33F7A"/>
    <w:rsid w:val="00C33FEB"/>
    <w:rsid w:val="00C341A4"/>
    <w:rsid w:val="00C34350"/>
    <w:rsid w:val="00C3435F"/>
    <w:rsid w:val="00C34426"/>
    <w:rsid w:val="00C344E9"/>
    <w:rsid w:val="00C3457A"/>
    <w:rsid w:val="00C345EC"/>
    <w:rsid w:val="00C3468D"/>
    <w:rsid w:val="00C346FB"/>
    <w:rsid w:val="00C3475E"/>
    <w:rsid w:val="00C347B1"/>
    <w:rsid w:val="00C34840"/>
    <w:rsid w:val="00C34842"/>
    <w:rsid w:val="00C3485D"/>
    <w:rsid w:val="00C34ABC"/>
    <w:rsid w:val="00C34AD4"/>
    <w:rsid w:val="00C34AE7"/>
    <w:rsid w:val="00C34C1B"/>
    <w:rsid w:val="00C34C1D"/>
    <w:rsid w:val="00C34C41"/>
    <w:rsid w:val="00C34CCC"/>
    <w:rsid w:val="00C34D2E"/>
    <w:rsid w:val="00C34D45"/>
    <w:rsid w:val="00C35008"/>
    <w:rsid w:val="00C3517A"/>
    <w:rsid w:val="00C3526E"/>
    <w:rsid w:val="00C352D5"/>
    <w:rsid w:val="00C35679"/>
    <w:rsid w:val="00C3576B"/>
    <w:rsid w:val="00C35880"/>
    <w:rsid w:val="00C358CF"/>
    <w:rsid w:val="00C358FB"/>
    <w:rsid w:val="00C35A2D"/>
    <w:rsid w:val="00C35A89"/>
    <w:rsid w:val="00C35ABA"/>
    <w:rsid w:val="00C35B54"/>
    <w:rsid w:val="00C35C7D"/>
    <w:rsid w:val="00C35CE3"/>
    <w:rsid w:val="00C35D41"/>
    <w:rsid w:val="00C35E07"/>
    <w:rsid w:val="00C36076"/>
    <w:rsid w:val="00C360B9"/>
    <w:rsid w:val="00C361CF"/>
    <w:rsid w:val="00C365FA"/>
    <w:rsid w:val="00C36710"/>
    <w:rsid w:val="00C36780"/>
    <w:rsid w:val="00C367F8"/>
    <w:rsid w:val="00C3683D"/>
    <w:rsid w:val="00C368FE"/>
    <w:rsid w:val="00C36A79"/>
    <w:rsid w:val="00C36AEB"/>
    <w:rsid w:val="00C36BDD"/>
    <w:rsid w:val="00C36C6A"/>
    <w:rsid w:val="00C36DA1"/>
    <w:rsid w:val="00C36F2F"/>
    <w:rsid w:val="00C36F79"/>
    <w:rsid w:val="00C37082"/>
    <w:rsid w:val="00C3714D"/>
    <w:rsid w:val="00C372D6"/>
    <w:rsid w:val="00C3771A"/>
    <w:rsid w:val="00C37784"/>
    <w:rsid w:val="00C378A5"/>
    <w:rsid w:val="00C37ACA"/>
    <w:rsid w:val="00C37B8B"/>
    <w:rsid w:val="00C37C2D"/>
    <w:rsid w:val="00C37C34"/>
    <w:rsid w:val="00C37C5B"/>
    <w:rsid w:val="00C37D68"/>
    <w:rsid w:val="00C37DD8"/>
    <w:rsid w:val="00C37DDC"/>
    <w:rsid w:val="00C37E7C"/>
    <w:rsid w:val="00C4006B"/>
    <w:rsid w:val="00C4008B"/>
    <w:rsid w:val="00C4008E"/>
    <w:rsid w:val="00C40299"/>
    <w:rsid w:val="00C4034D"/>
    <w:rsid w:val="00C404AB"/>
    <w:rsid w:val="00C4055F"/>
    <w:rsid w:val="00C40892"/>
    <w:rsid w:val="00C40A63"/>
    <w:rsid w:val="00C40B01"/>
    <w:rsid w:val="00C40B94"/>
    <w:rsid w:val="00C40C25"/>
    <w:rsid w:val="00C40C37"/>
    <w:rsid w:val="00C40DAA"/>
    <w:rsid w:val="00C40DF6"/>
    <w:rsid w:val="00C40F59"/>
    <w:rsid w:val="00C40FD3"/>
    <w:rsid w:val="00C41060"/>
    <w:rsid w:val="00C411F1"/>
    <w:rsid w:val="00C412C8"/>
    <w:rsid w:val="00C413EF"/>
    <w:rsid w:val="00C414A2"/>
    <w:rsid w:val="00C414AB"/>
    <w:rsid w:val="00C414DE"/>
    <w:rsid w:val="00C41507"/>
    <w:rsid w:val="00C4157F"/>
    <w:rsid w:val="00C416DC"/>
    <w:rsid w:val="00C41A1B"/>
    <w:rsid w:val="00C41B61"/>
    <w:rsid w:val="00C41BD7"/>
    <w:rsid w:val="00C41C6C"/>
    <w:rsid w:val="00C41CDB"/>
    <w:rsid w:val="00C41F5A"/>
    <w:rsid w:val="00C41F76"/>
    <w:rsid w:val="00C41FD8"/>
    <w:rsid w:val="00C41FDA"/>
    <w:rsid w:val="00C4217D"/>
    <w:rsid w:val="00C42182"/>
    <w:rsid w:val="00C42369"/>
    <w:rsid w:val="00C4240F"/>
    <w:rsid w:val="00C42422"/>
    <w:rsid w:val="00C42432"/>
    <w:rsid w:val="00C424D8"/>
    <w:rsid w:val="00C42511"/>
    <w:rsid w:val="00C42563"/>
    <w:rsid w:val="00C426CF"/>
    <w:rsid w:val="00C426D5"/>
    <w:rsid w:val="00C42898"/>
    <w:rsid w:val="00C42A46"/>
    <w:rsid w:val="00C42A5B"/>
    <w:rsid w:val="00C42A9D"/>
    <w:rsid w:val="00C42C4D"/>
    <w:rsid w:val="00C42CD0"/>
    <w:rsid w:val="00C42CEA"/>
    <w:rsid w:val="00C42E28"/>
    <w:rsid w:val="00C42F3B"/>
    <w:rsid w:val="00C4300A"/>
    <w:rsid w:val="00C4301D"/>
    <w:rsid w:val="00C43172"/>
    <w:rsid w:val="00C431DE"/>
    <w:rsid w:val="00C43250"/>
    <w:rsid w:val="00C432DC"/>
    <w:rsid w:val="00C432F9"/>
    <w:rsid w:val="00C4330C"/>
    <w:rsid w:val="00C43343"/>
    <w:rsid w:val="00C43416"/>
    <w:rsid w:val="00C4382F"/>
    <w:rsid w:val="00C43B19"/>
    <w:rsid w:val="00C43D49"/>
    <w:rsid w:val="00C43E08"/>
    <w:rsid w:val="00C43E94"/>
    <w:rsid w:val="00C43EA3"/>
    <w:rsid w:val="00C43EFE"/>
    <w:rsid w:val="00C43F28"/>
    <w:rsid w:val="00C43F2F"/>
    <w:rsid w:val="00C43FEE"/>
    <w:rsid w:val="00C4420F"/>
    <w:rsid w:val="00C44273"/>
    <w:rsid w:val="00C442D6"/>
    <w:rsid w:val="00C4432E"/>
    <w:rsid w:val="00C44533"/>
    <w:rsid w:val="00C4453D"/>
    <w:rsid w:val="00C44633"/>
    <w:rsid w:val="00C446E2"/>
    <w:rsid w:val="00C4480C"/>
    <w:rsid w:val="00C44A41"/>
    <w:rsid w:val="00C44BA5"/>
    <w:rsid w:val="00C44C3F"/>
    <w:rsid w:val="00C44C96"/>
    <w:rsid w:val="00C44CC7"/>
    <w:rsid w:val="00C44CCD"/>
    <w:rsid w:val="00C44DE7"/>
    <w:rsid w:val="00C44DF0"/>
    <w:rsid w:val="00C44E27"/>
    <w:rsid w:val="00C44E3C"/>
    <w:rsid w:val="00C44E6D"/>
    <w:rsid w:val="00C44EB6"/>
    <w:rsid w:val="00C4503A"/>
    <w:rsid w:val="00C450DF"/>
    <w:rsid w:val="00C450EA"/>
    <w:rsid w:val="00C452A3"/>
    <w:rsid w:val="00C452B3"/>
    <w:rsid w:val="00C45302"/>
    <w:rsid w:val="00C45366"/>
    <w:rsid w:val="00C4537E"/>
    <w:rsid w:val="00C453AF"/>
    <w:rsid w:val="00C45402"/>
    <w:rsid w:val="00C45523"/>
    <w:rsid w:val="00C4554F"/>
    <w:rsid w:val="00C45680"/>
    <w:rsid w:val="00C4578F"/>
    <w:rsid w:val="00C45838"/>
    <w:rsid w:val="00C458DF"/>
    <w:rsid w:val="00C459C5"/>
    <w:rsid w:val="00C459DC"/>
    <w:rsid w:val="00C45A9A"/>
    <w:rsid w:val="00C45BC2"/>
    <w:rsid w:val="00C45C68"/>
    <w:rsid w:val="00C45C84"/>
    <w:rsid w:val="00C45D8C"/>
    <w:rsid w:val="00C4607C"/>
    <w:rsid w:val="00C4635D"/>
    <w:rsid w:val="00C463E9"/>
    <w:rsid w:val="00C463F1"/>
    <w:rsid w:val="00C4688F"/>
    <w:rsid w:val="00C46893"/>
    <w:rsid w:val="00C46937"/>
    <w:rsid w:val="00C469C2"/>
    <w:rsid w:val="00C469F0"/>
    <w:rsid w:val="00C46AE4"/>
    <w:rsid w:val="00C46B92"/>
    <w:rsid w:val="00C46BE1"/>
    <w:rsid w:val="00C46C1B"/>
    <w:rsid w:val="00C46C2E"/>
    <w:rsid w:val="00C46C7A"/>
    <w:rsid w:val="00C46CD2"/>
    <w:rsid w:val="00C46F1C"/>
    <w:rsid w:val="00C46FA9"/>
    <w:rsid w:val="00C4718F"/>
    <w:rsid w:val="00C47340"/>
    <w:rsid w:val="00C4743B"/>
    <w:rsid w:val="00C474F3"/>
    <w:rsid w:val="00C47533"/>
    <w:rsid w:val="00C475F1"/>
    <w:rsid w:val="00C47923"/>
    <w:rsid w:val="00C4797F"/>
    <w:rsid w:val="00C47980"/>
    <w:rsid w:val="00C479D1"/>
    <w:rsid w:val="00C47CD8"/>
    <w:rsid w:val="00C47D55"/>
    <w:rsid w:val="00C47D60"/>
    <w:rsid w:val="00C47DB3"/>
    <w:rsid w:val="00C47E3B"/>
    <w:rsid w:val="00C50015"/>
    <w:rsid w:val="00C50036"/>
    <w:rsid w:val="00C500C4"/>
    <w:rsid w:val="00C501A3"/>
    <w:rsid w:val="00C501A5"/>
    <w:rsid w:val="00C502C7"/>
    <w:rsid w:val="00C503A0"/>
    <w:rsid w:val="00C503D8"/>
    <w:rsid w:val="00C505F6"/>
    <w:rsid w:val="00C50900"/>
    <w:rsid w:val="00C50A4C"/>
    <w:rsid w:val="00C50B03"/>
    <w:rsid w:val="00C50B0D"/>
    <w:rsid w:val="00C50B10"/>
    <w:rsid w:val="00C50B4E"/>
    <w:rsid w:val="00C50BDD"/>
    <w:rsid w:val="00C50CFC"/>
    <w:rsid w:val="00C50D54"/>
    <w:rsid w:val="00C50DB8"/>
    <w:rsid w:val="00C50DD7"/>
    <w:rsid w:val="00C50E67"/>
    <w:rsid w:val="00C50FE1"/>
    <w:rsid w:val="00C5144E"/>
    <w:rsid w:val="00C516F5"/>
    <w:rsid w:val="00C518AE"/>
    <w:rsid w:val="00C51933"/>
    <w:rsid w:val="00C519DB"/>
    <w:rsid w:val="00C51A0A"/>
    <w:rsid w:val="00C51F62"/>
    <w:rsid w:val="00C52019"/>
    <w:rsid w:val="00C52120"/>
    <w:rsid w:val="00C523D2"/>
    <w:rsid w:val="00C525C3"/>
    <w:rsid w:val="00C525C6"/>
    <w:rsid w:val="00C525FD"/>
    <w:rsid w:val="00C52663"/>
    <w:rsid w:val="00C527D6"/>
    <w:rsid w:val="00C528C3"/>
    <w:rsid w:val="00C52B8A"/>
    <w:rsid w:val="00C52D03"/>
    <w:rsid w:val="00C52E99"/>
    <w:rsid w:val="00C52EDF"/>
    <w:rsid w:val="00C53148"/>
    <w:rsid w:val="00C531B4"/>
    <w:rsid w:val="00C53435"/>
    <w:rsid w:val="00C535D3"/>
    <w:rsid w:val="00C536E5"/>
    <w:rsid w:val="00C53848"/>
    <w:rsid w:val="00C5395C"/>
    <w:rsid w:val="00C539C2"/>
    <w:rsid w:val="00C53CAB"/>
    <w:rsid w:val="00C53D4C"/>
    <w:rsid w:val="00C53D51"/>
    <w:rsid w:val="00C53EF2"/>
    <w:rsid w:val="00C53F17"/>
    <w:rsid w:val="00C53F45"/>
    <w:rsid w:val="00C5405B"/>
    <w:rsid w:val="00C54103"/>
    <w:rsid w:val="00C54376"/>
    <w:rsid w:val="00C543D2"/>
    <w:rsid w:val="00C543DA"/>
    <w:rsid w:val="00C54589"/>
    <w:rsid w:val="00C545A8"/>
    <w:rsid w:val="00C54650"/>
    <w:rsid w:val="00C54658"/>
    <w:rsid w:val="00C54797"/>
    <w:rsid w:val="00C548C8"/>
    <w:rsid w:val="00C54983"/>
    <w:rsid w:val="00C54AD9"/>
    <w:rsid w:val="00C54CCE"/>
    <w:rsid w:val="00C54F27"/>
    <w:rsid w:val="00C54F66"/>
    <w:rsid w:val="00C55060"/>
    <w:rsid w:val="00C5512F"/>
    <w:rsid w:val="00C551E1"/>
    <w:rsid w:val="00C552F7"/>
    <w:rsid w:val="00C55323"/>
    <w:rsid w:val="00C55337"/>
    <w:rsid w:val="00C5533E"/>
    <w:rsid w:val="00C553AE"/>
    <w:rsid w:val="00C553F6"/>
    <w:rsid w:val="00C5547D"/>
    <w:rsid w:val="00C55513"/>
    <w:rsid w:val="00C555DD"/>
    <w:rsid w:val="00C55653"/>
    <w:rsid w:val="00C5581A"/>
    <w:rsid w:val="00C55821"/>
    <w:rsid w:val="00C558F1"/>
    <w:rsid w:val="00C55979"/>
    <w:rsid w:val="00C5597F"/>
    <w:rsid w:val="00C55A31"/>
    <w:rsid w:val="00C55ACD"/>
    <w:rsid w:val="00C55B56"/>
    <w:rsid w:val="00C55C94"/>
    <w:rsid w:val="00C55DE4"/>
    <w:rsid w:val="00C55FC9"/>
    <w:rsid w:val="00C55FD8"/>
    <w:rsid w:val="00C55FF8"/>
    <w:rsid w:val="00C56047"/>
    <w:rsid w:val="00C5606C"/>
    <w:rsid w:val="00C56150"/>
    <w:rsid w:val="00C5626C"/>
    <w:rsid w:val="00C56366"/>
    <w:rsid w:val="00C563B9"/>
    <w:rsid w:val="00C563C5"/>
    <w:rsid w:val="00C56486"/>
    <w:rsid w:val="00C564E8"/>
    <w:rsid w:val="00C56576"/>
    <w:rsid w:val="00C565FC"/>
    <w:rsid w:val="00C56662"/>
    <w:rsid w:val="00C56884"/>
    <w:rsid w:val="00C56A88"/>
    <w:rsid w:val="00C56AC4"/>
    <w:rsid w:val="00C56C91"/>
    <w:rsid w:val="00C56CD6"/>
    <w:rsid w:val="00C56D36"/>
    <w:rsid w:val="00C56E0F"/>
    <w:rsid w:val="00C56EAB"/>
    <w:rsid w:val="00C56ED4"/>
    <w:rsid w:val="00C56FA4"/>
    <w:rsid w:val="00C57346"/>
    <w:rsid w:val="00C57349"/>
    <w:rsid w:val="00C57382"/>
    <w:rsid w:val="00C574E9"/>
    <w:rsid w:val="00C574F0"/>
    <w:rsid w:val="00C57573"/>
    <w:rsid w:val="00C5765B"/>
    <w:rsid w:val="00C579DA"/>
    <w:rsid w:val="00C57A75"/>
    <w:rsid w:val="00C57C5E"/>
    <w:rsid w:val="00C57E1F"/>
    <w:rsid w:val="00C60034"/>
    <w:rsid w:val="00C6004A"/>
    <w:rsid w:val="00C60173"/>
    <w:rsid w:val="00C601E1"/>
    <w:rsid w:val="00C60242"/>
    <w:rsid w:val="00C60386"/>
    <w:rsid w:val="00C603D0"/>
    <w:rsid w:val="00C6050F"/>
    <w:rsid w:val="00C60566"/>
    <w:rsid w:val="00C60609"/>
    <w:rsid w:val="00C60692"/>
    <w:rsid w:val="00C60725"/>
    <w:rsid w:val="00C6086A"/>
    <w:rsid w:val="00C60C2A"/>
    <w:rsid w:val="00C60CAD"/>
    <w:rsid w:val="00C60D08"/>
    <w:rsid w:val="00C60DDE"/>
    <w:rsid w:val="00C60F53"/>
    <w:rsid w:val="00C61112"/>
    <w:rsid w:val="00C611B4"/>
    <w:rsid w:val="00C6124B"/>
    <w:rsid w:val="00C61686"/>
    <w:rsid w:val="00C617E2"/>
    <w:rsid w:val="00C617FB"/>
    <w:rsid w:val="00C61829"/>
    <w:rsid w:val="00C619AF"/>
    <w:rsid w:val="00C619F1"/>
    <w:rsid w:val="00C61A4D"/>
    <w:rsid w:val="00C61AA9"/>
    <w:rsid w:val="00C61B08"/>
    <w:rsid w:val="00C61BA6"/>
    <w:rsid w:val="00C61C27"/>
    <w:rsid w:val="00C61E73"/>
    <w:rsid w:val="00C61EFC"/>
    <w:rsid w:val="00C61F04"/>
    <w:rsid w:val="00C61FCA"/>
    <w:rsid w:val="00C620B5"/>
    <w:rsid w:val="00C62310"/>
    <w:rsid w:val="00C62486"/>
    <w:rsid w:val="00C62853"/>
    <w:rsid w:val="00C62CC2"/>
    <w:rsid w:val="00C62F51"/>
    <w:rsid w:val="00C6308D"/>
    <w:rsid w:val="00C6327A"/>
    <w:rsid w:val="00C632E4"/>
    <w:rsid w:val="00C63320"/>
    <w:rsid w:val="00C633B4"/>
    <w:rsid w:val="00C634F5"/>
    <w:rsid w:val="00C63562"/>
    <w:rsid w:val="00C63608"/>
    <w:rsid w:val="00C63656"/>
    <w:rsid w:val="00C6389C"/>
    <w:rsid w:val="00C63BCF"/>
    <w:rsid w:val="00C63CBC"/>
    <w:rsid w:val="00C63DDA"/>
    <w:rsid w:val="00C63E82"/>
    <w:rsid w:val="00C63E97"/>
    <w:rsid w:val="00C63ED6"/>
    <w:rsid w:val="00C6402A"/>
    <w:rsid w:val="00C640B4"/>
    <w:rsid w:val="00C641FA"/>
    <w:rsid w:val="00C64213"/>
    <w:rsid w:val="00C64237"/>
    <w:rsid w:val="00C642D8"/>
    <w:rsid w:val="00C644BC"/>
    <w:rsid w:val="00C644CB"/>
    <w:rsid w:val="00C6455D"/>
    <w:rsid w:val="00C645C9"/>
    <w:rsid w:val="00C64648"/>
    <w:rsid w:val="00C6465B"/>
    <w:rsid w:val="00C647A6"/>
    <w:rsid w:val="00C64AD8"/>
    <w:rsid w:val="00C64B50"/>
    <w:rsid w:val="00C64B67"/>
    <w:rsid w:val="00C64BD1"/>
    <w:rsid w:val="00C64BF5"/>
    <w:rsid w:val="00C64C16"/>
    <w:rsid w:val="00C64C54"/>
    <w:rsid w:val="00C64DDC"/>
    <w:rsid w:val="00C64DE7"/>
    <w:rsid w:val="00C64E0E"/>
    <w:rsid w:val="00C65020"/>
    <w:rsid w:val="00C65089"/>
    <w:rsid w:val="00C65150"/>
    <w:rsid w:val="00C65252"/>
    <w:rsid w:val="00C65299"/>
    <w:rsid w:val="00C653E0"/>
    <w:rsid w:val="00C65534"/>
    <w:rsid w:val="00C655DF"/>
    <w:rsid w:val="00C6566B"/>
    <w:rsid w:val="00C65680"/>
    <w:rsid w:val="00C656BE"/>
    <w:rsid w:val="00C65719"/>
    <w:rsid w:val="00C65751"/>
    <w:rsid w:val="00C65803"/>
    <w:rsid w:val="00C65867"/>
    <w:rsid w:val="00C65B89"/>
    <w:rsid w:val="00C65B8F"/>
    <w:rsid w:val="00C65BE0"/>
    <w:rsid w:val="00C65BF4"/>
    <w:rsid w:val="00C65C51"/>
    <w:rsid w:val="00C65DCD"/>
    <w:rsid w:val="00C65DDA"/>
    <w:rsid w:val="00C65DFA"/>
    <w:rsid w:val="00C65F95"/>
    <w:rsid w:val="00C660B7"/>
    <w:rsid w:val="00C660C5"/>
    <w:rsid w:val="00C6624B"/>
    <w:rsid w:val="00C66290"/>
    <w:rsid w:val="00C663F8"/>
    <w:rsid w:val="00C66648"/>
    <w:rsid w:val="00C66879"/>
    <w:rsid w:val="00C6689F"/>
    <w:rsid w:val="00C668B1"/>
    <w:rsid w:val="00C668C4"/>
    <w:rsid w:val="00C66B75"/>
    <w:rsid w:val="00C66C6B"/>
    <w:rsid w:val="00C66CD7"/>
    <w:rsid w:val="00C66CEB"/>
    <w:rsid w:val="00C66F76"/>
    <w:rsid w:val="00C66FC3"/>
    <w:rsid w:val="00C670B2"/>
    <w:rsid w:val="00C6713B"/>
    <w:rsid w:val="00C671BC"/>
    <w:rsid w:val="00C671EC"/>
    <w:rsid w:val="00C6720F"/>
    <w:rsid w:val="00C672C3"/>
    <w:rsid w:val="00C674B1"/>
    <w:rsid w:val="00C674DD"/>
    <w:rsid w:val="00C67530"/>
    <w:rsid w:val="00C675E7"/>
    <w:rsid w:val="00C67680"/>
    <w:rsid w:val="00C676AB"/>
    <w:rsid w:val="00C67768"/>
    <w:rsid w:val="00C677A4"/>
    <w:rsid w:val="00C67903"/>
    <w:rsid w:val="00C679BE"/>
    <w:rsid w:val="00C67B1F"/>
    <w:rsid w:val="00C67BD8"/>
    <w:rsid w:val="00C67DDA"/>
    <w:rsid w:val="00C67E53"/>
    <w:rsid w:val="00C67FB9"/>
    <w:rsid w:val="00C7000A"/>
    <w:rsid w:val="00C700E0"/>
    <w:rsid w:val="00C701FA"/>
    <w:rsid w:val="00C70331"/>
    <w:rsid w:val="00C70352"/>
    <w:rsid w:val="00C70506"/>
    <w:rsid w:val="00C70735"/>
    <w:rsid w:val="00C70766"/>
    <w:rsid w:val="00C707ED"/>
    <w:rsid w:val="00C7093B"/>
    <w:rsid w:val="00C70968"/>
    <w:rsid w:val="00C70ACF"/>
    <w:rsid w:val="00C70B05"/>
    <w:rsid w:val="00C70B8D"/>
    <w:rsid w:val="00C70BE2"/>
    <w:rsid w:val="00C70BFB"/>
    <w:rsid w:val="00C70D14"/>
    <w:rsid w:val="00C70E0C"/>
    <w:rsid w:val="00C70F55"/>
    <w:rsid w:val="00C711A3"/>
    <w:rsid w:val="00C712EA"/>
    <w:rsid w:val="00C713A6"/>
    <w:rsid w:val="00C713D9"/>
    <w:rsid w:val="00C71478"/>
    <w:rsid w:val="00C7152A"/>
    <w:rsid w:val="00C71695"/>
    <w:rsid w:val="00C716CB"/>
    <w:rsid w:val="00C716FB"/>
    <w:rsid w:val="00C717B4"/>
    <w:rsid w:val="00C717BA"/>
    <w:rsid w:val="00C717DE"/>
    <w:rsid w:val="00C71968"/>
    <w:rsid w:val="00C71AEB"/>
    <w:rsid w:val="00C71ECF"/>
    <w:rsid w:val="00C71FC0"/>
    <w:rsid w:val="00C720A4"/>
    <w:rsid w:val="00C7212B"/>
    <w:rsid w:val="00C721A2"/>
    <w:rsid w:val="00C7230B"/>
    <w:rsid w:val="00C7242B"/>
    <w:rsid w:val="00C7248D"/>
    <w:rsid w:val="00C7251F"/>
    <w:rsid w:val="00C72559"/>
    <w:rsid w:val="00C725EB"/>
    <w:rsid w:val="00C72684"/>
    <w:rsid w:val="00C726E2"/>
    <w:rsid w:val="00C72823"/>
    <w:rsid w:val="00C728AB"/>
    <w:rsid w:val="00C7293F"/>
    <w:rsid w:val="00C72E13"/>
    <w:rsid w:val="00C72E4D"/>
    <w:rsid w:val="00C72FBF"/>
    <w:rsid w:val="00C7305A"/>
    <w:rsid w:val="00C730F3"/>
    <w:rsid w:val="00C7311D"/>
    <w:rsid w:val="00C731AE"/>
    <w:rsid w:val="00C73380"/>
    <w:rsid w:val="00C73456"/>
    <w:rsid w:val="00C7359C"/>
    <w:rsid w:val="00C73666"/>
    <w:rsid w:val="00C736E4"/>
    <w:rsid w:val="00C7391F"/>
    <w:rsid w:val="00C73A26"/>
    <w:rsid w:val="00C73B63"/>
    <w:rsid w:val="00C73CFE"/>
    <w:rsid w:val="00C73D8D"/>
    <w:rsid w:val="00C73E40"/>
    <w:rsid w:val="00C73F5B"/>
    <w:rsid w:val="00C74083"/>
    <w:rsid w:val="00C740BB"/>
    <w:rsid w:val="00C7416B"/>
    <w:rsid w:val="00C742A4"/>
    <w:rsid w:val="00C74447"/>
    <w:rsid w:val="00C744B8"/>
    <w:rsid w:val="00C7463D"/>
    <w:rsid w:val="00C747F4"/>
    <w:rsid w:val="00C7481F"/>
    <w:rsid w:val="00C74A08"/>
    <w:rsid w:val="00C74B7C"/>
    <w:rsid w:val="00C74BED"/>
    <w:rsid w:val="00C74E0F"/>
    <w:rsid w:val="00C74E1C"/>
    <w:rsid w:val="00C74E8B"/>
    <w:rsid w:val="00C74E8E"/>
    <w:rsid w:val="00C74F79"/>
    <w:rsid w:val="00C7503A"/>
    <w:rsid w:val="00C751F9"/>
    <w:rsid w:val="00C75203"/>
    <w:rsid w:val="00C75248"/>
    <w:rsid w:val="00C752E1"/>
    <w:rsid w:val="00C756C8"/>
    <w:rsid w:val="00C7574D"/>
    <w:rsid w:val="00C7578A"/>
    <w:rsid w:val="00C7581B"/>
    <w:rsid w:val="00C758C6"/>
    <w:rsid w:val="00C758D2"/>
    <w:rsid w:val="00C75990"/>
    <w:rsid w:val="00C75A88"/>
    <w:rsid w:val="00C75AB2"/>
    <w:rsid w:val="00C75AF4"/>
    <w:rsid w:val="00C75BFF"/>
    <w:rsid w:val="00C75C1F"/>
    <w:rsid w:val="00C75C5B"/>
    <w:rsid w:val="00C75E0B"/>
    <w:rsid w:val="00C75E21"/>
    <w:rsid w:val="00C7600F"/>
    <w:rsid w:val="00C76058"/>
    <w:rsid w:val="00C76198"/>
    <w:rsid w:val="00C762CB"/>
    <w:rsid w:val="00C76326"/>
    <w:rsid w:val="00C76360"/>
    <w:rsid w:val="00C763D9"/>
    <w:rsid w:val="00C76577"/>
    <w:rsid w:val="00C765D2"/>
    <w:rsid w:val="00C76708"/>
    <w:rsid w:val="00C76848"/>
    <w:rsid w:val="00C76893"/>
    <w:rsid w:val="00C768D6"/>
    <w:rsid w:val="00C76A17"/>
    <w:rsid w:val="00C76C72"/>
    <w:rsid w:val="00C76CEE"/>
    <w:rsid w:val="00C76CFC"/>
    <w:rsid w:val="00C76E34"/>
    <w:rsid w:val="00C76F26"/>
    <w:rsid w:val="00C76F43"/>
    <w:rsid w:val="00C77228"/>
    <w:rsid w:val="00C773B9"/>
    <w:rsid w:val="00C77481"/>
    <w:rsid w:val="00C774DE"/>
    <w:rsid w:val="00C77555"/>
    <w:rsid w:val="00C777C2"/>
    <w:rsid w:val="00C7782A"/>
    <w:rsid w:val="00C778D2"/>
    <w:rsid w:val="00C77A3D"/>
    <w:rsid w:val="00C77B15"/>
    <w:rsid w:val="00C77DB0"/>
    <w:rsid w:val="00C77E05"/>
    <w:rsid w:val="00C77E5E"/>
    <w:rsid w:val="00C77EE5"/>
    <w:rsid w:val="00C8004F"/>
    <w:rsid w:val="00C80103"/>
    <w:rsid w:val="00C8015D"/>
    <w:rsid w:val="00C8024C"/>
    <w:rsid w:val="00C8027C"/>
    <w:rsid w:val="00C802F3"/>
    <w:rsid w:val="00C8043F"/>
    <w:rsid w:val="00C8050E"/>
    <w:rsid w:val="00C80511"/>
    <w:rsid w:val="00C80681"/>
    <w:rsid w:val="00C807C3"/>
    <w:rsid w:val="00C80862"/>
    <w:rsid w:val="00C80870"/>
    <w:rsid w:val="00C80912"/>
    <w:rsid w:val="00C80B76"/>
    <w:rsid w:val="00C80C1E"/>
    <w:rsid w:val="00C80C5C"/>
    <w:rsid w:val="00C80D0B"/>
    <w:rsid w:val="00C80D10"/>
    <w:rsid w:val="00C80DF1"/>
    <w:rsid w:val="00C8110A"/>
    <w:rsid w:val="00C81200"/>
    <w:rsid w:val="00C81490"/>
    <w:rsid w:val="00C815F0"/>
    <w:rsid w:val="00C81837"/>
    <w:rsid w:val="00C81B02"/>
    <w:rsid w:val="00C81D9D"/>
    <w:rsid w:val="00C81E74"/>
    <w:rsid w:val="00C81EB1"/>
    <w:rsid w:val="00C81F56"/>
    <w:rsid w:val="00C81F78"/>
    <w:rsid w:val="00C8218B"/>
    <w:rsid w:val="00C8218F"/>
    <w:rsid w:val="00C82220"/>
    <w:rsid w:val="00C822BA"/>
    <w:rsid w:val="00C8249E"/>
    <w:rsid w:val="00C82520"/>
    <w:rsid w:val="00C8257B"/>
    <w:rsid w:val="00C826F5"/>
    <w:rsid w:val="00C8271B"/>
    <w:rsid w:val="00C82733"/>
    <w:rsid w:val="00C82795"/>
    <w:rsid w:val="00C82851"/>
    <w:rsid w:val="00C82865"/>
    <w:rsid w:val="00C828AC"/>
    <w:rsid w:val="00C828F1"/>
    <w:rsid w:val="00C82934"/>
    <w:rsid w:val="00C82970"/>
    <w:rsid w:val="00C829DB"/>
    <w:rsid w:val="00C82A13"/>
    <w:rsid w:val="00C82B8E"/>
    <w:rsid w:val="00C82B9E"/>
    <w:rsid w:val="00C82F05"/>
    <w:rsid w:val="00C83128"/>
    <w:rsid w:val="00C831A0"/>
    <w:rsid w:val="00C831B4"/>
    <w:rsid w:val="00C832A8"/>
    <w:rsid w:val="00C83338"/>
    <w:rsid w:val="00C83347"/>
    <w:rsid w:val="00C833CD"/>
    <w:rsid w:val="00C83420"/>
    <w:rsid w:val="00C83483"/>
    <w:rsid w:val="00C8348E"/>
    <w:rsid w:val="00C834F1"/>
    <w:rsid w:val="00C83570"/>
    <w:rsid w:val="00C83655"/>
    <w:rsid w:val="00C836CF"/>
    <w:rsid w:val="00C8377B"/>
    <w:rsid w:val="00C838D2"/>
    <w:rsid w:val="00C839F4"/>
    <w:rsid w:val="00C83A42"/>
    <w:rsid w:val="00C83AC4"/>
    <w:rsid w:val="00C83AED"/>
    <w:rsid w:val="00C83BAB"/>
    <w:rsid w:val="00C83C29"/>
    <w:rsid w:val="00C83E51"/>
    <w:rsid w:val="00C83FA7"/>
    <w:rsid w:val="00C84160"/>
    <w:rsid w:val="00C84309"/>
    <w:rsid w:val="00C84333"/>
    <w:rsid w:val="00C84362"/>
    <w:rsid w:val="00C844E5"/>
    <w:rsid w:val="00C84514"/>
    <w:rsid w:val="00C8454B"/>
    <w:rsid w:val="00C8459B"/>
    <w:rsid w:val="00C846EF"/>
    <w:rsid w:val="00C8470F"/>
    <w:rsid w:val="00C8481D"/>
    <w:rsid w:val="00C8483D"/>
    <w:rsid w:val="00C848AE"/>
    <w:rsid w:val="00C84BB7"/>
    <w:rsid w:val="00C84D5D"/>
    <w:rsid w:val="00C850C5"/>
    <w:rsid w:val="00C852BF"/>
    <w:rsid w:val="00C852F9"/>
    <w:rsid w:val="00C85339"/>
    <w:rsid w:val="00C8545C"/>
    <w:rsid w:val="00C857CE"/>
    <w:rsid w:val="00C858A8"/>
    <w:rsid w:val="00C858AF"/>
    <w:rsid w:val="00C859FF"/>
    <w:rsid w:val="00C85A37"/>
    <w:rsid w:val="00C85B6A"/>
    <w:rsid w:val="00C85BA6"/>
    <w:rsid w:val="00C85C48"/>
    <w:rsid w:val="00C85E73"/>
    <w:rsid w:val="00C86109"/>
    <w:rsid w:val="00C861B2"/>
    <w:rsid w:val="00C861FD"/>
    <w:rsid w:val="00C86278"/>
    <w:rsid w:val="00C8642B"/>
    <w:rsid w:val="00C8656F"/>
    <w:rsid w:val="00C8657C"/>
    <w:rsid w:val="00C86585"/>
    <w:rsid w:val="00C8663F"/>
    <w:rsid w:val="00C86788"/>
    <w:rsid w:val="00C8691A"/>
    <w:rsid w:val="00C869B8"/>
    <w:rsid w:val="00C86D14"/>
    <w:rsid w:val="00C86DBF"/>
    <w:rsid w:val="00C86DF1"/>
    <w:rsid w:val="00C86E60"/>
    <w:rsid w:val="00C86F10"/>
    <w:rsid w:val="00C86F45"/>
    <w:rsid w:val="00C87016"/>
    <w:rsid w:val="00C87173"/>
    <w:rsid w:val="00C871DF"/>
    <w:rsid w:val="00C87489"/>
    <w:rsid w:val="00C8749E"/>
    <w:rsid w:val="00C874B9"/>
    <w:rsid w:val="00C875BE"/>
    <w:rsid w:val="00C8766E"/>
    <w:rsid w:val="00C876B1"/>
    <w:rsid w:val="00C87798"/>
    <w:rsid w:val="00C87861"/>
    <w:rsid w:val="00C8794A"/>
    <w:rsid w:val="00C87C9D"/>
    <w:rsid w:val="00C87EFD"/>
    <w:rsid w:val="00C87F54"/>
    <w:rsid w:val="00C87FA8"/>
    <w:rsid w:val="00C9003E"/>
    <w:rsid w:val="00C900EF"/>
    <w:rsid w:val="00C90121"/>
    <w:rsid w:val="00C90213"/>
    <w:rsid w:val="00C90249"/>
    <w:rsid w:val="00C9028E"/>
    <w:rsid w:val="00C90296"/>
    <w:rsid w:val="00C90434"/>
    <w:rsid w:val="00C90445"/>
    <w:rsid w:val="00C90487"/>
    <w:rsid w:val="00C904E5"/>
    <w:rsid w:val="00C9061C"/>
    <w:rsid w:val="00C90645"/>
    <w:rsid w:val="00C907D1"/>
    <w:rsid w:val="00C90860"/>
    <w:rsid w:val="00C90A9C"/>
    <w:rsid w:val="00C90B29"/>
    <w:rsid w:val="00C90BB4"/>
    <w:rsid w:val="00C90CDA"/>
    <w:rsid w:val="00C90D99"/>
    <w:rsid w:val="00C90DBC"/>
    <w:rsid w:val="00C90F45"/>
    <w:rsid w:val="00C90FCF"/>
    <w:rsid w:val="00C910F2"/>
    <w:rsid w:val="00C91187"/>
    <w:rsid w:val="00C911A7"/>
    <w:rsid w:val="00C9133F"/>
    <w:rsid w:val="00C9157E"/>
    <w:rsid w:val="00C915E4"/>
    <w:rsid w:val="00C91713"/>
    <w:rsid w:val="00C91837"/>
    <w:rsid w:val="00C918B4"/>
    <w:rsid w:val="00C91958"/>
    <w:rsid w:val="00C9195B"/>
    <w:rsid w:val="00C9198F"/>
    <w:rsid w:val="00C91A19"/>
    <w:rsid w:val="00C91B12"/>
    <w:rsid w:val="00C91B80"/>
    <w:rsid w:val="00C91D3B"/>
    <w:rsid w:val="00C91E19"/>
    <w:rsid w:val="00C91E63"/>
    <w:rsid w:val="00C91ED1"/>
    <w:rsid w:val="00C91F94"/>
    <w:rsid w:val="00C91FC8"/>
    <w:rsid w:val="00C9208A"/>
    <w:rsid w:val="00C9218E"/>
    <w:rsid w:val="00C921AB"/>
    <w:rsid w:val="00C92343"/>
    <w:rsid w:val="00C92468"/>
    <w:rsid w:val="00C9246C"/>
    <w:rsid w:val="00C92541"/>
    <w:rsid w:val="00C92729"/>
    <w:rsid w:val="00C92804"/>
    <w:rsid w:val="00C9287E"/>
    <w:rsid w:val="00C929F2"/>
    <w:rsid w:val="00C92A2A"/>
    <w:rsid w:val="00C92A50"/>
    <w:rsid w:val="00C92B8B"/>
    <w:rsid w:val="00C92C87"/>
    <w:rsid w:val="00C92D43"/>
    <w:rsid w:val="00C92D7C"/>
    <w:rsid w:val="00C92E80"/>
    <w:rsid w:val="00C92E93"/>
    <w:rsid w:val="00C92FC7"/>
    <w:rsid w:val="00C93067"/>
    <w:rsid w:val="00C931DC"/>
    <w:rsid w:val="00C935C0"/>
    <w:rsid w:val="00C93667"/>
    <w:rsid w:val="00C93798"/>
    <w:rsid w:val="00C937A6"/>
    <w:rsid w:val="00C937FB"/>
    <w:rsid w:val="00C938B8"/>
    <w:rsid w:val="00C93947"/>
    <w:rsid w:val="00C939F0"/>
    <w:rsid w:val="00C93B66"/>
    <w:rsid w:val="00C93E26"/>
    <w:rsid w:val="00C93F53"/>
    <w:rsid w:val="00C93FAA"/>
    <w:rsid w:val="00C9409D"/>
    <w:rsid w:val="00C9413F"/>
    <w:rsid w:val="00C941EB"/>
    <w:rsid w:val="00C9422E"/>
    <w:rsid w:val="00C9430E"/>
    <w:rsid w:val="00C94368"/>
    <w:rsid w:val="00C9439C"/>
    <w:rsid w:val="00C943A6"/>
    <w:rsid w:val="00C9441A"/>
    <w:rsid w:val="00C944A1"/>
    <w:rsid w:val="00C9468F"/>
    <w:rsid w:val="00C94988"/>
    <w:rsid w:val="00C94CE5"/>
    <w:rsid w:val="00C94EFD"/>
    <w:rsid w:val="00C9513D"/>
    <w:rsid w:val="00C9515A"/>
    <w:rsid w:val="00C951DE"/>
    <w:rsid w:val="00C951FF"/>
    <w:rsid w:val="00C9525A"/>
    <w:rsid w:val="00C95342"/>
    <w:rsid w:val="00C95349"/>
    <w:rsid w:val="00C95355"/>
    <w:rsid w:val="00C9536C"/>
    <w:rsid w:val="00C954A0"/>
    <w:rsid w:val="00C9554A"/>
    <w:rsid w:val="00C9557E"/>
    <w:rsid w:val="00C955F8"/>
    <w:rsid w:val="00C958C0"/>
    <w:rsid w:val="00C958C3"/>
    <w:rsid w:val="00C9593D"/>
    <w:rsid w:val="00C95A5E"/>
    <w:rsid w:val="00C95BA3"/>
    <w:rsid w:val="00C95C67"/>
    <w:rsid w:val="00C95D13"/>
    <w:rsid w:val="00C95D75"/>
    <w:rsid w:val="00C95DCB"/>
    <w:rsid w:val="00C95EC0"/>
    <w:rsid w:val="00C95ECF"/>
    <w:rsid w:val="00C96059"/>
    <w:rsid w:val="00C96085"/>
    <w:rsid w:val="00C96135"/>
    <w:rsid w:val="00C96430"/>
    <w:rsid w:val="00C964B8"/>
    <w:rsid w:val="00C9652E"/>
    <w:rsid w:val="00C965AB"/>
    <w:rsid w:val="00C965B3"/>
    <w:rsid w:val="00C96665"/>
    <w:rsid w:val="00C966B1"/>
    <w:rsid w:val="00C966D8"/>
    <w:rsid w:val="00C96967"/>
    <w:rsid w:val="00C96971"/>
    <w:rsid w:val="00C96A84"/>
    <w:rsid w:val="00C96D48"/>
    <w:rsid w:val="00C96D5B"/>
    <w:rsid w:val="00C96D65"/>
    <w:rsid w:val="00C96DD4"/>
    <w:rsid w:val="00C96E37"/>
    <w:rsid w:val="00C96E52"/>
    <w:rsid w:val="00C96E73"/>
    <w:rsid w:val="00C96EB7"/>
    <w:rsid w:val="00C96F7C"/>
    <w:rsid w:val="00C970DD"/>
    <w:rsid w:val="00C9723F"/>
    <w:rsid w:val="00C973DF"/>
    <w:rsid w:val="00C975FB"/>
    <w:rsid w:val="00C976CA"/>
    <w:rsid w:val="00C977E3"/>
    <w:rsid w:val="00C978BA"/>
    <w:rsid w:val="00C97914"/>
    <w:rsid w:val="00C97917"/>
    <w:rsid w:val="00C97984"/>
    <w:rsid w:val="00C97AEF"/>
    <w:rsid w:val="00C97B48"/>
    <w:rsid w:val="00C97BE1"/>
    <w:rsid w:val="00C97C4C"/>
    <w:rsid w:val="00C97C8D"/>
    <w:rsid w:val="00C97D6B"/>
    <w:rsid w:val="00C97EC9"/>
    <w:rsid w:val="00C97EFA"/>
    <w:rsid w:val="00CA0014"/>
    <w:rsid w:val="00CA0210"/>
    <w:rsid w:val="00CA0441"/>
    <w:rsid w:val="00CA0473"/>
    <w:rsid w:val="00CA0717"/>
    <w:rsid w:val="00CA07EB"/>
    <w:rsid w:val="00CA0880"/>
    <w:rsid w:val="00CA08F3"/>
    <w:rsid w:val="00CA0A8C"/>
    <w:rsid w:val="00CA0BD9"/>
    <w:rsid w:val="00CA0E7C"/>
    <w:rsid w:val="00CA106D"/>
    <w:rsid w:val="00CA112F"/>
    <w:rsid w:val="00CA1151"/>
    <w:rsid w:val="00CA1173"/>
    <w:rsid w:val="00CA1192"/>
    <w:rsid w:val="00CA121A"/>
    <w:rsid w:val="00CA14CA"/>
    <w:rsid w:val="00CA14EE"/>
    <w:rsid w:val="00CA152B"/>
    <w:rsid w:val="00CA1550"/>
    <w:rsid w:val="00CA168C"/>
    <w:rsid w:val="00CA1805"/>
    <w:rsid w:val="00CA18E8"/>
    <w:rsid w:val="00CA19B1"/>
    <w:rsid w:val="00CA19C7"/>
    <w:rsid w:val="00CA1AA7"/>
    <w:rsid w:val="00CA1B9D"/>
    <w:rsid w:val="00CA1C62"/>
    <w:rsid w:val="00CA1C87"/>
    <w:rsid w:val="00CA1D42"/>
    <w:rsid w:val="00CA1D9F"/>
    <w:rsid w:val="00CA1EB9"/>
    <w:rsid w:val="00CA1FD0"/>
    <w:rsid w:val="00CA2038"/>
    <w:rsid w:val="00CA2113"/>
    <w:rsid w:val="00CA21C5"/>
    <w:rsid w:val="00CA236C"/>
    <w:rsid w:val="00CA23E5"/>
    <w:rsid w:val="00CA2424"/>
    <w:rsid w:val="00CA2433"/>
    <w:rsid w:val="00CA24AF"/>
    <w:rsid w:val="00CA251A"/>
    <w:rsid w:val="00CA2553"/>
    <w:rsid w:val="00CA2596"/>
    <w:rsid w:val="00CA25D8"/>
    <w:rsid w:val="00CA2631"/>
    <w:rsid w:val="00CA269B"/>
    <w:rsid w:val="00CA26CE"/>
    <w:rsid w:val="00CA26FB"/>
    <w:rsid w:val="00CA26FC"/>
    <w:rsid w:val="00CA2724"/>
    <w:rsid w:val="00CA27AA"/>
    <w:rsid w:val="00CA27C1"/>
    <w:rsid w:val="00CA2820"/>
    <w:rsid w:val="00CA2847"/>
    <w:rsid w:val="00CA29C8"/>
    <w:rsid w:val="00CA2AC4"/>
    <w:rsid w:val="00CA2B56"/>
    <w:rsid w:val="00CA2B85"/>
    <w:rsid w:val="00CA2CB8"/>
    <w:rsid w:val="00CA2CE1"/>
    <w:rsid w:val="00CA2DDC"/>
    <w:rsid w:val="00CA2EFC"/>
    <w:rsid w:val="00CA30C7"/>
    <w:rsid w:val="00CA3157"/>
    <w:rsid w:val="00CA318B"/>
    <w:rsid w:val="00CA343A"/>
    <w:rsid w:val="00CA3497"/>
    <w:rsid w:val="00CA3524"/>
    <w:rsid w:val="00CA3531"/>
    <w:rsid w:val="00CA3556"/>
    <w:rsid w:val="00CA3848"/>
    <w:rsid w:val="00CA3A2C"/>
    <w:rsid w:val="00CA3C6C"/>
    <w:rsid w:val="00CA3CAA"/>
    <w:rsid w:val="00CA3D18"/>
    <w:rsid w:val="00CA3D4D"/>
    <w:rsid w:val="00CA3F65"/>
    <w:rsid w:val="00CA40CE"/>
    <w:rsid w:val="00CA40FF"/>
    <w:rsid w:val="00CA4236"/>
    <w:rsid w:val="00CA445C"/>
    <w:rsid w:val="00CA4491"/>
    <w:rsid w:val="00CA44A9"/>
    <w:rsid w:val="00CA44F8"/>
    <w:rsid w:val="00CA4551"/>
    <w:rsid w:val="00CA4767"/>
    <w:rsid w:val="00CA48DC"/>
    <w:rsid w:val="00CA4944"/>
    <w:rsid w:val="00CA4E41"/>
    <w:rsid w:val="00CA4EE6"/>
    <w:rsid w:val="00CA4F24"/>
    <w:rsid w:val="00CA524C"/>
    <w:rsid w:val="00CA52BD"/>
    <w:rsid w:val="00CA53FF"/>
    <w:rsid w:val="00CA5427"/>
    <w:rsid w:val="00CA54F0"/>
    <w:rsid w:val="00CA552B"/>
    <w:rsid w:val="00CA56B9"/>
    <w:rsid w:val="00CA571B"/>
    <w:rsid w:val="00CA5873"/>
    <w:rsid w:val="00CA58E0"/>
    <w:rsid w:val="00CA5B2D"/>
    <w:rsid w:val="00CA5FBC"/>
    <w:rsid w:val="00CA627A"/>
    <w:rsid w:val="00CA6348"/>
    <w:rsid w:val="00CA6378"/>
    <w:rsid w:val="00CA651B"/>
    <w:rsid w:val="00CA6567"/>
    <w:rsid w:val="00CA6997"/>
    <w:rsid w:val="00CA69A9"/>
    <w:rsid w:val="00CA6A61"/>
    <w:rsid w:val="00CA6B1D"/>
    <w:rsid w:val="00CA6BAF"/>
    <w:rsid w:val="00CA6D76"/>
    <w:rsid w:val="00CA6DB5"/>
    <w:rsid w:val="00CA6E0C"/>
    <w:rsid w:val="00CA6E13"/>
    <w:rsid w:val="00CA6E1B"/>
    <w:rsid w:val="00CA6FF1"/>
    <w:rsid w:val="00CA7185"/>
    <w:rsid w:val="00CA7310"/>
    <w:rsid w:val="00CA7380"/>
    <w:rsid w:val="00CA7416"/>
    <w:rsid w:val="00CA75BA"/>
    <w:rsid w:val="00CA75BE"/>
    <w:rsid w:val="00CA75D5"/>
    <w:rsid w:val="00CA75EA"/>
    <w:rsid w:val="00CA761A"/>
    <w:rsid w:val="00CA76D6"/>
    <w:rsid w:val="00CA7727"/>
    <w:rsid w:val="00CA78E0"/>
    <w:rsid w:val="00CA7903"/>
    <w:rsid w:val="00CA7992"/>
    <w:rsid w:val="00CA7A28"/>
    <w:rsid w:val="00CA7A9C"/>
    <w:rsid w:val="00CA7B0B"/>
    <w:rsid w:val="00CA7BA0"/>
    <w:rsid w:val="00CA7BBA"/>
    <w:rsid w:val="00CA7EB3"/>
    <w:rsid w:val="00CA7FB2"/>
    <w:rsid w:val="00CA7FB7"/>
    <w:rsid w:val="00CB0004"/>
    <w:rsid w:val="00CB005F"/>
    <w:rsid w:val="00CB03C0"/>
    <w:rsid w:val="00CB0627"/>
    <w:rsid w:val="00CB091D"/>
    <w:rsid w:val="00CB095C"/>
    <w:rsid w:val="00CB0A1A"/>
    <w:rsid w:val="00CB0D48"/>
    <w:rsid w:val="00CB0D6F"/>
    <w:rsid w:val="00CB0EF6"/>
    <w:rsid w:val="00CB0FC1"/>
    <w:rsid w:val="00CB0FC3"/>
    <w:rsid w:val="00CB10F8"/>
    <w:rsid w:val="00CB114E"/>
    <w:rsid w:val="00CB1175"/>
    <w:rsid w:val="00CB13B1"/>
    <w:rsid w:val="00CB146E"/>
    <w:rsid w:val="00CB15CA"/>
    <w:rsid w:val="00CB16BB"/>
    <w:rsid w:val="00CB1C21"/>
    <w:rsid w:val="00CB1C61"/>
    <w:rsid w:val="00CB1CB0"/>
    <w:rsid w:val="00CB1DF8"/>
    <w:rsid w:val="00CB1F1C"/>
    <w:rsid w:val="00CB1F7C"/>
    <w:rsid w:val="00CB1F82"/>
    <w:rsid w:val="00CB20AF"/>
    <w:rsid w:val="00CB20B8"/>
    <w:rsid w:val="00CB212F"/>
    <w:rsid w:val="00CB21A1"/>
    <w:rsid w:val="00CB2216"/>
    <w:rsid w:val="00CB22C1"/>
    <w:rsid w:val="00CB22E3"/>
    <w:rsid w:val="00CB236B"/>
    <w:rsid w:val="00CB23C1"/>
    <w:rsid w:val="00CB2709"/>
    <w:rsid w:val="00CB27DE"/>
    <w:rsid w:val="00CB2957"/>
    <w:rsid w:val="00CB29DE"/>
    <w:rsid w:val="00CB2A09"/>
    <w:rsid w:val="00CB2AA4"/>
    <w:rsid w:val="00CB2AB8"/>
    <w:rsid w:val="00CB2AC3"/>
    <w:rsid w:val="00CB2C37"/>
    <w:rsid w:val="00CB2CE0"/>
    <w:rsid w:val="00CB2D0A"/>
    <w:rsid w:val="00CB2D85"/>
    <w:rsid w:val="00CB2F30"/>
    <w:rsid w:val="00CB2F9B"/>
    <w:rsid w:val="00CB2FC9"/>
    <w:rsid w:val="00CB30B3"/>
    <w:rsid w:val="00CB3181"/>
    <w:rsid w:val="00CB3441"/>
    <w:rsid w:val="00CB3619"/>
    <w:rsid w:val="00CB3715"/>
    <w:rsid w:val="00CB3984"/>
    <w:rsid w:val="00CB3B79"/>
    <w:rsid w:val="00CB3B88"/>
    <w:rsid w:val="00CB3BAC"/>
    <w:rsid w:val="00CB3C75"/>
    <w:rsid w:val="00CB3CDE"/>
    <w:rsid w:val="00CB3D23"/>
    <w:rsid w:val="00CB3E54"/>
    <w:rsid w:val="00CB3EAF"/>
    <w:rsid w:val="00CB3F92"/>
    <w:rsid w:val="00CB3FD3"/>
    <w:rsid w:val="00CB4051"/>
    <w:rsid w:val="00CB40E5"/>
    <w:rsid w:val="00CB4153"/>
    <w:rsid w:val="00CB4274"/>
    <w:rsid w:val="00CB427D"/>
    <w:rsid w:val="00CB4291"/>
    <w:rsid w:val="00CB42EB"/>
    <w:rsid w:val="00CB4365"/>
    <w:rsid w:val="00CB4787"/>
    <w:rsid w:val="00CB47ED"/>
    <w:rsid w:val="00CB4804"/>
    <w:rsid w:val="00CB4824"/>
    <w:rsid w:val="00CB4A17"/>
    <w:rsid w:val="00CB4EBC"/>
    <w:rsid w:val="00CB511E"/>
    <w:rsid w:val="00CB5168"/>
    <w:rsid w:val="00CB5280"/>
    <w:rsid w:val="00CB55A2"/>
    <w:rsid w:val="00CB5734"/>
    <w:rsid w:val="00CB57F7"/>
    <w:rsid w:val="00CB5977"/>
    <w:rsid w:val="00CB5995"/>
    <w:rsid w:val="00CB599D"/>
    <w:rsid w:val="00CB5A62"/>
    <w:rsid w:val="00CB5B0E"/>
    <w:rsid w:val="00CB5B15"/>
    <w:rsid w:val="00CB5B71"/>
    <w:rsid w:val="00CB5D4E"/>
    <w:rsid w:val="00CB5D6C"/>
    <w:rsid w:val="00CB5DE8"/>
    <w:rsid w:val="00CB5E51"/>
    <w:rsid w:val="00CB5E5A"/>
    <w:rsid w:val="00CB5F8A"/>
    <w:rsid w:val="00CB5FE3"/>
    <w:rsid w:val="00CB60D8"/>
    <w:rsid w:val="00CB614B"/>
    <w:rsid w:val="00CB619D"/>
    <w:rsid w:val="00CB61ED"/>
    <w:rsid w:val="00CB62BB"/>
    <w:rsid w:val="00CB6455"/>
    <w:rsid w:val="00CB6565"/>
    <w:rsid w:val="00CB6727"/>
    <w:rsid w:val="00CB6A2B"/>
    <w:rsid w:val="00CB6A69"/>
    <w:rsid w:val="00CB6AFF"/>
    <w:rsid w:val="00CB6B31"/>
    <w:rsid w:val="00CB6C3E"/>
    <w:rsid w:val="00CB6D9E"/>
    <w:rsid w:val="00CB6E55"/>
    <w:rsid w:val="00CB6F65"/>
    <w:rsid w:val="00CB708B"/>
    <w:rsid w:val="00CB708D"/>
    <w:rsid w:val="00CB709A"/>
    <w:rsid w:val="00CB7182"/>
    <w:rsid w:val="00CB7458"/>
    <w:rsid w:val="00CB74FD"/>
    <w:rsid w:val="00CB7507"/>
    <w:rsid w:val="00CB757E"/>
    <w:rsid w:val="00CB759C"/>
    <w:rsid w:val="00CB768E"/>
    <w:rsid w:val="00CB7759"/>
    <w:rsid w:val="00CB7775"/>
    <w:rsid w:val="00CB78BF"/>
    <w:rsid w:val="00CB7A04"/>
    <w:rsid w:val="00CB7A89"/>
    <w:rsid w:val="00CB7B6C"/>
    <w:rsid w:val="00CB7BEB"/>
    <w:rsid w:val="00CB7C4F"/>
    <w:rsid w:val="00CB7CE1"/>
    <w:rsid w:val="00CB7DE8"/>
    <w:rsid w:val="00CC0032"/>
    <w:rsid w:val="00CC02FD"/>
    <w:rsid w:val="00CC050F"/>
    <w:rsid w:val="00CC07BC"/>
    <w:rsid w:val="00CC0996"/>
    <w:rsid w:val="00CC09F2"/>
    <w:rsid w:val="00CC0A2B"/>
    <w:rsid w:val="00CC0A7B"/>
    <w:rsid w:val="00CC0A86"/>
    <w:rsid w:val="00CC0B3A"/>
    <w:rsid w:val="00CC0B3C"/>
    <w:rsid w:val="00CC0B89"/>
    <w:rsid w:val="00CC0C9E"/>
    <w:rsid w:val="00CC0CE8"/>
    <w:rsid w:val="00CC0EEF"/>
    <w:rsid w:val="00CC0F69"/>
    <w:rsid w:val="00CC102D"/>
    <w:rsid w:val="00CC10C2"/>
    <w:rsid w:val="00CC118A"/>
    <w:rsid w:val="00CC11A3"/>
    <w:rsid w:val="00CC12D3"/>
    <w:rsid w:val="00CC1315"/>
    <w:rsid w:val="00CC13F2"/>
    <w:rsid w:val="00CC1488"/>
    <w:rsid w:val="00CC15CA"/>
    <w:rsid w:val="00CC1623"/>
    <w:rsid w:val="00CC17D9"/>
    <w:rsid w:val="00CC17F2"/>
    <w:rsid w:val="00CC18CE"/>
    <w:rsid w:val="00CC195E"/>
    <w:rsid w:val="00CC1A44"/>
    <w:rsid w:val="00CC1B4B"/>
    <w:rsid w:val="00CC1B64"/>
    <w:rsid w:val="00CC1CFE"/>
    <w:rsid w:val="00CC1D93"/>
    <w:rsid w:val="00CC1FE6"/>
    <w:rsid w:val="00CC2058"/>
    <w:rsid w:val="00CC2095"/>
    <w:rsid w:val="00CC2180"/>
    <w:rsid w:val="00CC224D"/>
    <w:rsid w:val="00CC23DF"/>
    <w:rsid w:val="00CC2426"/>
    <w:rsid w:val="00CC24BE"/>
    <w:rsid w:val="00CC24C7"/>
    <w:rsid w:val="00CC24FF"/>
    <w:rsid w:val="00CC25FF"/>
    <w:rsid w:val="00CC26F5"/>
    <w:rsid w:val="00CC2769"/>
    <w:rsid w:val="00CC27BD"/>
    <w:rsid w:val="00CC2943"/>
    <w:rsid w:val="00CC298A"/>
    <w:rsid w:val="00CC2992"/>
    <w:rsid w:val="00CC29C7"/>
    <w:rsid w:val="00CC2C1F"/>
    <w:rsid w:val="00CC2C2C"/>
    <w:rsid w:val="00CC2D04"/>
    <w:rsid w:val="00CC2ED8"/>
    <w:rsid w:val="00CC2F63"/>
    <w:rsid w:val="00CC30C6"/>
    <w:rsid w:val="00CC30DD"/>
    <w:rsid w:val="00CC31BA"/>
    <w:rsid w:val="00CC339C"/>
    <w:rsid w:val="00CC347A"/>
    <w:rsid w:val="00CC3488"/>
    <w:rsid w:val="00CC349F"/>
    <w:rsid w:val="00CC35EA"/>
    <w:rsid w:val="00CC3934"/>
    <w:rsid w:val="00CC3A21"/>
    <w:rsid w:val="00CC4102"/>
    <w:rsid w:val="00CC417D"/>
    <w:rsid w:val="00CC42BA"/>
    <w:rsid w:val="00CC458D"/>
    <w:rsid w:val="00CC460E"/>
    <w:rsid w:val="00CC462C"/>
    <w:rsid w:val="00CC463E"/>
    <w:rsid w:val="00CC47A5"/>
    <w:rsid w:val="00CC4808"/>
    <w:rsid w:val="00CC48A5"/>
    <w:rsid w:val="00CC48AF"/>
    <w:rsid w:val="00CC492C"/>
    <w:rsid w:val="00CC4930"/>
    <w:rsid w:val="00CC49B8"/>
    <w:rsid w:val="00CC49BC"/>
    <w:rsid w:val="00CC49EA"/>
    <w:rsid w:val="00CC4B5C"/>
    <w:rsid w:val="00CC4BD2"/>
    <w:rsid w:val="00CC4C49"/>
    <w:rsid w:val="00CC4DBB"/>
    <w:rsid w:val="00CC4E39"/>
    <w:rsid w:val="00CC4FD3"/>
    <w:rsid w:val="00CC5104"/>
    <w:rsid w:val="00CC5133"/>
    <w:rsid w:val="00CC517E"/>
    <w:rsid w:val="00CC5260"/>
    <w:rsid w:val="00CC5425"/>
    <w:rsid w:val="00CC55BD"/>
    <w:rsid w:val="00CC5755"/>
    <w:rsid w:val="00CC57CC"/>
    <w:rsid w:val="00CC5863"/>
    <w:rsid w:val="00CC58E5"/>
    <w:rsid w:val="00CC59C9"/>
    <w:rsid w:val="00CC5C69"/>
    <w:rsid w:val="00CC5DB9"/>
    <w:rsid w:val="00CC5DC2"/>
    <w:rsid w:val="00CC5E53"/>
    <w:rsid w:val="00CC5E9B"/>
    <w:rsid w:val="00CC5EF5"/>
    <w:rsid w:val="00CC626F"/>
    <w:rsid w:val="00CC62D1"/>
    <w:rsid w:val="00CC6643"/>
    <w:rsid w:val="00CC66A8"/>
    <w:rsid w:val="00CC6712"/>
    <w:rsid w:val="00CC6728"/>
    <w:rsid w:val="00CC67BD"/>
    <w:rsid w:val="00CC69FB"/>
    <w:rsid w:val="00CC6A36"/>
    <w:rsid w:val="00CC6A44"/>
    <w:rsid w:val="00CC6AD7"/>
    <w:rsid w:val="00CC6BC8"/>
    <w:rsid w:val="00CC6E2A"/>
    <w:rsid w:val="00CC6E71"/>
    <w:rsid w:val="00CC7146"/>
    <w:rsid w:val="00CC71EC"/>
    <w:rsid w:val="00CC7408"/>
    <w:rsid w:val="00CC75A3"/>
    <w:rsid w:val="00CC75F7"/>
    <w:rsid w:val="00CC76E5"/>
    <w:rsid w:val="00CC7713"/>
    <w:rsid w:val="00CC7830"/>
    <w:rsid w:val="00CC7904"/>
    <w:rsid w:val="00CC7AEE"/>
    <w:rsid w:val="00CC7B63"/>
    <w:rsid w:val="00CC7C3B"/>
    <w:rsid w:val="00CC7E20"/>
    <w:rsid w:val="00CC7EA3"/>
    <w:rsid w:val="00CC7FB0"/>
    <w:rsid w:val="00CD00F5"/>
    <w:rsid w:val="00CD0170"/>
    <w:rsid w:val="00CD0299"/>
    <w:rsid w:val="00CD0521"/>
    <w:rsid w:val="00CD055F"/>
    <w:rsid w:val="00CD05A7"/>
    <w:rsid w:val="00CD0615"/>
    <w:rsid w:val="00CD0949"/>
    <w:rsid w:val="00CD09BE"/>
    <w:rsid w:val="00CD09D1"/>
    <w:rsid w:val="00CD09D9"/>
    <w:rsid w:val="00CD0ACD"/>
    <w:rsid w:val="00CD0C20"/>
    <w:rsid w:val="00CD0D2D"/>
    <w:rsid w:val="00CD0D90"/>
    <w:rsid w:val="00CD0EB8"/>
    <w:rsid w:val="00CD0FBC"/>
    <w:rsid w:val="00CD100D"/>
    <w:rsid w:val="00CD10E8"/>
    <w:rsid w:val="00CD12AA"/>
    <w:rsid w:val="00CD1346"/>
    <w:rsid w:val="00CD1418"/>
    <w:rsid w:val="00CD163D"/>
    <w:rsid w:val="00CD1739"/>
    <w:rsid w:val="00CD175A"/>
    <w:rsid w:val="00CD1780"/>
    <w:rsid w:val="00CD182E"/>
    <w:rsid w:val="00CD190B"/>
    <w:rsid w:val="00CD1B39"/>
    <w:rsid w:val="00CD1BFD"/>
    <w:rsid w:val="00CD1C7A"/>
    <w:rsid w:val="00CD1CAC"/>
    <w:rsid w:val="00CD1D4B"/>
    <w:rsid w:val="00CD1EFA"/>
    <w:rsid w:val="00CD1F18"/>
    <w:rsid w:val="00CD1F6A"/>
    <w:rsid w:val="00CD231A"/>
    <w:rsid w:val="00CD232B"/>
    <w:rsid w:val="00CD237B"/>
    <w:rsid w:val="00CD23DC"/>
    <w:rsid w:val="00CD246D"/>
    <w:rsid w:val="00CD2551"/>
    <w:rsid w:val="00CD25AA"/>
    <w:rsid w:val="00CD2677"/>
    <w:rsid w:val="00CD288E"/>
    <w:rsid w:val="00CD2899"/>
    <w:rsid w:val="00CD2947"/>
    <w:rsid w:val="00CD2A33"/>
    <w:rsid w:val="00CD2AA9"/>
    <w:rsid w:val="00CD2AE8"/>
    <w:rsid w:val="00CD2CB6"/>
    <w:rsid w:val="00CD2D4E"/>
    <w:rsid w:val="00CD2D5D"/>
    <w:rsid w:val="00CD2E28"/>
    <w:rsid w:val="00CD2F02"/>
    <w:rsid w:val="00CD2F60"/>
    <w:rsid w:val="00CD2FB1"/>
    <w:rsid w:val="00CD320B"/>
    <w:rsid w:val="00CD3703"/>
    <w:rsid w:val="00CD3806"/>
    <w:rsid w:val="00CD3872"/>
    <w:rsid w:val="00CD38CB"/>
    <w:rsid w:val="00CD3905"/>
    <w:rsid w:val="00CD3959"/>
    <w:rsid w:val="00CD398F"/>
    <w:rsid w:val="00CD3A5B"/>
    <w:rsid w:val="00CD3B61"/>
    <w:rsid w:val="00CD3B76"/>
    <w:rsid w:val="00CD3BF1"/>
    <w:rsid w:val="00CD3E62"/>
    <w:rsid w:val="00CD3F26"/>
    <w:rsid w:val="00CD3F61"/>
    <w:rsid w:val="00CD3FC7"/>
    <w:rsid w:val="00CD40F0"/>
    <w:rsid w:val="00CD4373"/>
    <w:rsid w:val="00CD4518"/>
    <w:rsid w:val="00CD46C1"/>
    <w:rsid w:val="00CD4742"/>
    <w:rsid w:val="00CD47E9"/>
    <w:rsid w:val="00CD4943"/>
    <w:rsid w:val="00CD49D5"/>
    <w:rsid w:val="00CD4B25"/>
    <w:rsid w:val="00CD4C10"/>
    <w:rsid w:val="00CD4D03"/>
    <w:rsid w:val="00CD4E0B"/>
    <w:rsid w:val="00CD4F77"/>
    <w:rsid w:val="00CD4F90"/>
    <w:rsid w:val="00CD4FBF"/>
    <w:rsid w:val="00CD50FC"/>
    <w:rsid w:val="00CD51D4"/>
    <w:rsid w:val="00CD52E6"/>
    <w:rsid w:val="00CD52ED"/>
    <w:rsid w:val="00CD530D"/>
    <w:rsid w:val="00CD54AE"/>
    <w:rsid w:val="00CD54DB"/>
    <w:rsid w:val="00CD560F"/>
    <w:rsid w:val="00CD56BB"/>
    <w:rsid w:val="00CD574B"/>
    <w:rsid w:val="00CD5A17"/>
    <w:rsid w:val="00CD5A60"/>
    <w:rsid w:val="00CD5A7C"/>
    <w:rsid w:val="00CD5C18"/>
    <w:rsid w:val="00CD5E5C"/>
    <w:rsid w:val="00CD5E78"/>
    <w:rsid w:val="00CD5F7F"/>
    <w:rsid w:val="00CD5FA3"/>
    <w:rsid w:val="00CD6034"/>
    <w:rsid w:val="00CD6044"/>
    <w:rsid w:val="00CD60B8"/>
    <w:rsid w:val="00CD60F4"/>
    <w:rsid w:val="00CD6281"/>
    <w:rsid w:val="00CD62B9"/>
    <w:rsid w:val="00CD6318"/>
    <w:rsid w:val="00CD6356"/>
    <w:rsid w:val="00CD64FA"/>
    <w:rsid w:val="00CD6598"/>
    <w:rsid w:val="00CD6760"/>
    <w:rsid w:val="00CD67A4"/>
    <w:rsid w:val="00CD67B9"/>
    <w:rsid w:val="00CD67C5"/>
    <w:rsid w:val="00CD68D4"/>
    <w:rsid w:val="00CD68F4"/>
    <w:rsid w:val="00CD6936"/>
    <w:rsid w:val="00CD69E6"/>
    <w:rsid w:val="00CD6F96"/>
    <w:rsid w:val="00CD6FE2"/>
    <w:rsid w:val="00CD705E"/>
    <w:rsid w:val="00CD706C"/>
    <w:rsid w:val="00CD70F1"/>
    <w:rsid w:val="00CD7123"/>
    <w:rsid w:val="00CD71C7"/>
    <w:rsid w:val="00CD73FA"/>
    <w:rsid w:val="00CD7470"/>
    <w:rsid w:val="00CD7514"/>
    <w:rsid w:val="00CD7772"/>
    <w:rsid w:val="00CD7842"/>
    <w:rsid w:val="00CD7896"/>
    <w:rsid w:val="00CD78E0"/>
    <w:rsid w:val="00CD7956"/>
    <w:rsid w:val="00CD796F"/>
    <w:rsid w:val="00CD7B04"/>
    <w:rsid w:val="00CD7B3F"/>
    <w:rsid w:val="00CD7C78"/>
    <w:rsid w:val="00CD7DA7"/>
    <w:rsid w:val="00CE0067"/>
    <w:rsid w:val="00CE0129"/>
    <w:rsid w:val="00CE0178"/>
    <w:rsid w:val="00CE0364"/>
    <w:rsid w:val="00CE04FB"/>
    <w:rsid w:val="00CE054B"/>
    <w:rsid w:val="00CE056F"/>
    <w:rsid w:val="00CE05BB"/>
    <w:rsid w:val="00CE06D6"/>
    <w:rsid w:val="00CE06F5"/>
    <w:rsid w:val="00CE0732"/>
    <w:rsid w:val="00CE0771"/>
    <w:rsid w:val="00CE07DC"/>
    <w:rsid w:val="00CE0AA3"/>
    <w:rsid w:val="00CE0BA2"/>
    <w:rsid w:val="00CE0D0C"/>
    <w:rsid w:val="00CE0D40"/>
    <w:rsid w:val="00CE0E5E"/>
    <w:rsid w:val="00CE0EEE"/>
    <w:rsid w:val="00CE0F96"/>
    <w:rsid w:val="00CE109F"/>
    <w:rsid w:val="00CE10B7"/>
    <w:rsid w:val="00CE114B"/>
    <w:rsid w:val="00CE11D0"/>
    <w:rsid w:val="00CE1298"/>
    <w:rsid w:val="00CE13E1"/>
    <w:rsid w:val="00CE1413"/>
    <w:rsid w:val="00CE14F6"/>
    <w:rsid w:val="00CE15B3"/>
    <w:rsid w:val="00CE1657"/>
    <w:rsid w:val="00CE17D3"/>
    <w:rsid w:val="00CE182E"/>
    <w:rsid w:val="00CE1851"/>
    <w:rsid w:val="00CE187F"/>
    <w:rsid w:val="00CE195A"/>
    <w:rsid w:val="00CE1974"/>
    <w:rsid w:val="00CE1A2E"/>
    <w:rsid w:val="00CE1B2D"/>
    <w:rsid w:val="00CE1BDE"/>
    <w:rsid w:val="00CE1BE9"/>
    <w:rsid w:val="00CE1C2E"/>
    <w:rsid w:val="00CE1CB2"/>
    <w:rsid w:val="00CE1D05"/>
    <w:rsid w:val="00CE1D51"/>
    <w:rsid w:val="00CE1D54"/>
    <w:rsid w:val="00CE1DFF"/>
    <w:rsid w:val="00CE1E55"/>
    <w:rsid w:val="00CE1F43"/>
    <w:rsid w:val="00CE1FE1"/>
    <w:rsid w:val="00CE2025"/>
    <w:rsid w:val="00CE20D0"/>
    <w:rsid w:val="00CE21FC"/>
    <w:rsid w:val="00CE22A1"/>
    <w:rsid w:val="00CE232C"/>
    <w:rsid w:val="00CE2426"/>
    <w:rsid w:val="00CE2434"/>
    <w:rsid w:val="00CE250B"/>
    <w:rsid w:val="00CE256F"/>
    <w:rsid w:val="00CE26D8"/>
    <w:rsid w:val="00CE2719"/>
    <w:rsid w:val="00CE28A6"/>
    <w:rsid w:val="00CE2921"/>
    <w:rsid w:val="00CE295F"/>
    <w:rsid w:val="00CE296E"/>
    <w:rsid w:val="00CE2B5A"/>
    <w:rsid w:val="00CE2B6C"/>
    <w:rsid w:val="00CE2CAE"/>
    <w:rsid w:val="00CE2CF5"/>
    <w:rsid w:val="00CE2E18"/>
    <w:rsid w:val="00CE2F8E"/>
    <w:rsid w:val="00CE305D"/>
    <w:rsid w:val="00CE3081"/>
    <w:rsid w:val="00CE31AF"/>
    <w:rsid w:val="00CE33B5"/>
    <w:rsid w:val="00CE3645"/>
    <w:rsid w:val="00CE36C6"/>
    <w:rsid w:val="00CE374E"/>
    <w:rsid w:val="00CE376B"/>
    <w:rsid w:val="00CE3917"/>
    <w:rsid w:val="00CE3963"/>
    <w:rsid w:val="00CE3B24"/>
    <w:rsid w:val="00CE3B47"/>
    <w:rsid w:val="00CE3B99"/>
    <w:rsid w:val="00CE3C89"/>
    <w:rsid w:val="00CE3D8A"/>
    <w:rsid w:val="00CE3D9E"/>
    <w:rsid w:val="00CE3E4A"/>
    <w:rsid w:val="00CE3E61"/>
    <w:rsid w:val="00CE3F4E"/>
    <w:rsid w:val="00CE418F"/>
    <w:rsid w:val="00CE41CD"/>
    <w:rsid w:val="00CE43EF"/>
    <w:rsid w:val="00CE452F"/>
    <w:rsid w:val="00CE4655"/>
    <w:rsid w:val="00CE46D0"/>
    <w:rsid w:val="00CE46D8"/>
    <w:rsid w:val="00CE47B7"/>
    <w:rsid w:val="00CE47EC"/>
    <w:rsid w:val="00CE4A56"/>
    <w:rsid w:val="00CE4BCD"/>
    <w:rsid w:val="00CE4CBD"/>
    <w:rsid w:val="00CE4D6F"/>
    <w:rsid w:val="00CE503A"/>
    <w:rsid w:val="00CE5172"/>
    <w:rsid w:val="00CE534C"/>
    <w:rsid w:val="00CE536D"/>
    <w:rsid w:val="00CE550A"/>
    <w:rsid w:val="00CE55BA"/>
    <w:rsid w:val="00CE56BF"/>
    <w:rsid w:val="00CE56F1"/>
    <w:rsid w:val="00CE56F9"/>
    <w:rsid w:val="00CE579B"/>
    <w:rsid w:val="00CE57B4"/>
    <w:rsid w:val="00CE57F9"/>
    <w:rsid w:val="00CE591F"/>
    <w:rsid w:val="00CE59C0"/>
    <w:rsid w:val="00CE5B24"/>
    <w:rsid w:val="00CE5B6E"/>
    <w:rsid w:val="00CE5C11"/>
    <w:rsid w:val="00CE5E2F"/>
    <w:rsid w:val="00CE5FB0"/>
    <w:rsid w:val="00CE6011"/>
    <w:rsid w:val="00CE6012"/>
    <w:rsid w:val="00CE602D"/>
    <w:rsid w:val="00CE6116"/>
    <w:rsid w:val="00CE61CC"/>
    <w:rsid w:val="00CE62D2"/>
    <w:rsid w:val="00CE6514"/>
    <w:rsid w:val="00CE6742"/>
    <w:rsid w:val="00CE6957"/>
    <w:rsid w:val="00CE69A7"/>
    <w:rsid w:val="00CE6AE3"/>
    <w:rsid w:val="00CE6BE2"/>
    <w:rsid w:val="00CE6BF8"/>
    <w:rsid w:val="00CE6C2B"/>
    <w:rsid w:val="00CE6D1B"/>
    <w:rsid w:val="00CE6D37"/>
    <w:rsid w:val="00CE6E1A"/>
    <w:rsid w:val="00CE6ED4"/>
    <w:rsid w:val="00CE6EF6"/>
    <w:rsid w:val="00CE7132"/>
    <w:rsid w:val="00CE71AA"/>
    <w:rsid w:val="00CE71C4"/>
    <w:rsid w:val="00CE7353"/>
    <w:rsid w:val="00CE7445"/>
    <w:rsid w:val="00CE745E"/>
    <w:rsid w:val="00CE7486"/>
    <w:rsid w:val="00CE7488"/>
    <w:rsid w:val="00CE749A"/>
    <w:rsid w:val="00CE76D0"/>
    <w:rsid w:val="00CE78B6"/>
    <w:rsid w:val="00CE78C2"/>
    <w:rsid w:val="00CE79D2"/>
    <w:rsid w:val="00CE7A3C"/>
    <w:rsid w:val="00CE7AAC"/>
    <w:rsid w:val="00CE7C44"/>
    <w:rsid w:val="00CE7CAB"/>
    <w:rsid w:val="00CE7CC0"/>
    <w:rsid w:val="00CE7CF7"/>
    <w:rsid w:val="00CE7D59"/>
    <w:rsid w:val="00CF001A"/>
    <w:rsid w:val="00CF0119"/>
    <w:rsid w:val="00CF01E7"/>
    <w:rsid w:val="00CF0276"/>
    <w:rsid w:val="00CF036B"/>
    <w:rsid w:val="00CF04D5"/>
    <w:rsid w:val="00CF0503"/>
    <w:rsid w:val="00CF0835"/>
    <w:rsid w:val="00CF0854"/>
    <w:rsid w:val="00CF08E2"/>
    <w:rsid w:val="00CF08F0"/>
    <w:rsid w:val="00CF09F3"/>
    <w:rsid w:val="00CF0A31"/>
    <w:rsid w:val="00CF0AF3"/>
    <w:rsid w:val="00CF0B29"/>
    <w:rsid w:val="00CF0B7F"/>
    <w:rsid w:val="00CF0BBE"/>
    <w:rsid w:val="00CF0BE0"/>
    <w:rsid w:val="00CF0BEC"/>
    <w:rsid w:val="00CF0D43"/>
    <w:rsid w:val="00CF0E21"/>
    <w:rsid w:val="00CF0E38"/>
    <w:rsid w:val="00CF0F0D"/>
    <w:rsid w:val="00CF1005"/>
    <w:rsid w:val="00CF123C"/>
    <w:rsid w:val="00CF1461"/>
    <w:rsid w:val="00CF14A6"/>
    <w:rsid w:val="00CF15D4"/>
    <w:rsid w:val="00CF16CE"/>
    <w:rsid w:val="00CF16F2"/>
    <w:rsid w:val="00CF1744"/>
    <w:rsid w:val="00CF1788"/>
    <w:rsid w:val="00CF17F5"/>
    <w:rsid w:val="00CF17FD"/>
    <w:rsid w:val="00CF1881"/>
    <w:rsid w:val="00CF18C7"/>
    <w:rsid w:val="00CF18F3"/>
    <w:rsid w:val="00CF1ADC"/>
    <w:rsid w:val="00CF1CFA"/>
    <w:rsid w:val="00CF1D5F"/>
    <w:rsid w:val="00CF2075"/>
    <w:rsid w:val="00CF20D5"/>
    <w:rsid w:val="00CF21BA"/>
    <w:rsid w:val="00CF22FB"/>
    <w:rsid w:val="00CF2358"/>
    <w:rsid w:val="00CF2427"/>
    <w:rsid w:val="00CF250D"/>
    <w:rsid w:val="00CF2607"/>
    <w:rsid w:val="00CF299F"/>
    <w:rsid w:val="00CF29F6"/>
    <w:rsid w:val="00CF2A3C"/>
    <w:rsid w:val="00CF2AA8"/>
    <w:rsid w:val="00CF2B16"/>
    <w:rsid w:val="00CF2CF0"/>
    <w:rsid w:val="00CF2D26"/>
    <w:rsid w:val="00CF2E26"/>
    <w:rsid w:val="00CF2FE7"/>
    <w:rsid w:val="00CF30AE"/>
    <w:rsid w:val="00CF3172"/>
    <w:rsid w:val="00CF318B"/>
    <w:rsid w:val="00CF3263"/>
    <w:rsid w:val="00CF3268"/>
    <w:rsid w:val="00CF3486"/>
    <w:rsid w:val="00CF3499"/>
    <w:rsid w:val="00CF35B5"/>
    <w:rsid w:val="00CF36C1"/>
    <w:rsid w:val="00CF3855"/>
    <w:rsid w:val="00CF3935"/>
    <w:rsid w:val="00CF399F"/>
    <w:rsid w:val="00CF3B5C"/>
    <w:rsid w:val="00CF3CCF"/>
    <w:rsid w:val="00CF3D2D"/>
    <w:rsid w:val="00CF3F59"/>
    <w:rsid w:val="00CF4189"/>
    <w:rsid w:val="00CF4192"/>
    <w:rsid w:val="00CF43E1"/>
    <w:rsid w:val="00CF43FF"/>
    <w:rsid w:val="00CF4516"/>
    <w:rsid w:val="00CF4688"/>
    <w:rsid w:val="00CF4730"/>
    <w:rsid w:val="00CF4748"/>
    <w:rsid w:val="00CF477E"/>
    <w:rsid w:val="00CF4793"/>
    <w:rsid w:val="00CF4822"/>
    <w:rsid w:val="00CF482A"/>
    <w:rsid w:val="00CF491C"/>
    <w:rsid w:val="00CF49FF"/>
    <w:rsid w:val="00CF4AF7"/>
    <w:rsid w:val="00CF4B6C"/>
    <w:rsid w:val="00CF4BA7"/>
    <w:rsid w:val="00CF4C75"/>
    <w:rsid w:val="00CF4EC7"/>
    <w:rsid w:val="00CF5024"/>
    <w:rsid w:val="00CF5103"/>
    <w:rsid w:val="00CF51B4"/>
    <w:rsid w:val="00CF523C"/>
    <w:rsid w:val="00CF5255"/>
    <w:rsid w:val="00CF52D3"/>
    <w:rsid w:val="00CF5320"/>
    <w:rsid w:val="00CF5453"/>
    <w:rsid w:val="00CF554D"/>
    <w:rsid w:val="00CF5560"/>
    <w:rsid w:val="00CF55CB"/>
    <w:rsid w:val="00CF5A93"/>
    <w:rsid w:val="00CF5CAE"/>
    <w:rsid w:val="00CF5D82"/>
    <w:rsid w:val="00CF5E40"/>
    <w:rsid w:val="00CF5E41"/>
    <w:rsid w:val="00CF5ED7"/>
    <w:rsid w:val="00CF6011"/>
    <w:rsid w:val="00CF61AB"/>
    <w:rsid w:val="00CF64EF"/>
    <w:rsid w:val="00CF663C"/>
    <w:rsid w:val="00CF6785"/>
    <w:rsid w:val="00CF67DB"/>
    <w:rsid w:val="00CF68D1"/>
    <w:rsid w:val="00CF6972"/>
    <w:rsid w:val="00CF6976"/>
    <w:rsid w:val="00CF6982"/>
    <w:rsid w:val="00CF6A09"/>
    <w:rsid w:val="00CF6A4C"/>
    <w:rsid w:val="00CF6BD9"/>
    <w:rsid w:val="00CF6CE3"/>
    <w:rsid w:val="00CF6E16"/>
    <w:rsid w:val="00CF6E34"/>
    <w:rsid w:val="00CF6E6D"/>
    <w:rsid w:val="00CF6F6E"/>
    <w:rsid w:val="00CF6FFA"/>
    <w:rsid w:val="00CF7280"/>
    <w:rsid w:val="00CF7340"/>
    <w:rsid w:val="00CF7399"/>
    <w:rsid w:val="00CF7427"/>
    <w:rsid w:val="00CF7528"/>
    <w:rsid w:val="00CF7540"/>
    <w:rsid w:val="00CF77A9"/>
    <w:rsid w:val="00CF77DC"/>
    <w:rsid w:val="00CF7899"/>
    <w:rsid w:val="00CF79BC"/>
    <w:rsid w:val="00CF7A21"/>
    <w:rsid w:val="00CF7BCD"/>
    <w:rsid w:val="00CF7E4D"/>
    <w:rsid w:val="00CF7F1E"/>
    <w:rsid w:val="00D00054"/>
    <w:rsid w:val="00D00056"/>
    <w:rsid w:val="00D0005F"/>
    <w:rsid w:val="00D000A6"/>
    <w:rsid w:val="00D00181"/>
    <w:rsid w:val="00D0018A"/>
    <w:rsid w:val="00D001EF"/>
    <w:rsid w:val="00D00245"/>
    <w:rsid w:val="00D004C0"/>
    <w:rsid w:val="00D00533"/>
    <w:rsid w:val="00D005D8"/>
    <w:rsid w:val="00D0077C"/>
    <w:rsid w:val="00D008B2"/>
    <w:rsid w:val="00D0091F"/>
    <w:rsid w:val="00D009CA"/>
    <w:rsid w:val="00D00BA6"/>
    <w:rsid w:val="00D00CF3"/>
    <w:rsid w:val="00D00DFD"/>
    <w:rsid w:val="00D00FFC"/>
    <w:rsid w:val="00D0101E"/>
    <w:rsid w:val="00D011DB"/>
    <w:rsid w:val="00D01286"/>
    <w:rsid w:val="00D01303"/>
    <w:rsid w:val="00D013E0"/>
    <w:rsid w:val="00D01401"/>
    <w:rsid w:val="00D0140B"/>
    <w:rsid w:val="00D014AF"/>
    <w:rsid w:val="00D01500"/>
    <w:rsid w:val="00D0151F"/>
    <w:rsid w:val="00D0153F"/>
    <w:rsid w:val="00D01636"/>
    <w:rsid w:val="00D0165B"/>
    <w:rsid w:val="00D01862"/>
    <w:rsid w:val="00D0191F"/>
    <w:rsid w:val="00D019C6"/>
    <w:rsid w:val="00D01A32"/>
    <w:rsid w:val="00D01A71"/>
    <w:rsid w:val="00D01B2A"/>
    <w:rsid w:val="00D01BDB"/>
    <w:rsid w:val="00D01C36"/>
    <w:rsid w:val="00D01C4D"/>
    <w:rsid w:val="00D01CED"/>
    <w:rsid w:val="00D01D45"/>
    <w:rsid w:val="00D01E3E"/>
    <w:rsid w:val="00D01E65"/>
    <w:rsid w:val="00D01F1D"/>
    <w:rsid w:val="00D0200F"/>
    <w:rsid w:val="00D0210F"/>
    <w:rsid w:val="00D0223D"/>
    <w:rsid w:val="00D023D5"/>
    <w:rsid w:val="00D02476"/>
    <w:rsid w:val="00D02566"/>
    <w:rsid w:val="00D02650"/>
    <w:rsid w:val="00D02717"/>
    <w:rsid w:val="00D0271E"/>
    <w:rsid w:val="00D027A1"/>
    <w:rsid w:val="00D027AF"/>
    <w:rsid w:val="00D0281F"/>
    <w:rsid w:val="00D02861"/>
    <w:rsid w:val="00D0289F"/>
    <w:rsid w:val="00D02A26"/>
    <w:rsid w:val="00D02C0B"/>
    <w:rsid w:val="00D02C13"/>
    <w:rsid w:val="00D02CB4"/>
    <w:rsid w:val="00D02EFC"/>
    <w:rsid w:val="00D02F7A"/>
    <w:rsid w:val="00D03090"/>
    <w:rsid w:val="00D0309F"/>
    <w:rsid w:val="00D03174"/>
    <w:rsid w:val="00D0327B"/>
    <w:rsid w:val="00D033CF"/>
    <w:rsid w:val="00D0350E"/>
    <w:rsid w:val="00D036A5"/>
    <w:rsid w:val="00D03704"/>
    <w:rsid w:val="00D0379A"/>
    <w:rsid w:val="00D03894"/>
    <w:rsid w:val="00D039DB"/>
    <w:rsid w:val="00D03B70"/>
    <w:rsid w:val="00D03C2C"/>
    <w:rsid w:val="00D03C7B"/>
    <w:rsid w:val="00D04038"/>
    <w:rsid w:val="00D040E9"/>
    <w:rsid w:val="00D0425C"/>
    <w:rsid w:val="00D04316"/>
    <w:rsid w:val="00D0446F"/>
    <w:rsid w:val="00D045ED"/>
    <w:rsid w:val="00D046FC"/>
    <w:rsid w:val="00D04797"/>
    <w:rsid w:val="00D047AB"/>
    <w:rsid w:val="00D047BD"/>
    <w:rsid w:val="00D048B7"/>
    <w:rsid w:val="00D048E6"/>
    <w:rsid w:val="00D04A02"/>
    <w:rsid w:val="00D04B4B"/>
    <w:rsid w:val="00D04BE6"/>
    <w:rsid w:val="00D04BF0"/>
    <w:rsid w:val="00D04D33"/>
    <w:rsid w:val="00D04D56"/>
    <w:rsid w:val="00D04D75"/>
    <w:rsid w:val="00D04E34"/>
    <w:rsid w:val="00D04FF0"/>
    <w:rsid w:val="00D0519A"/>
    <w:rsid w:val="00D05251"/>
    <w:rsid w:val="00D052A2"/>
    <w:rsid w:val="00D05328"/>
    <w:rsid w:val="00D05341"/>
    <w:rsid w:val="00D05462"/>
    <w:rsid w:val="00D05500"/>
    <w:rsid w:val="00D05532"/>
    <w:rsid w:val="00D0563B"/>
    <w:rsid w:val="00D058EE"/>
    <w:rsid w:val="00D05959"/>
    <w:rsid w:val="00D05BAA"/>
    <w:rsid w:val="00D05C0E"/>
    <w:rsid w:val="00D05DF3"/>
    <w:rsid w:val="00D05F9C"/>
    <w:rsid w:val="00D06124"/>
    <w:rsid w:val="00D0613B"/>
    <w:rsid w:val="00D06182"/>
    <w:rsid w:val="00D0629A"/>
    <w:rsid w:val="00D0642F"/>
    <w:rsid w:val="00D0643C"/>
    <w:rsid w:val="00D0647F"/>
    <w:rsid w:val="00D064B1"/>
    <w:rsid w:val="00D064BF"/>
    <w:rsid w:val="00D06507"/>
    <w:rsid w:val="00D069BF"/>
    <w:rsid w:val="00D069DA"/>
    <w:rsid w:val="00D069DF"/>
    <w:rsid w:val="00D069F0"/>
    <w:rsid w:val="00D06B15"/>
    <w:rsid w:val="00D06B83"/>
    <w:rsid w:val="00D06BFB"/>
    <w:rsid w:val="00D06F0D"/>
    <w:rsid w:val="00D06F10"/>
    <w:rsid w:val="00D0700F"/>
    <w:rsid w:val="00D0709E"/>
    <w:rsid w:val="00D07126"/>
    <w:rsid w:val="00D073D0"/>
    <w:rsid w:val="00D074EE"/>
    <w:rsid w:val="00D075B6"/>
    <w:rsid w:val="00D07728"/>
    <w:rsid w:val="00D0785E"/>
    <w:rsid w:val="00D0789C"/>
    <w:rsid w:val="00D079EC"/>
    <w:rsid w:val="00D07A1F"/>
    <w:rsid w:val="00D07A29"/>
    <w:rsid w:val="00D07A65"/>
    <w:rsid w:val="00D07AB8"/>
    <w:rsid w:val="00D07AF9"/>
    <w:rsid w:val="00D07BA9"/>
    <w:rsid w:val="00D07BE8"/>
    <w:rsid w:val="00D07C45"/>
    <w:rsid w:val="00D07D6E"/>
    <w:rsid w:val="00D07E28"/>
    <w:rsid w:val="00D07FEE"/>
    <w:rsid w:val="00D101EA"/>
    <w:rsid w:val="00D1025C"/>
    <w:rsid w:val="00D104C2"/>
    <w:rsid w:val="00D10546"/>
    <w:rsid w:val="00D10930"/>
    <w:rsid w:val="00D10D64"/>
    <w:rsid w:val="00D10E37"/>
    <w:rsid w:val="00D10ED6"/>
    <w:rsid w:val="00D10EFC"/>
    <w:rsid w:val="00D10F18"/>
    <w:rsid w:val="00D1113B"/>
    <w:rsid w:val="00D1120D"/>
    <w:rsid w:val="00D11244"/>
    <w:rsid w:val="00D112BA"/>
    <w:rsid w:val="00D11506"/>
    <w:rsid w:val="00D11960"/>
    <w:rsid w:val="00D11D29"/>
    <w:rsid w:val="00D11DBB"/>
    <w:rsid w:val="00D11DCE"/>
    <w:rsid w:val="00D11EC2"/>
    <w:rsid w:val="00D11F63"/>
    <w:rsid w:val="00D11FAA"/>
    <w:rsid w:val="00D11FC7"/>
    <w:rsid w:val="00D12086"/>
    <w:rsid w:val="00D12176"/>
    <w:rsid w:val="00D1217E"/>
    <w:rsid w:val="00D12455"/>
    <w:rsid w:val="00D125AF"/>
    <w:rsid w:val="00D125F7"/>
    <w:rsid w:val="00D125FD"/>
    <w:rsid w:val="00D12713"/>
    <w:rsid w:val="00D1283C"/>
    <w:rsid w:val="00D128AF"/>
    <w:rsid w:val="00D129A9"/>
    <w:rsid w:val="00D12B53"/>
    <w:rsid w:val="00D12BDE"/>
    <w:rsid w:val="00D12CF1"/>
    <w:rsid w:val="00D12DB5"/>
    <w:rsid w:val="00D12E98"/>
    <w:rsid w:val="00D12FFA"/>
    <w:rsid w:val="00D13009"/>
    <w:rsid w:val="00D1302B"/>
    <w:rsid w:val="00D1317B"/>
    <w:rsid w:val="00D1323E"/>
    <w:rsid w:val="00D13590"/>
    <w:rsid w:val="00D13608"/>
    <w:rsid w:val="00D136E0"/>
    <w:rsid w:val="00D1370D"/>
    <w:rsid w:val="00D1382F"/>
    <w:rsid w:val="00D1385A"/>
    <w:rsid w:val="00D138E1"/>
    <w:rsid w:val="00D13A97"/>
    <w:rsid w:val="00D13BC1"/>
    <w:rsid w:val="00D13D41"/>
    <w:rsid w:val="00D13DD1"/>
    <w:rsid w:val="00D13E3F"/>
    <w:rsid w:val="00D13E5C"/>
    <w:rsid w:val="00D13F9C"/>
    <w:rsid w:val="00D141B4"/>
    <w:rsid w:val="00D142B6"/>
    <w:rsid w:val="00D1431E"/>
    <w:rsid w:val="00D143F8"/>
    <w:rsid w:val="00D1457D"/>
    <w:rsid w:val="00D145E4"/>
    <w:rsid w:val="00D14679"/>
    <w:rsid w:val="00D147AA"/>
    <w:rsid w:val="00D14857"/>
    <w:rsid w:val="00D14895"/>
    <w:rsid w:val="00D148C4"/>
    <w:rsid w:val="00D148F3"/>
    <w:rsid w:val="00D14AA7"/>
    <w:rsid w:val="00D14B14"/>
    <w:rsid w:val="00D14B66"/>
    <w:rsid w:val="00D14C4F"/>
    <w:rsid w:val="00D14C8C"/>
    <w:rsid w:val="00D14D58"/>
    <w:rsid w:val="00D14DCB"/>
    <w:rsid w:val="00D14DFA"/>
    <w:rsid w:val="00D14E93"/>
    <w:rsid w:val="00D14F35"/>
    <w:rsid w:val="00D14F37"/>
    <w:rsid w:val="00D14F3A"/>
    <w:rsid w:val="00D14FB9"/>
    <w:rsid w:val="00D15039"/>
    <w:rsid w:val="00D15055"/>
    <w:rsid w:val="00D150A3"/>
    <w:rsid w:val="00D150C8"/>
    <w:rsid w:val="00D1513B"/>
    <w:rsid w:val="00D15156"/>
    <w:rsid w:val="00D151A3"/>
    <w:rsid w:val="00D1530F"/>
    <w:rsid w:val="00D1541B"/>
    <w:rsid w:val="00D1542A"/>
    <w:rsid w:val="00D1544C"/>
    <w:rsid w:val="00D15602"/>
    <w:rsid w:val="00D15740"/>
    <w:rsid w:val="00D158C3"/>
    <w:rsid w:val="00D158D4"/>
    <w:rsid w:val="00D15A10"/>
    <w:rsid w:val="00D15B05"/>
    <w:rsid w:val="00D15B47"/>
    <w:rsid w:val="00D15CEC"/>
    <w:rsid w:val="00D15D05"/>
    <w:rsid w:val="00D15EB4"/>
    <w:rsid w:val="00D15EB9"/>
    <w:rsid w:val="00D15F27"/>
    <w:rsid w:val="00D15F40"/>
    <w:rsid w:val="00D15FA9"/>
    <w:rsid w:val="00D161D2"/>
    <w:rsid w:val="00D1626F"/>
    <w:rsid w:val="00D162FC"/>
    <w:rsid w:val="00D163E2"/>
    <w:rsid w:val="00D16470"/>
    <w:rsid w:val="00D16477"/>
    <w:rsid w:val="00D164F4"/>
    <w:rsid w:val="00D165E6"/>
    <w:rsid w:val="00D16668"/>
    <w:rsid w:val="00D1685B"/>
    <w:rsid w:val="00D16902"/>
    <w:rsid w:val="00D16A24"/>
    <w:rsid w:val="00D16A5F"/>
    <w:rsid w:val="00D16AC4"/>
    <w:rsid w:val="00D16B36"/>
    <w:rsid w:val="00D16E5D"/>
    <w:rsid w:val="00D16EB9"/>
    <w:rsid w:val="00D16F54"/>
    <w:rsid w:val="00D16F86"/>
    <w:rsid w:val="00D171E5"/>
    <w:rsid w:val="00D1733C"/>
    <w:rsid w:val="00D17541"/>
    <w:rsid w:val="00D17593"/>
    <w:rsid w:val="00D176B2"/>
    <w:rsid w:val="00D176CC"/>
    <w:rsid w:val="00D177A9"/>
    <w:rsid w:val="00D1784C"/>
    <w:rsid w:val="00D178BA"/>
    <w:rsid w:val="00D178DA"/>
    <w:rsid w:val="00D17AE4"/>
    <w:rsid w:val="00D17B62"/>
    <w:rsid w:val="00D17BAF"/>
    <w:rsid w:val="00D17CFC"/>
    <w:rsid w:val="00D17D53"/>
    <w:rsid w:val="00D17FAD"/>
    <w:rsid w:val="00D17FAE"/>
    <w:rsid w:val="00D17FE2"/>
    <w:rsid w:val="00D201BD"/>
    <w:rsid w:val="00D20264"/>
    <w:rsid w:val="00D202F4"/>
    <w:rsid w:val="00D204CC"/>
    <w:rsid w:val="00D205BB"/>
    <w:rsid w:val="00D20638"/>
    <w:rsid w:val="00D207E0"/>
    <w:rsid w:val="00D20961"/>
    <w:rsid w:val="00D20BE9"/>
    <w:rsid w:val="00D20C92"/>
    <w:rsid w:val="00D20D3C"/>
    <w:rsid w:val="00D20F36"/>
    <w:rsid w:val="00D20F69"/>
    <w:rsid w:val="00D20F77"/>
    <w:rsid w:val="00D2135C"/>
    <w:rsid w:val="00D2150C"/>
    <w:rsid w:val="00D2160C"/>
    <w:rsid w:val="00D2160E"/>
    <w:rsid w:val="00D2171C"/>
    <w:rsid w:val="00D21754"/>
    <w:rsid w:val="00D21C44"/>
    <w:rsid w:val="00D21D05"/>
    <w:rsid w:val="00D21D41"/>
    <w:rsid w:val="00D21DAE"/>
    <w:rsid w:val="00D21DB0"/>
    <w:rsid w:val="00D21DF7"/>
    <w:rsid w:val="00D21E10"/>
    <w:rsid w:val="00D21E92"/>
    <w:rsid w:val="00D21F86"/>
    <w:rsid w:val="00D2227C"/>
    <w:rsid w:val="00D222F1"/>
    <w:rsid w:val="00D223F6"/>
    <w:rsid w:val="00D224A1"/>
    <w:rsid w:val="00D2256D"/>
    <w:rsid w:val="00D2264A"/>
    <w:rsid w:val="00D22842"/>
    <w:rsid w:val="00D22AC9"/>
    <w:rsid w:val="00D22D82"/>
    <w:rsid w:val="00D22D8F"/>
    <w:rsid w:val="00D22FC6"/>
    <w:rsid w:val="00D2322D"/>
    <w:rsid w:val="00D2333C"/>
    <w:rsid w:val="00D23364"/>
    <w:rsid w:val="00D2357D"/>
    <w:rsid w:val="00D23580"/>
    <w:rsid w:val="00D23753"/>
    <w:rsid w:val="00D23820"/>
    <w:rsid w:val="00D23893"/>
    <w:rsid w:val="00D239C9"/>
    <w:rsid w:val="00D23A60"/>
    <w:rsid w:val="00D23D53"/>
    <w:rsid w:val="00D23DB7"/>
    <w:rsid w:val="00D24001"/>
    <w:rsid w:val="00D24126"/>
    <w:rsid w:val="00D24268"/>
    <w:rsid w:val="00D24312"/>
    <w:rsid w:val="00D24359"/>
    <w:rsid w:val="00D24366"/>
    <w:rsid w:val="00D244E9"/>
    <w:rsid w:val="00D24511"/>
    <w:rsid w:val="00D246E8"/>
    <w:rsid w:val="00D2470B"/>
    <w:rsid w:val="00D24809"/>
    <w:rsid w:val="00D249C1"/>
    <w:rsid w:val="00D24A29"/>
    <w:rsid w:val="00D24A4C"/>
    <w:rsid w:val="00D24C3F"/>
    <w:rsid w:val="00D24C4C"/>
    <w:rsid w:val="00D24C4D"/>
    <w:rsid w:val="00D24C9D"/>
    <w:rsid w:val="00D24CAA"/>
    <w:rsid w:val="00D24E45"/>
    <w:rsid w:val="00D25067"/>
    <w:rsid w:val="00D2506C"/>
    <w:rsid w:val="00D250EF"/>
    <w:rsid w:val="00D25717"/>
    <w:rsid w:val="00D25726"/>
    <w:rsid w:val="00D258A3"/>
    <w:rsid w:val="00D2595D"/>
    <w:rsid w:val="00D25976"/>
    <w:rsid w:val="00D25A74"/>
    <w:rsid w:val="00D25B9C"/>
    <w:rsid w:val="00D25C54"/>
    <w:rsid w:val="00D25CB4"/>
    <w:rsid w:val="00D25D1E"/>
    <w:rsid w:val="00D25D9E"/>
    <w:rsid w:val="00D25E00"/>
    <w:rsid w:val="00D25E27"/>
    <w:rsid w:val="00D25F01"/>
    <w:rsid w:val="00D25F24"/>
    <w:rsid w:val="00D26042"/>
    <w:rsid w:val="00D26084"/>
    <w:rsid w:val="00D261B4"/>
    <w:rsid w:val="00D26574"/>
    <w:rsid w:val="00D26604"/>
    <w:rsid w:val="00D26655"/>
    <w:rsid w:val="00D26732"/>
    <w:rsid w:val="00D2675E"/>
    <w:rsid w:val="00D2686E"/>
    <w:rsid w:val="00D268FF"/>
    <w:rsid w:val="00D26A30"/>
    <w:rsid w:val="00D26CC3"/>
    <w:rsid w:val="00D26E5D"/>
    <w:rsid w:val="00D26F75"/>
    <w:rsid w:val="00D27087"/>
    <w:rsid w:val="00D270B8"/>
    <w:rsid w:val="00D270D8"/>
    <w:rsid w:val="00D270F3"/>
    <w:rsid w:val="00D271DF"/>
    <w:rsid w:val="00D27275"/>
    <w:rsid w:val="00D273A3"/>
    <w:rsid w:val="00D274D9"/>
    <w:rsid w:val="00D2766A"/>
    <w:rsid w:val="00D2772B"/>
    <w:rsid w:val="00D2783C"/>
    <w:rsid w:val="00D279C5"/>
    <w:rsid w:val="00D27C60"/>
    <w:rsid w:val="00D27C6F"/>
    <w:rsid w:val="00D27C81"/>
    <w:rsid w:val="00D27D5F"/>
    <w:rsid w:val="00D27DE5"/>
    <w:rsid w:val="00D27F26"/>
    <w:rsid w:val="00D3009C"/>
    <w:rsid w:val="00D3023B"/>
    <w:rsid w:val="00D30331"/>
    <w:rsid w:val="00D30370"/>
    <w:rsid w:val="00D303AF"/>
    <w:rsid w:val="00D30507"/>
    <w:rsid w:val="00D30645"/>
    <w:rsid w:val="00D30649"/>
    <w:rsid w:val="00D30728"/>
    <w:rsid w:val="00D307DE"/>
    <w:rsid w:val="00D308B5"/>
    <w:rsid w:val="00D30B83"/>
    <w:rsid w:val="00D30D73"/>
    <w:rsid w:val="00D30EBC"/>
    <w:rsid w:val="00D30F62"/>
    <w:rsid w:val="00D30F97"/>
    <w:rsid w:val="00D30FC7"/>
    <w:rsid w:val="00D31127"/>
    <w:rsid w:val="00D31229"/>
    <w:rsid w:val="00D3125B"/>
    <w:rsid w:val="00D31616"/>
    <w:rsid w:val="00D3185E"/>
    <w:rsid w:val="00D31904"/>
    <w:rsid w:val="00D31A1F"/>
    <w:rsid w:val="00D31A4A"/>
    <w:rsid w:val="00D31A5E"/>
    <w:rsid w:val="00D31D02"/>
    <w:rsid w:val="00D31D70"/>
    <w:rsid w:val="00D31E09"/>
    <w:rsid w:val="00D31E48"/>
    <w:rsid w:val="00D32257"/>
    <w:rsid w:val="00D3239F"/>
    <w:rsid w:val="00D32443"/>
    <w:rsid w:val="00D324FC"/>
    <w:rsid w:val="00D325AE"/>
    <w:rsid w:val="00D32719"/>
    <w:rsid w:val="00D327E0"/>
    <w:rsid w:val="00D32952"/>
    <w:rsid w:val="00D32B16"/>
    <w:rsid w:val="00D32B27"/>
    <w:rsid w:val="00D32B32"/>
    <w:rsid w:val="00D32B63"/>
    <w:rsid w:val="00D32C22"/>
    <w:rsid w:val="00D32D8C"/>
    <w:rsid w:val="00D32DFD"/>
    <w:rsid w:val="00D32EC3"/>
    <w:rsid w:val="00D330BC"/>
    <w:rsid w:val="00D33173"/>
    <w:rsid w:val="00D3319F"/>
    <w:rsid w:val="00D33232"/>
    <w:rsid w:val="00D33267"/>
    <w:rsid w:val="00D3327F"/>
    <w:rsid w:val="00D33324"/>
    <w:rsid w:val="00D333F7"/>
    <w:rsid w:val="00D334DC"/>
    <w:rsid w:val="00D3362F"/>
    <w:rsid w:val="00D33810"/>
    <w:rsid w:val="00D3387A"/>
    <w:rsid w:val="00D3389E"/>
    <w:rsid w:val="00D3391D"/>
    <w:rsid w:val="00D3396D"/>
    <w:rsid w:val="00D339E0"/>
    <w:rsid w:val="00D33A09"/>
    <w:rsid w:val="00D33A28"/>
    <w:rsid w:val="00D33AB8"/>
    <w:rsid w:val="00D33B21"/>
    <w:rsid w:val="00D33B5D"/>
    <w:rsid w:val="00D33BEB"/>
    <w:rsid w:val="00D33DC7"/>
    <w:rsid w:val="00D33DDA"/>
    <w:rsid w:val="00D33E91"/>
    <w:rsid w:val="00D3419E"/>
    <w:rsid w:val="00D3441F"/>
    <w:rsid w:val="00D344DE"/>
    <w:rsid w:val="00D345BD"/>
    <w:rsid w:val="00D3460B"/>
    <w:rsid w:val="00D34636"/>
    <w:rsid w:val="00D3470C"/>
    <w:rsid w:val="00D348AA"/>
    <w:rsid w:val="00D34973"/>
    <w:rsid w:val="00D34982"/>
    <w:rsid w:val="00D34AC4"/>
    <w:rsid w:val="00D34BC8"/>
    <w:rsid w:val="00D34C6C"/>
    <w:rsid w:val="00D34C8D"/>
    <w:rsid w:val="00D34C92"/>
    <w:rsid w:val="00D34E14"/>
    <w:rsid w:val="00D34E79"/>
    <w:rsid w:val="00D34F76"/>
    <w:rsid w:val="00D34FA5"/>
    <w:rsid w:val="00D3511F"/>
    <w:rsid w:val="00D351FB"/>
    <w:rsid w:val="00D3520C"/>
    <w:rsid w:val="00D352BE"/>
    <w:rsid w:val="00D35363"/>
    <w:rsid w:val="00D35544"/>
    <w:rsid w:val="00D357E4"/>
    <w:rsid w:val="00D35873"/>
    <w:rsid w:val="00D35957"/>
    <w:rsid w:val="00D35A39"/>
    <w:rsid w:val="00D35A79"/>
    <w:rsid w:val="00D35B9D"/>
    <w:rsid w:val="00D35C39"/>
    <w:rsid w:val="00D35D0A"/>
    <w:rsid w:val="00D35D0D"/>
    <w:rsid w:val="00D35D85"/>
    <w:rsid w:val="00D361DC"/>
    <w:rsid w:val="00D36517"/>
    <w:rsid w:val="00D365F9"/>
    <w:rsid w:val="00D36642"/>
    <w:rsid w:val="00D366CA"/>
    <w:rsid w:val="00D3678C"/>
    <w:rsid w:val="00D368C1"/>
    <w:rsid w:val="00D369AF"/>
    <w:rsid w:val="00D36B89"/>
    <w:rsid w:val="00D36BB8"/>
    <w:rsid w:val="00D36D1D"/>
    <w:rsid w:val="00D36E10"/>
    <w:rsid w:val="00D36EDB"/>
    <w:rsid w:val="00D36EE0"/>
    <w:rsid w:val="00D36F0A"/>
    <w:rsid w:val="00D36FBD"/>
    <w:rsid w:val="00D37048"/>
    <w:rsid w:val="00D37210"/>
    <w:rsid w:val="00D37255"/>
    <w:rsid w:val="00D373BA"/>
    <w:rsid w:val="00D374D6"/>
    <w:rsid w:val="00D374D7"/>
    <w:rsid w:val="00D3757A"/>
    <w:rsid w:val="00D375EA"/>
    <w:rsid w:val="00D37630"/>
    <w:rsid w:val="00D37665"/>
    <w:rsid w:val="00D3775B"/>
    <w:rsid w:val="00D37A9A"/>
    <w:rsid w:val="00D37C06"/>
    <w:rsid w:val="00D37C7B"/>
    <w:rsid w:val="00D37E00"/>
    <w:rsid w:val="00D37E8C"/>
    <w:rsid w:val="00D37EC5"/>
    <w:rsid w:val="00D37F9B"/>
    <w:rsid w:val="00D40090"/>
    <w:rsid w:val="00D400D0"/>
    <w:rsid w:val="00D4019F"/>
    <w:rsid w:val="00D402F7"/>
    <w:rsid w:val="00D4035A"/>
    <w:rsid w:val="00D403FB"/>
    <w:rsid w:val="00D404A4"/>
    <w:rsid w:val="00D404E8"/>
    <w:rsid w:val="00D40523"/>
    <w:rsid w:val="00D40529"/>
    <w:rsid w:val="00D40583"/>
    <w:rsid w:val="00D40742"/>
    <w:rsid w:val="00D40793"/>
    <w:rsid w:val="00D407CE"/>
    <w:rsid w:val="00D40861"/>
    <w:rsid w:val="00D40980"/>
    <w:rsid w:val="00D40A12"/>
    <w:rsid w:val="00D40B55"/>
    <w:rsid w:val="00D40D1C"/>
    <w:rsid w:val="00D40E15"/>
    <w:rsid w:val="00D40EC4"/>
    <w:rsid w:val="00D40F19"/>
    <w:rsid w:val="00D414EB"/>
    <w:rsid w:val="00D415A1"/>
    <w:rsid w:val="00D415F5"/>
    <w:rsid w:val="00D41732"/>
    <w:rsid w:val="00D41756"/>
    <w:rsid w:val="00D417E9"/>
    <w:rsid w:val="00D41810"/>
    <w:rsid w:val="00D419D1"/>
    <w:rsid w:val="00D41A6B"/>
    <w:rsid w:val="00D41AB3"/>
    <w:rsid w:val="00D41AF1"/>
    <w:rsid w:val="00D41B07"/>
    <w:rsid w:val="00D41B4F"/>
    <w:rsid w:val="00D41C00"/>
    <w:rsid w:val="00D41C14"/>
    <w:rsid w:val="00D41E3F"/>
    <w:rsid w:val="00D42129"/>
    <w:rsid w:val="00D4228E"/>
    <w:rsid w:val="00D426EA"/>
    <w:rsid w:val="00D4270B"/>
    <w:rsid w:val="00D42763"/>
    <w:rsid w:val="00D4276C"/>
    <w:rsid w:val="00D42866"/>
    <w:rsid w:val="00D42963"/>
    <w:rsid w:val="00D42C1D"/>
    <w:rsid w:val="00D42C95"/>
    <w:rsid w:val="00D42CBC"/>
    <w:rsid w:val="00D42D27"/>
    <w:rsid w:val="00D42E27"/>
    <w:rsid w:val="00D42E95"/>
    <w:rsid w:val="00D42F9F"/>
    <w:rsid w:val="00D43012"/>
    <w:rsid w:val="00D4312D"/>
    <w:rsid w:val="00D43131"/>
    <w:rsid w:val="00D433ED"/>
    <w:rsid w:val="00D434B7"/>
    <w:rsid w:val="00D4355C"/>
    <w:rsid w:val="00D43655"/>
    <w:rsid w:val="00D4370B"/>
    <w:rsid w:val="00D4389D"/>
    <w:rsid w:val="00D43907"/>
    <w:rsid w:val="00D43AD3"/>
    <w:rsid w:val="00D43B10"/>
    <w:rsid w:val="00D43CA8"/>
    <w:rsid w:val="00D43CDB"/>
    <w:rsid w:val="00D43CF2"/>
    <w:rsid w:val="00D43DD4"/>
    <w:rsid w:val="00D43E3D"/>
    <w:rsid w:val="00D43E4B"/>
    <w:rsid w:val="00D43E86"/>
    <w:rsid w:val="00D43F28"/>
    <w:rsid w:val="00D43FD5"/>
    <w:rsid w:val="00D44079"/>
    <w:rsid w:val="00D4409C"/>
    <w:rsid w:val="00D441F3"/>
    <w:rsid w:val="00D44259"/>
    <w:rsid w:val="00D44285"/>
    <w:rsid w:val="00D445D1"/>
    <w:rsid w:val="00D4472D"/>
    <w:rsid w:val="00D44732"/>
    <w:rsid w:val="00D447A3"/>
    <w:rsid w:val="00D448A9"/>
    <w:rsid w:val="00D44979"/>
    <w:rsid w:val="00D44B97"/>
    <w:rsid w:val="00D44C9A"/>
    <w:rsid w:val="00D44E15"/>
    <w:rsid w:val="00D44FF5"/>
    <w:rsid w:val="00D45029"/>
    <w:rsid w:val="00D452AE"/>
    <w:rsid w:val="00D45352"/>
    <w:rsid w:val="00D45560"/>
    <w:rsid w:val="00D455CC"/>
    <w:rsid w:val="00D4572F"/>
    <w:rsid w:val="00D45797"/>
    <w:rsid w:val="00D4581D"/>
    <w:rsid w:val="00D45989"/>
    <w:rsid w:val="00D45A85"/>
    <w:rsid w:val="00D45AFA"/>
    <w:rsid w:val="00D45AFF"/>
    <w:rsid w:val="00D45B30"/>
    <w:rsid w:val="00D45CC4"/>
    <w:rsid w:val="00D45CD5"/>
    <w:rsid w:val="00D45D4C"/>
    <w:rsid w:val="00D45DCF"/>
    <w:rsid w:val="00D45E87"/>
    <w:rsid w:val="00D45F54"/>
    <w:rsid w:val="00D45FB2"/>
    <w:rsid w:val="00D461FD"/>
    <w:rsid w:val="00D46220"/>
    <w:rsid w:val="00D4626E"/>
    <w:rsid w:val="00D46492"/>
    <w:rsid w:val="00D464D5"/>
    <w:rsid w:val="00D46810"/>
    <w:rsid w:val="00D4691B"/>
    <w:rsid w:val="00D4695D"/>
    <w:rsid w:val="00D46A8A"/>
    <w:rsid w:val="00D46AB1"/>
    <w:rsid w:val="00D46AF7"/>
    <w:rsid w:val="00D46B8B"/>
    <w:rsid w:val="00D46C56"/>
    <w:rsid w:val="00D46CA2"/>
    <w:rsid w:val="00D46CE4"/>
    <w:rsid w:val="00D46D4D"/>
    <w:rsid w:val="00D46D84"/>
    <w:rsid w:val="00D46D9C"/>
    <w:rsid w:val="00D46DA4"/>
    <w:rsid w:val="00D4708F"/>
    <w:rsid w:val="00D47428"/>
    <w:rsid w:val="00D47567"/>
    <w:rsid w:val="00D4778F"/>
    <w:rsid w:val="00D478E5"/>
    <w:rsid w:val="00D47971"/>
    <w:rsid w:val="00D47B3F"/>
    <w:rsid w:val="00D47B83"/>
    <w:rsid w:val="00D47BC4"/>
    <w:rsid w:val="00D47C29"/>
    <w:rsid w:val="00D47C82"/>
    <w:rsid w:val="00D47D64"/>
    <w:rsid w:val="00D47DEC"/>
    <w:rsid w:val="00D47EE8"/>
    <w:rsid w:val="00D47F0D"/>
    <w:rsid w:val="00D50030"/>
    <w:rsid w:val="00D5007C"/>
    <w:rsid w:val="00D503D3"/>
    <w:rsid w:val="00D503F2"/>
    <w:rsid w:val="00D50474"/>
    <w:rsid w:val="00D50475"/>
    <w:rsid w:val="00D50499"/>
    <w:rsid w:val="00D504AD"/>
    <w:rsid w:val="00D505FB"/>
    <w:rsid w:val="00D50615"/>
    <w:rsid w:val="00D50642"/>
    <w:rsid w:val="00D506AA"/>
    <w:rsid w:val="00D50839"/>
    <w:rsid w:val="00D5099B"/>
    <w:rsid w:val="00D50A95"/>
    <w:rsid w:val="00D50B5B"/>
    <w:rsid w:val="00D50D61"/>
    <w:rsid w:val="00D50EEF"/>
    <w:rsid w:val="00D50F0E"/>
    <w:rsid w:val="00D50F6D"/>
    <w:rsid w:val="00D51050"/>
    <w:rsid w:val="00D51389"/>
    <w:rsid w:val="00D513DE"/>
    <w:rsid w:val="00D51433"/>
    <w:rsid w:val="00D5147D"/>
    <w:rsid w:val="00D5176C"/>
    <w:rsid w:val="00D519B8"/>
    <w:rsid w:val="00D51A9F"/>
    <w:rsid w:val="00D51B79"/>
    <w:rsid w:val="00D51D2A"/>
    <w:rsid w:val="00D5209D"/>
    <w:rsid w:val="00D52175"/>
    <w:rsid w:val="00D52340"/>
    <w:rsid w:val="00D5234E"/>
    <w:rsid w:val="00D52628"/>
    <w:rsid w:val="00D52667"/>
    <w:rsid w:val="00D5267A"/>
    <w:rsid w:val="00D527B8"/>
    <w:rsid w:val="00D527D0"/>
    <w:rsid w:val="00D5282C"/>
    <w:rsid w:val="00D52902"/>
    <w:rsid w:val="00D529F4"/>
    <w:rsid w:val="00D52A92"/>
    <w:rsid w:val="00D52CD6"/>
    <w:rsid w:val="00D52F19"/>
    <w:rsid w:val="00D53119"/>
    <w:rsid w:val="00D5336C"/>
    <w:rsid w:val="00D5338A"/>
    <w:rsid w:val="00D533AF"/>
    <w:rsid w:val="00D53417"/>
    <w:rsid w:val="00D5368F"/>
    <w:rsid w:val="00D536A2"/>
    <w:rsid w:val="00D53748"/>
    <w:rsid w:val="00D5376C"/>
    <w:rsid w:val="00D5392C"/>
    <w:rsid w:val="00D5394A"/>
    <w:rsid w:val="00D53957"/>
    <w:rsid w:val="00D53C0A"/>
    <w:rsid w:val="00D53C4C"/>
    <w:rsid w:val="00D545FC"/>
    <w:rsid w:val="00D54652"/>
    <w:rsid w:val="00D54698"/>
    <w:rsid w:val="00D547BF"/>
    <w:rsid w:val="00D547CB"/>
    <w:rsid w:val="00D54852"/>
    <w:rsid w:val="00D5491C"/>
    <w:rsid w:val="00D54928"/>
    <w:rsid w:val="00D549B7"/>
    <w:rsid w:val="00D54ABF"/>
    <w:rsid w:val="00D54B45"/>
    <w:rsid w:val="00D54C74"/>
    <w:rsid w:val="00D54D08"/>
    <w:rsid w:val="00D550F4"/>
    <w:rsid w:val="00D55224"/>
    <w:rsid w:val="00D55297"/>
    <w:rsid w:val="00D553D6"/>
    <w:rsid w:val="00D5548D"/>
    <w:rsid w:val="00D556DC"/>
    <w:rsid w:val="00D5584C"/>
    <w:rsid w:val="00D558E5"/>
    <w:rsid w:val="00D559D5"/>
    <w:rsid w:val="00D55A42"/>
    <w:rsid w:val="00D55A81"/>
    <w:rsid w:val="00D55AEA"/>
    <w:rsid w:val="00D55C10"/>
    <w:rsid w:val="00D55CB5"/>
    <w:rsid w:val="00D55D21"/>
    <w:rsid w:val="00D55D5D"/>
    <w:rsid w:val="00D55F7C"/>
    <w:rsid w:val="00D56104"/>
    <w:rsid w:val="00D56105"/>
    <w:rsid w:val="00D56111"/>
    <w:rsid w:val="00D5611F"/>
    <w:rsid w:val="00D561BD"/>
    <w:rsid w:val="00D5635A"/>
    <w:rsid w:val="00D5640A"/>
    <w:rsid w:val="00D56445"/>
    <w:rsid w:val="00D56496"/>
    <w:rsid w:val="00D565EA"/>
    <w:rsid w:val="00D5665F"/>
    <w:rsid w:val="00D566F5"/>
    <w:rsid w:val="00D56776"/>
    <w:rsid w:val="00D56778"/>
    <w:rsid w:val="00D5690E"/>
    <w:rsid w:val="00D569C3"/>
    <w:rsid w:val="00D56A7A"/>
    <w:rsid w:val="00D56E30"/>
    <w:rsid w:val="00D56E5D"/>
    <w:rsid w:val="00D56E83"/>
    <w:rsid w:val="00D56EC8"/>
    <w:rsid w:val="00D56F75"/>
    <w:rsid w:val="00D56FA6"/>
    <w:rsid w:val="00D5714F"/>
    <w:rsid w:val="00D57179"/>
    <w:rsid w:val="00D5721B"/>
    <w:rsid w:val="00D57240"/>
    <w:rsid w:val="00D5738E"/>
    <w:rsid w:val="00D57492"/>
    <w:rsid w:val="00D576EE"/>
    <w:rsid w:val="00D578F8"/>
    <w:rsid w:val="00D57905"/>
    <w:rsid w:val="00D579A7"/>
    <w:rsid w:val="00D57A7D"/>
    <w:rsid w:val="00D57A80"/>
    <w:rsid w:val="00D57AF3"/>
    <w:rsid w:val="00D57B32"/>
    <w:rsid w:val="00D57C93"/>
    <w:rsid w:val="00D57EE3"/>
    <w:rsid w:val="00D57F6E"/>
    <w:rsid w:val="00D6051C"/>
    <w:rsid w:val="00D605C0"/>
    <w:rsid w:val="00D60605"/>
    <w:rsid w:val="00D60621"/>
    <w:rsid w:val="00D607EB"/>
    <w:rsid w:val="00D6085B"/>
    <w:rsid w:val="00D60872"/>
    <w:rsid w:val="00D608B3"/>
    <w:rsid w:val="00D60C07"/>
    <w:rsid w:val="00D60D25"/>
    <w:rsid w:val="00D60D41"/>
    <w:rsid w:val="00D60D72"/>
    <w:rsid w:val="00D60F17"/>
    <w:rsid w:val="00D60F36"/>
    <w:rsid w:val="00D60FA6"/>
    <w:rsid w:val="00D61022"/>
    <w:rsid w:val="00D61089"/>
    <w:rsid w:val="00D610A5"/>
    <w:rsid w:val="00D610B9"/>
    <w:rsid w:val="00D6110D"/>
    <w:rsid w:val="00D6113B"/>
    <w:rsid w:val="00D61221"/>
    <w:rsid w:val="00D61255"/>
    <w:rsid w:val="00D612DA"/>
    <w:rsid w:val="00D61421"/>
    <w:rsid w:val="00D6143C"/>
    <w:rsid w:val="00D6144D"/>
    <w:rsid w:val="00D614FE"/>
    <w:rsid w:val="00D6153B"/>
    <w:rsid w:val="00D61540"/>
    <w:rsid w:val="00D6175F"/>
    <w:rsid w:val="00D617D4"/>
    <w:rsid w:val="00D61898"/>
    <w:rsid w:val="00D618EF"/>
    <w:rsid w:val="00D61931"/>
    <w:rsid w:val="00D6196D"/>
    <w:rsid w:val="00D61A89"/>
    <w:rsid w:val="00D61BD9"/>
    <w:rsid w:val="00D61D2C"/>
    <w:rsid w:val="00D61E61"/>
    <w:rsid w:val="00D61F8F"/>
    <w:rsid w:val="00D61FD8"/>
    <w:rsid w:val="00D620EB"/>
    <w:rsid w:val="00D6219B"/>
    <w:rsid w:val="00D6220D"/>
    <w:rsid w:val="00D62318"/>
    <w:rsid w:val="00D6232F"/>
    <w:rsid w:val="00D625D6"/>
    <w:rsid w:val="00D626C7"/>
    <w:rsid w:val="00D62716"/>
    <w:rsid w:val="00D62763"/>
    <w:rsid w:val="00D6289E"/>
    <w:rsid w:val="00D6295A"/>
    <w:rsid w:val="00D629D1"/>
    <w:rsid w:val="00D62A6F"/>
    <w:rsid w:val="00D62A9E"/>
    <w:rsid w:val="00D62C52"/>
    <w:rsid w:val="00D62E28"/>
    <w:rsid w:val="00D62E45"/>
    <w:rsid w:val="00D62F41"/>
    <w:rsid w:val="00D63039"/>
    <w:rsid w:val="00D630A0"/>
    <w:rsid w:val="00D631B3"/>
    <w:rsid w:val="00D631FA"/>
    <w:rsid w:val="00D6324D"/>
    <w:rsid w:val="00D63287"/>
    <w:rsid w:val="00D6334B"/>
    <w:rsid w:val="00D63351"/>
    <w:rsid w:val="00D63526"/>
    <w:rsid w:val="00D636E5"/>
    <w:rsid w:val="00D63768"/>
    <w:rsid w:val="00D63AD5"/>
    <w:rsid w:val="00D63B42"/>
    <w:rsid w:val="00D63BB8"/>
    <w:rsid w:val="00D63C32"/>
    <w:rsid w:val="00D63E42"/>
    <w:rsid w:val="00D63F6E"/>
    <w:rsid w:val="00D64000"/>
    <w:rsid w:val="00D64013"/>
    <w:rsid w:val="00D6403F"/>
    <w:rsid w:val="00D64048"/>
    <w:rsid w:val="00D6417A"/>
    <w:rsid w:val="00D642E1"/>
    <w:rsid w:val="00D643E1"/>
    <w:rsid w:val="00D64413"/>
    <w:rsid w:val="00D64472"/>
    <w:rsid w:val="00D645D6"/>
    <w:rsid w:val="00D646FD"/>
    <w:rsid w:val="00D647DD"/>
    <w:rsid w:val="00D64829"/>
    <w:rsid w:val="00D648C6"/>
    <w:rsid w:val="00D6493B"/>
    <w:rsid w:val="00D64A7F"/>
    <w:rsid w:val="00D64ABE"/>
    <w:rsid w:val="00D64B64"/>
    <w:rsid w:val="00D64C32"/>
    <w:rsid w:val="00D64C9C"/>
    <w:rsid w:val="00D64E0E"/>
    <w:rsid w:val="00D64E1E"/>
    <w:rsid w:val="00D64F4D"/>
    <w:rsid w:val="00D651B8"/>
    <w:rsid w:val="00D652AB"/>
    <w:rsid w:val="00D6542C"/>
    <w:rsid w:val="00D654E8"/>
    <w:rsid w:val="00D65613"/>
    <w:rsid w:val="00D6566D"/>
    <w:rsid w:val="00D65A3E"/>
    <w:rsid w:val="00D65C2E"/>
    <w:rsid w:val="00D65E5D"/>
    <w:rsid w:val="00D65EB2"/>
    <w:rsid w:val="00D65F6C"/>
    <w:rsid w:val="00D660EC"/>
    <w:rsid w:val="00D6626D"/>
    <w:rsid w:val="00D66317"/>
    <w:rsid w:val="00D6631A"/>
    <w:rsid w:val="00D66328"/>
    <w:rsid w:val="00D6663D"/>
    <w:rsid w:val="00D666F7"/>
    <w:rsid w:val="00D6697D"/>
    <w:rsid w:val="00D66ACE"/>
    <w:rsid w:val="00D66AD3"/>
    <w:rsid w:val="00D66E13"/>
    <w:rsid w:val="00D670E9"/>
    <w:rsid w:val="00D6710E"/>
    <w:rsid w:val="00D671A0"/>
    <w:rsid w:val="00D671F3"/>
    <w:rsid w:val="00D671F5"/>
    <w:rsid w:val="00D67296"/>
    <w:rsid w:val="00D6754C"/>
    <w:rsid w:val="00D67654"/>
    <w:rsid w:val="00D678AC"/>
    <w:rsid w:val="00D6794C"/>
    <w:rsid w:val="00D67B60"/>
    <w:rsid w:val="00D67B8B"/>
    <w:rsid w:val="00D67BF8"/>
    <w:rsid w:val="00D67C01"/>
    <w:rsid w:val="00D67C91"/>
    <w:rsid w:val="00D67DFD"/>
    <w:rsid w:val="00D67E5D"/>
    <w:rsid w:val="00D67F33"/>
    <w:rsid w:val="00D67F3D"/>
    <w:rsid w:val="00D7000C"/>
    <w:rsid w:val="00D700F6"/>
    <w:rsid w:val="00D701A2"/>
    <w:rsid w:val="00D70257"/>
    <w:rsid w:val="00D70329"/>
    <w:rsid w:val="00D704CC"/>
    <w:rsid w:val="00D7056E"/>
    <w:rsid w:val="00D7058B"/>
    <w:rsid w:val="00D705A3"/>
    <w:rsid w:val="00D70679"/>
    <w:rsid w:val="00D7069E"/>
    <w:rsid w:val="00D707D8"/>
    <w:rsid w:val="00D7081D"/>
    <w:rsid w:val="00D70880"/>
    <w:rsid w:val="00D708B1"/>
    <w:rsid w:val="00D709A1"/>
    <w:rsid w:val="00D70D3A"/>
    <w:rsid w:val="00D70D78"/>
    <w:rsid w:val="00D70DCB"/>
    <w:rsid w:val="00D70DD2"/>
    <w:rsid w:val="00D70E0C"/>
    <w:rsid w:val="00D70E9E"/>
    <w:rsid w:val="00D70ED8"/>
    <w:rsid w:val="00D70F52"/>
    <w:rsid w:val="00D710F1"/>
    <w:rsid w:val="00D7121E"/>
    <w:rsid w:val="00D716BA"/>
    <w:rsid w:val="00D71776"/>
    <w:rsid w:val="00D71A7F"/>
    <w:rsid w:val="00D71AA4"/>
    <w:rsid w:val="00D71AB7"/>
    <w:rsid w:val="00D71B38"/>
    <w:rsid w:val="00D71E41"/>
    <w:rsid w:val="00D71EFB"/>
    <w:rsid w:val="00D72086"/>
    <w:rsid w:val="00D72131"/>
    <w:rsid w:val="00D72146"/>
    <w:rsid w:val="00D721F6"/>
    <w:rsid w:val="00D724C9"/>
    <w:rsid w:val="00D7251D"/>
    <w:rsid w:val="00D7267F"/>
    <w:rsid w:val="00D726FE"/>
    <w:rsid w:val="00D727A4"/>
    <w:rsid w:val="00D727F3"/>
    <w:rsid w:val="00D72871"/>
    <w:rsid w:val="00D72969"/>
    <w:rsid w:val="00D72A05"/>
    <w:rsid w:val="00D72B03"/>
    <w:rsid w:val="00D72DD1"/>
    <w:rsid w:val="00D72DFB"/>
    <w:rsid w:val="00D72F78"/>
    <w:rsid w:val="00D72FD3"/>
    <w:rsid w:val="00D73236"/>
    <w:rsid w:val="00D7324E"/>
    <w:rsid w:val="00D732A6"/>
    <w:rsid w:val="00D732C9"/>
    <w:rsid w:val="00D73307"/>
    <w:rsid w:val="00D73368"/>
    <w:rsid w:val="00D733A3"/>
    <w:rsid w:val="00D734DF"/>
    <w:rsid w:val="00D737CC"/>
    <w:rsid w:val="00D73911"/>
    <w:rsid w:val="00D73ADC"/>
    <w:rsid w:val="00D73B6E"/>
    <w:rsid w:val="00D73BF1"/>
    <w:rsid w:val="00D73C6B"/>
    <w:rsid w:val="00D73DDF"/>
    <w:rsid w:val="00D7414B"/>
    <w:rsid w:val="00D7419F"/>
    <w:rsid w:val="00D741D0"/>
    <w:rsid w:val="00D7433F"/>
    <w:rsid w:val="00D743B4"/>
    <w:rsid w:val="00D74469"/>
    <w:rsid w:val="00D74472"/>
    <w:rsid w:val="00D7452B"/>
    <w:rsid w:val="00D7460C"/>
    <w:rsid w:val="00D7460F"/>
    <w:rsid w:val="00D747B0"/>
    <w:rsid w:val="00D7493D"/>
    <w:rsid w:val="00D749A9"/>
    <w:rsid w:val="00D749B6"/>
    <w:rsid w:val="00D749DD"/>
    <w:rsid w:val="00D74A43"/>
    <w:rsid w:val="00D74B49"/>
    <w:rsid w:val="00D74BD3"/>
    <w:rsid w:val="00D74C60"/>
    <w:rsid w:val="00D74CA1"/>
    <w:rsid w:val="00D74D91"/>
    <w:rsid w:val="00D74F01"/>
    <w:rsid w:val="00D74F28"/>
    <w:rsid w:val="00D74FCE"/>
    <w:rsid w:val="00D75005"/>
    <w:rsid w:val="00D7502C"/>
    <w:rsid w:val="00D750DA"/>
    <w:rsid w:val="00D750F1"/>
    <w:rsid w:val="00D75141"/>
    <w:rsid w:val="00D75185"/>
    <w:rsid w:val="00D75264"/>
    <w:rsid w:val="00D75523"/>
    <w:rsid w:val="00D7575D"/>
    <w:rsid w:val="00D757D1"/>
    <w:rsid w:val="00D759C7"/>
    <w:rsid w:val="00D75ADA"/>
    <w:rsid w:val="00D75ADD"/>
    <w:rsid w:val="00D75B82"/>
    <w:rsid w:val="00D75CF1"/>
    <w:rsid w:val="00D75E29"/>
    <w:rsid w:val="00D7607A"/>
    <w:rsid w:val="00D76089"/>
    <w:rsid w:val="00D76126"/>
    <w:rsid w:val="00D7614A"/>
    <w:rsid w:val="00D763A5"/>
    <w:rsid w:val="00D763BB"/>
    <w:rsid w:val="00D763FB"/>
    <w:rsid w:val="00D765E2"/>
    <w:rsid w:val="00D767A4"/>
    <w:rsid w:val="00D76A68"/>
    <w:rsid w:val="00D76C9C"/>
    <w:rsid w:val="00D76D0E"/>
    <w:rsid w:val="00D76DF7"/>
    <w:rsid w:val="00D76E6C"/>
    <w:rsid w:val="00D76E85"/>
    <w:rsid w:val="00D76F46"/>
    <w:rsid w:val="00D77014"/>
    <w:rsid w:val="00D7705A"/>
    <w:rsid w:val="00D7717F"/>
    <w:rsid w:val="00D77371"/>
    <w:rsid w:val="00D774B7"/>
    <w:rsid w:val="00D77875"/>
    <w:rsid w:val="00D778DB"/>
    <w:rsid w:val="00D7791F"/>
    <w:rsid w:val="00D779AC"/>
    <w:rsid w:val="00D77A15"/>
    <w:rsid w:val="00D77B67"/>
    <w:rsid w:val="00D77C3E"/>
    <w:rsid w:val="00D77DEE"/>
    <w:rsid w:val="00D77E08"/>
    <w:rsid w:val="00D77EF8"/>
    <w:rsid w:val="00D800CA"/>
    <w:rsid w:val="00D802D6"/>
    <w:rsid w:val="00D8034B"/>
    <w:rsid w:val="00D80379"/>
    <w:rsid w:val="00D8041D"/>
    <w:rsid w:val="00D80695"/>
    <w:rsid w:val="00D807FB"/>
    <w:rsid w:val="00D8095D"/>
    <w:rsid w:val="00D809BC"/>
    <w:rsid w:val="00D80A86"/>
    <w:rsid w:val="00D80B77"/>
    <w:rsid w:val="00D80BC6"/>
    <w:rsid w:val="00D80E64"/>
    <w:rsid w:val="00D80EEC"/>
    <w:rsid w:val="00D81019"/>
    <w:rsid w:val="00D810D6"/>
    <w:rsid w:val="00D8127B"/>
    <w:rsid w:val="00D812F6"/>
    <w:rsid w:val="00D81370"/>
    <w:rsid w:val="00D81409"/>
    <w:rsid w:val="00D81672"/>
    <w:rsid w:val="00D816B2"/>
    <w:rsid w:val="00D816B4"/>
    <w:rsid w:val="00D816E6"/>
    <w:rsid w:val="00D81837"/>
    <w:rsid w:val="00D818D9"/>
    <w:rsid w:val="00D81950"/>
    <w:rsid w:val="00D819AF"/>
    <w:rsid w:val="00D81ABC"/>
    <w:rsid w:val="00D81B77"/>
    <w:rsid w:val="00D81BED"/>
    <w:rsid w:val="00D81DFC"/>
    <w:rsid w:val="00D81E99"/>
    <w:rsid w:val="00D82018"/>
    <w:rsid w:val="00D8206D"/>
    <w:rsid w:val="00D82165"/>
    <w:rsid w:val="00D82169"/>
    <w:rsid w:val="00D821BB"/>
    <w:rsid w:val="00D821EA"/>
    <w:rsid w:val="00D82384"/>
    <w:rsid w:val="00D8260B"/>
    <w:rsid w:val="00D826D9"/>
    <w:rsid w:val="00D82744"/>
    <w:rsid w:val="00D8274A"/>
    <w:rsid w:val="00D8275D"/>
    <w:rsid w:val="00D827AD"/>
    <w:rsid w:val="00D829E4"/>
    <w:rsid w:val="00D82C9B"/>
    <w:rsid w:val="00D82CA2"/>
    <w:rsid w:val="00D82DE1"/>
    <w:rsid w:val="00D82E20"/>
    <w:rsid w:val="00D82E7A"/>
    <w:rsid w:val="00D82E7B"/>
    <w:rsid w:val="00D82FB5"/>
    <w:rsid w:val="00D830ED"/>
    <w:rsid w:val="00D830F2"/>
    <w:rsid w:val="00D832F0"/>
    <w:rsid w:val="00D83354"/>
    <w:rsid w:val="00D83374"/>
    <w:rsid w:val="00D83448"/>
    <w:rsid w:val="00D83465"/>
    <w:rsid w:val="00D834E4"/>
    <w:rsid w:val="00D8356D"/>
    <w:rsid w:val="00D8357D"/>
    <w:rsid w:val="00D83638"/>
    <w:rsid w:val="00D8388D"/>
    <w:rsid w:val="00D83893"/>
    <w:rsid w:val="00D8393A"/>
    <w:rsid w:val="00D83A51"/>
    <w:rsid w:val="00D83C35"/>
    <w:rsid w:val="00D83CDE"/>
    <w:rsid w:val="00D83D20"/>
    <w:rsid w:val="00D83DDA"/>
    <w:rsid w:val="00D83E8C"/>
    <w:rsid w:val="00D8401C"/>
    <w:rsid w:val="00D84170"/>
    <w:rsid w:val="00D842D1"/>
    <w:rsid w:val="00D843A3"/>
    <w:rsid w:val="00D8441F"/>
    <w:rsid w:val="00D84484"/>
    <w:rsid w:val="00D8448E"/>
    <w:rsid w:val="00D84637"/>
    <w:rsid w:val="00D8463A"/>
    <w:rsid w:val="00D8466A"/>
    <w:rsid w:val="00D84720"/>
    <w:rsid w:val="00D847CD"/>
    <w:rsid w:val="00D848EA"/>
    <w:rsid w:val="00D848FC"/>
    <w:rsid w:val="00D84AFE"/>
    <w:rsid w:val="00D84B7E"/>
    <w:rsid w:val="00D84C08"/>
    <w:rsid w:val="00D84CC7"/>
    <w:rsid w:val="00D84D99"/>
    <w:rsid w:val="00D84DDA"/>
    <w:rsid w:val="00D84E82"/>
    <w:rsid w:val="00D84FCD"/>
    <w:rsid w:val="00D84FD3"/>
    <w:rsid w:val="00D8505F"/>
    <w:rsid w:val="00D850E3"/>
    <w:rsid w:val="00D850F0"/>
    <w:rsid w:val="00D851BA"/>
    <w:rsid w:val="00D85314"/>
    <w:rsid w:val="00D8531A"/>
    <w:rsid w:val="00D8541A"/>
    <w:rsid w:val="00D85434"/>
    <w:rsid w:val="00D85539"/>
    <w:rsid w:val="00D85574"/>
    <w:rsid w:val="00D85757"/>
    <w:rsid w:val="00D859C1"/>
    <w:rsid w:val="00D85A11"/>
    <w:rsid w:val="00D85A4E"/>
    <w:rsid w:val="00D85ADF"/>
    <w:rsid w:val="00D85D6A"/>
    <w:rsid w:val="00D85D79"/>
    <w:rsid w:val="00D85EC6"/>
    <w:rsid w:val="00D85ED0"/>
    <w:rsid w:val="00D860BF"/>
    <w:rsid w:val="00D861F2"/>
    <w:rsid w:val="00D86213"/>
    <w:rsid w:val="00D862B4"/>
    <w:rsid w:val="00D863CD"/>
    <w:rsid w:val="00D86458"/>
    <w:rsid w:val="00D864E2"/>
    <w:rsid w:val="00D8657E"/>
    <w:rsid w:val="00D86685"/>
    <w:rsid w:val="00D86737"/>
    <w:rsid w:val="00D8679D"/>
    <w:rsid w:val="00D867C1"/>
    <w:rsid w:val="00D86914"/>
    <w:rsid w:val="00D86D31"/>
    <w:rsid w:val="00D86D7E"/>
    <w:rsid w:val="00D86E0A"/>
    <w:rsid w:val="00D86E3F"/>
    <w:rsid w:val="00D86EFB"/>
    <w:rsid w:val="00D86F07"/>
    <w:rsid w:val="00D8732F"/>
    <w:rsid w:val="00D8758E"/>
    <w:rsid w:val="00D875F9"/>
    <w:rsid w:val="00D876BC"/>
    <w:rsid w:val="00D87879"/>
    <w:rsid w:val="00D878BC"/>
    <w:rsid w:val="00D879CB"/>
    <w:rsid w:val="00D87BBC"/>
    <w:rsid w:val="00D87DDD"/>
    <w:rsid w:val="00D87ED7"/>
    <w:rsid w:val="00D87F6C"/>
    <w:rsid w:val="00D90120"/>
    <w:rsid w:val="00D9013B"/>
    <w:rsid w:val="00D903CD"/>
    <w:rsid w:val="00D904DC"/>
    <w:rsid w:val="00D907A3"/>
    <w:rsid w:val="00D907E3"/>
    <w:rsid w:val="00D90956"/>
    <w:rsid w:val="00D90982"/>
    <w:rsid w:val="00D909CC"/>
    <w:rsid w:val="00D90A54"/>
    <w:rsid w:val="00D90B11"/>
    <w:rsid w:val="00D90BE3"/>
    <w:rsid w:val="00D90C2C"/>
    <w:rsid w:val="00D90C46"/>
    <w:rsid w:val="00D90C53"/>
    <w:rsid w:val="00D90C88"/>
    <w:rsid w:val="00D90CFD"/>
    <w:rsid w:val="00D90E50"/>
    <w:rsid w:val="00D90EC0"/>
    <w:rsid w:val="00D91187"/>
    <w:rsid w:val="00D9136A"/>
    <w:rsid w:val="00D91374"/>
    <w:rsid w:val="00D91475"/>
    <w:rsid w:val="00D915A0"/>
    <w:rsid w:val="00D91757"/>
    <w:rsid w:val="00D91852"/>
    <w:rsid w:val="00D9194A"/>
    <w:rsid w:val="00D91989"/>
    <w:rsid w:val="00D91C76"/>
    <w:rsid w:val="00D91C91"/>
    <w:rsid w:val="00D91D82"/>
    <w:rsid w:val="00D91D83"/>
    <w:rsid w:val="00D91E48"/>
    <w:rsid w:val="00D91FCE"/>
    <w:rsid w:val="00D91FD0"/>
    <w:rsid w:val="00D9203B"/>
    <w:rsid w:val="00D920AF"/>
    <w:rsid w:val="00D92299"/>
    <w:rsid w:val="00D922BC"/>
    <w:rsid w:val="00D9246C"/>
    <w:rsid w:val="00D924A8"/>
    <w:rsid w:val="00D925DF"/>
    <w:rsid w:val="00D92683"/>
    <w:rsid w:val="00D926F3"/>
    <w:rsid w:val="00D928C7"/>
    <w:rsid w:val="00D928E5"/>
    <w:rsid w:val="00D92904"/>
    <w:rsid w:val="00D92B1A"/>
    <w:rsid w:val="00D92B98"/>
    <w:rsid w:val="00D92CB5"/>
    <w:rsid w:val="00D92E28"/>
    <w:rsid w:val="00D92EB1"/>
    <w:rsid w:val="00D92EE5"/>
    <w:rsid w:val="00D92F71"/>
    <w:rsid w:val="00D930EE"/>
    <w:rsid w:val="00D93261"/>
    <w:rsid w:val="00D93283"/>
    <w:rsid w:val="00D9355C"/>
    <w:rsid w:val="00D936F2"/>
    <w:rsid w:val="00D93739"/>
    <w:rsid w:val="00D93742"/>
    <w:rsid w:val="00D937B6"/>
    <w:rsid w:val="00D938B4"/>
    <w:rsid w:val="00D938C1"/>
    <w:rsid w:val="00D938F4"/>
    <w:rsid w:val="00D93A01"/>
    <w:rsid w:val="00D93A8D"/>
    <w:rsid w:val="00D93B87"/>
    <w:rsid w:val="00D93CCE"/>
    <w:rsid w:val="00D93D19"/>
    <w:rsid w:val="00D93D4D"/>
    <w:rsid w:val="00D93F06"/>
    <w:rsid w:val="00D93F24"/>
    <w:rsid w:val="00D93F7C"/>
    <w:rsid w:val="00D93F85"/>
    <w:rsid w:val="00D94000"/>
    <w:rsid w:val="00D940B2"/>
    <w:rsid w:val="00D94247"/>
    <w:rsid w:val="00D94270"/>
    <w:rsid w:val="00D942ED"/>
    <w:rsid w:val="00D94434"/>
    <w:rsid w:val="00D9449D"/>
    <w:rsid w:val="00D945C3"/>
    <w:rsid w:val="00D947DB"/>
    <w:rsid w:val="00D94980"/>
    <w:rsid w:val="00D949CF"/>
    <w:rsid w:val="00D94C27"/>
    <w:rsid w:val="00D94F4F"/>
    <w:rsid w:val="00D94F66"/>
    <w:rsid w:val="00D94F7F"/>
    <w:rsid w:val="00D95058"/>
    <w:rsid w:val="00D950CD"/>
    <w:rsid w:val="00D95166"/>
    <w:rsid w:val="00D951C7"/>
    <w:rsid w:val="00D95249"/>
    <w:rsid w:val="00D95255"/>
    <w:rsid w:val="00D95400"/>
    <w:rsid w:val="00D95653"/>
    <w:rsid w:val="00D95685"/>
    <w:rsid w:val="00D956FB"/>
    <w:rsid w:val="00D95728"/>
    <w:rsid w:val="00D95730"/>
    <w:rsid w:val="00D95B83"/>
    <w:rsid w:val="00D95B9B"/>
    <w:rsid w:val="00D95C2B"/>
    <w:rsid w:val="00D95E1E"/>
    <w:rsid w:val="00D95EA6"/>
    <w:rsid w:val="00D96595"/>
    <w:rsid w:val="00D965B1"/>
    <w:rsid w:val="00D96602"/>
    <w:rsid w:val="00D966D0"/>
    <w:rsid w:val="00D96785"/>
    <w:rsid w:val="00D96874"/>
    <w:rsid w:val="00D9693A"/>
    <w:rsid w:val="00D96AE6"/>
    <w:rsid w:val="00D96CA1"/>
    <w:rsid w:val="00D96CEC"/>
    <w:rsid w:val="00D96D7D"/>
    <w:rsid w:val="00D96DD1"/>
    <w:rsid w:val="00D96E27"/>
    <w:rsid w:val="00D96EE0"/>
    <w:rsid w:val="00D97001"/>
    <w:rsid w:val="00D97050"/>
    <w:rsid w:val="00D972AF"/>
    <w:rsid w:val="00D972D0"/>
    <w:rsid w:val="00D972FB"/>
    <w:rsid w:val="00D97368"/>
    <w:rsid w:val="00D9736A"/>
    <w:rsid w:val="00D974CD"/>
    <w:rsid w:val="00D9752F"/>
    <w:rsid w:val="00D97609"/>
    <w:rsid w:val="00D9760E"/>
    <w:rsid w:val="00D97831"/>
    <w:rsid w:val="00D979C0"/>
    <w:rsid w:val="00D97A2E"/>
    <w:rsid w:val="00D97A41"/>
    <w:rsid w:val="00D97C7A"/>
    <w:rsid w:val="00DA0070"/>
    <w:rsid w:val="00DA00B3"/>
    <w:rsid w:val="00DA011D"/>
    <w:rsid w:val="00DA0226"/>
    <w:rsid w:val="00DA02E6"/>
    <w:rsid w:val="00DA0492"/>
    <w:rsid w:val="00DA04B5"/>
    <w:rsid w:val="00DA0518"/>
    <w:rsid w:val="00DA0568"/>
    <w:rsid w:val="00DA0617"/>
    <w:rsid w:val="00DA062E"/>
    <w:rsid w:val="00DA074C"/>
    <w:rsid w:val="00DA074F"/>
    <w:rsid w:val="00DA0769"/>
    <w:rsid w:val="00DA089B"/>
    <w:rsid w:val="00DA0A3B"/>
    <w:rsid w:val="00DA0AEC"/>
    <w:rsid w:val="00DA0B70"/>
    <w:rsid w:val="00DA0CEB"/>
    <w:rsid w:val="00DA0D8D"/>
    <w:rsid w:val="00DA0E95"/>
    <w:rsid w:val="00DA0FE6"/>
    <w:rsid w:val="00DA1010"/>
    <w:rsid w:val="00DA105E"/>
    <w:rsid w:val="00DA10DB"/>
    <w:rsid w:val="00DA11A1"/>
    <w:rsid w:val="00DA11ED"/>
    <w:rsid w:val="00DA12C2"/>
    <w:rsid w:val="00DA1491"/>
    <w:rsid w:val="00DA14F7"/>
    <w:rsid w:val="00DA1554"/>
    <w:rsid w:val="00DA159D"/>
    <w:rsid w:val="00DA1672"/>
    <w:rsid w:val="00DA1719"/>
    <w:rsid w:val="00DA184B"/>
    <w:rsid w:val="00DA18FB"/>
    <w:rsid w:val="00DA1B49"/>
    <w:rsid w:val="00DA1B75"/>
    <w:rsid w:val="00DA1C6C"/>
    <w:rsid w:val="00DA1E9D"/>
    <w:rsid w:val="00DA1EDA"/>
    <w:rsid w:val="00DA1F3A"/>
    <w:rsid w:val="00DA1F8E"/>
    <w:rsid w:val="00DA1FE3"/>
    <w:rsid w:val="00DA1FEA"/>
    <w:rsid w:val="00DA2000"/>
    <w:rsid w:val="00DA219D"/>
    <w:rsid w:val="00DA21B3"/>
    <w:rsid w:val="00DA2347"/>
    <w:rsid w:val="00DA23DE"/>
    <w:rsid w:val="00DA25B6"/>
    <w:rsid w:val="00DA2650"/>
    <w:rsid w:val="00DA267C"/>
    <w:rsid w:val="00DA2723"/>
    <w:rsid w:val="00DA28F9"/>
    <w:rsid w:val="00DA2C7A"/>
    <w:rsid w:val="00DA2CFE"/>
    <w:rsid w:val="00DA2F0D"/>
    <w:rsid w:val="00DA2F85"/>
    <w:rsid w:val="00DA2FC8"/>
    <w:rsid w:val="00DA3069"/>
    <w:rsid w:val="00DA3094"/>
    <w:rsid w:val="00DA31F3"/>
    <w:rsid w:val="00DA3265"/>
    <w:rsid w:val="00DA328E"/>
    <w:rsid w:val="00DA3388"/>
    <w:rsid w:val="00DA33A8"/>
    <w:rsid w:val="00DA376B"/>
    <w:rsid w:val="00DA37C2"/>
    <w:rsid w:val="00DA3AB3"/>
    <w:rsid w:val="00DA3ABF"/>
    <w:rsid w:val="00DA3C98"/>
    <w:rsid w:val="00DA3CF6"/>
    <w:rsid w:val="00DA3E51"/>
    <w:rsid w:val="00DA3E9C"/>
    <w:rsid w:val="00DA3F37"/>
    <w:rsid w:val="00DA3FC1"/>
    <w:rsid w:val="00DA431F"/>
    <w:rsid w:val="00DA4321"/>
    <w:rsid w:val="00DA440B"/>
    <w:rsid w:val="00DA44E5"/>
    <w:rsid w:val="00DA45F1"/>
    <w:rsid w:val="00DA4604"/>
    <w:rsid w:val="00DA4638"/>
    <w:rsid w:val="00DA486C"/>
    <w:rsid w:val="00DA493B"/>
    <w:rsid w:val="00DA494C"/>
    <w:rsid w:val="00DA4A0C"/>
    <w:rsid w:val="00DA4A7C"/>
    <w:rsid w:val="00DA4AAB"/>
    <w:rsid w:val="00DA4AC9"/>
    <w:rsid w:val="00DA4B1C"/>
    <w:rsid w:val="00DA4DF2"/>
    <w:rsid w:val="00DA4DF9"/>
    <w:rsid w:val="00DA4E04"/>
    <w:rsid w:val="00DA4E0A"/>
    <w:rsid w:val="00DA4EC4"/>
    <w:rsid w:val="00DA4F17"/>
    <w:rsid w:val="00DA51E1"/>
    <w:rsid w:val="00DA51EE"/>
    <w:rsid w:val="00DA52D8"/>
    <w:rsid w:val="00DA53BD"/>
    <w:rsid w:val="00DA5496"/>
    <w:rsid w:val="00DA560B"/>
    <w:rsid w:val="00DA56B0"/>
    <w:rsid w:val="00DA56B1"/>
    <w:rsid w:val="00DA579F"/>
    <w:rsid w:val="00DA57D5"/>
    <w:rsid w:val="00DA5945"/>
    <w:rsid w:val="00DA5A11"/>
    <w:rsid w:val="00DA5BBD"/>
    <w:rsid w:val="00DA5C2C"/>
    <w:rsid w:val="00DA5E03"/>
    <w:rsid w:val="00DA5E68"/>
    <w:rsid w:val="00DA5FC9"/>
    <w:rsid w:val="00DA5FFD"/>
    <w:rsid w:val="00DA6069"/>
    <w:rsid w:val="00DA6094"/>
    <w:rsid w:val="00DA610F"/>
    <w:rsid w:val="00DA615E"/>
    <w:rsid w:val="00DA6175"/>
    <w:rsid w:val="00DA6212"/>
    <w:rsid w:val="00DA6215"/>
    <w:rsid w:val="00DA628D"/>
    <w:rsid w:val="00DA65E2"/>
    <w:rsid w:val="00DA65E8"/>
    <w:rsid w:val="00DA67E0"/>
    <w:rsid w:val="00DA6874"/>
    <w:rsid w:val="00DA698A"/>
    <w:rsid w:val="00DA69A7"/>
    <w:rsid w:val="00DA6AD1"/>
    <w:rsid w:val="00DA6BC0"/>
    <w:rsid w:val="00DA6D59"/>
    <w:rsid w:val="00DA6F72"/>
    <w:rsid w:val="00DA7005"/>
    <w:rsid w:val="00DA703A"/>
    <w:rsid w:val="00DA71F1"/>
    <w:rsid w:val="00DA721D"/>
    <w:rsid w:val="00DA728F"/>
    <w:rsid w:val="00DA7387"/>
    <w:rsid w:val="00DA743A"/>
    <w:rsid w:val="00DA7515"/>
    <w:rsid w:val="00DA78CB"/>
    <w:rsid w:val="00DA79D4"/>
    <w:rsid w:val="00DA79DC"/>
    <w:rsid w:val="00DA7AAA"/>
    <w:rsid w:val="00DA7C98"/>
    <w:rsid w:val="00DA7D6C"/>
    <w:rsid w:val="00DA7DA2"/>
    <w:rsid w:val="00DA7DA7"/>
    <w:rsid w:val="00DA7FE8"/>
    <w:rsid w:val="00DB0191"/>
    <w:rsid w:val="00DB01B4"/>
    <w:rsid w:val="00DB0333"/>
    <w:rsid w:val="00DB0375"/>
    <w:rsid w:val="00DB04EB"/>
    <w:rsid w:val="00DB0537"/>
    <w:rsid w:val="00DB077B"/>
    <w:rsid w:val="00DB0893"/>
    <w:rsid w:val="00DB0A3B"/>
    <w:rsid w:val="00DB0AB3"/>
    <w:rsid w:val="00DB0B02"/>
    <w:rsid w:val="00DB0BD6"/>
    <w:rsid w:val="00DB0C07"/>
    <w:rsid w:val="00DB0EEE"/>
    <w:rsid w:val="00DB0F41"/>
    <w:rsid w:val="00DB0FC6"/>
    <w:rsid w:val="00DB1057"/>
    <w:rsid w:val="00DB106B"/>
    <w:rsid w:val="00DB1122"/>
    <w:rsid w:val="00DB1257"/>
    <w:rsid w:val="00DB12D5"/>
    <w:rsid w:val="00DB13A9"/>
    <w:rsid w:val="00DB15A2"/>
    <w:rsid w:val="00DB17D2"/>
    <w:rsid w:val="00DB19DB"/>
    <w:rsid w:val="00DB1AAD"/>
    <w:rsid w:val="00DB1B88"/>
    <w:rsid w:val="00DB1D17"/>
    <w:rsid w:val="00DB1E9B"/>
    <w:rsid w:val="00DB1F03"/>
    <w:rsid w:val="00DB20AB"/>
    <w:rsid w:val="00DB20AD"/>
    <w:rsid w:val="00DB215F"/>
    <w:rsid w:val="00DB21C4"/>
    <w:rsid w:val="00DB2419"/>
    <w:rsid w:val="00DB2497"/>
    <w:rsid w:val="00DB24B9"/>
    <w:rsid w:val="00DB2571"/>
    <w:rsid w:val="00DB259A"/>
    <w:rsid w:val="00DB2D94"/>
    <w:rsid w:val="00DB2DBD"/>
    <w:rsid w:val="00DB2DC3"/>
    <w:rsid w:val="00DB2ECF"/>
    <w:rsid w:val="00DB31A5"/>
    <w:rsid w:val="00DB32BD"/>
    <w:rsid w:val="00DB334C"/>
    <w:rsid w:val="00DB33BD"/>
    <w:rsid w:val="00DB33C4"/>
    <w:rsid w:val="00DB34B1"/>
    <w:rsid w:val="00DB363F"/>
    <w:rsid w:val="00DB3679"/>
    <w:rsid w:val="00DB376F"/>
    <w:rsid w:val="00DB381E"/>
    <w:rsid w:val="00DB3936"/>
    <w:rsid w:val="00DB3985"/>
    <w:rsid w:val="00DB3A74"/>
    <w:rsid w:val="00DB3AB7"/>
    <w:rsid w:val="00DB3D43"/>
    <w:rsid w:val="00DB3E20"/>
    <w:rsid w:val="00DB3EAF"/>
    <w:rsid w:val="00DB3FB6"/>
    <w:rsid w:val="00DB3FE8"/>
    <w:rsid w:val="00DB4034"/>
    <w:rsid w:val="00DB4318"/>
    <w:rsid w:val="00DB4382"/>
    <w:rsid w:val="00DB439A"/>
    <w:rsid w:val="00DB441F"/>
    <w:rsid w:val="00DB4721"/>
    <w:rsid w:val="00DB47A7"/>
    <w:rsid w:val="00DB48CD"/>
    <w:rsid w:val="00DB48D1"/>
    <w:rsid w:val="00DB48E7"/>
    <w:rsid w:val="00DB49DD"/>
    <w:rsid w:val="00DB4B2E"/>
    <w:rsid w:val="00DB4BD3"/>
    <w:rsid w:val="00DB4C84"/>
    <w:rsid w:val="00DB4CF5"/>
    <w:rsid w:val="00DB4D04"/>
    <w:rsid w:val="00DB4E33"/>
    <w:rsid w:val="00DB4ECC"/>
    <w:rsid w:val="00DB4F22"/>
    <w:rsid w:val="00DB509C"/>
    <w:rsid w:val="00DB50CF"/>
    <w:rsid w:val="00DB50DD"/>
    <w:rsid w:val="00DB51BC"/>
    <w:rsid w:val="00DB535D"/>
    <w:rsid w:val="00DB566D"/>
    <w:rsid w:val="00DB56E8"/>
    <w:rsid w:val="00DB57B2"/>
    <w:rsid w:val="00DB587D"/>
    <w:rsid w:val="00DB5886"/>
    <w:rsid w:val="00DB58C9"/>
    <w:rsid w:val="00DB5970"/>
    <w:rsid w:val="00DB5BF9"/>
    <w:rsid w:val="00DB5D03"/>
    <w:rsid w:val="00DB5D5F"/>
    <w:rsid w:val="00DB5E1E"/>
    <w:rsid w:val="00DB5EB2"/>
    <w:rsid w:val="00DB61D3"/>
    <w:rsid w:val="00DB6237"/>
    <w:rsid w:val="00DB630A"/>
    <w:rsid w:val="00DB63B8"/>
    <w:rsid w:val="00DB654B"/>
    <w:rsid w:val="00DB65CA"/>
    <w:rsid w:val="00DB664D"/>
    <w:rsid w:val="00DB68B9"/>
    <w:rsid w:val="00DB69D8"/>
    <w:rsid w:val="00DB6BBC"/>
    <w:rsid w:val="00DB6BF3"/>
    <w:rsid w:val="00DB6C37"/>
    <w:rsid w:val="00DB6D2A"/>
    <w:rsid w:val="00DB6D4C"/>
    <w:rsid w:val="00DB6E75"/>
    <w:rsid w:val="00DB6F14"/>
    <w:rsid w:val="00DB6FD7"/>
    <w:rsid w:val="00DB72E1"/>
    <w:rsid w:val="00DB72E7"/>
    <w:rsid w:val="00DB735D"/>
    <w:rsid w:val="00DB750A"/>
    <w:rsid w:val="00DB7656"/>
    <w:rsid w:val="00DB7877"/>
    <w:rsid w:val="00DB7AF2"/>
    <w:rsid w:val="00DB7BEA"/>
    <w:rsid w:val="00DB7E9D"/>
    <w:rsid w:val="00DB7F6F"/>
    <w:rsid w:val="00DC0096"/>
    <w:rsid w:val="00DC0274"/>
    <w:rsid w:val="00DC035C"/>
    <w:rsid w:val="00DC039E"/>
    <w:rsid w:val="00DC0526"/>
    <w:rsid w:val="00DC0A17"/>
    <w:rsid w:val="00DC0A6C"/>
    <w:rsid w:val="00DC0BB3"/>
    <w:rsid w:val="00DC0CF2"/>
    <w:rsid w:val="00DC0D24"/>
    <w:rsid w:val="00DC0D34"/>
    <w:rsid w:val="00DC0FF0"/>
    <w:rsid w:val="00DC103A"/>
    <w:rsid w:val="00DC10A6"/>
    <w:rsid w:val="00DC10C7"/>
    <w:rsid w:val="00DC11A0"/>
    <w:rsid w:val="00DC11AE"/>
    <w:rsid w:val="00DC1232"/>
    <w:rsid w:val="00DC1381"/>
    <w:rsid w:val="00DC1544"/>
    <w:rsid w:val="00DC15D3"/>
    <w:rsid w:val="00DC167C"/>
    <w:rsid w:val="00DC1695"/>
    <w:rsid w:val="00DC170A"/>
    <w:rsid w:val="00DC17AF"/>
    <w:rsid w:val="00DC18AE"/>
    <w:rsid w:val="00DC1912"/>
    <w:rsid w:val="00DC1946"/>
    <w:rsid w:val="00DC1B84"/>
    <w:rsid w:val="00DC1CAE"/>
    <w:rsid w:val="00DC1CD0"/>
    <w:rsid w:val="00DC1DEA"/>
    <w:rsid w:val="00DC1DF8"/>
    <w:rsid w:val="00DC1F38"/>
    <w:rsid w:val="00DC1FB9"/>
    <w:rsid w:val="00DC2094"/>
    <w:rsid w:val="00DC20A5"/>
    <w:rsid w:val="00DC211D"/>
    <w:rsid w:val="00DC21C5"/>
    <w:rsid w:val="00DC2312"/>
    <w:rsid w:val="00DC2369"/>
    <w:rsid w:val="00DC2418"/>
    <w:rsid w:val="00DC2504"/>
    <w:rsid w:val="00DC2564"/>
    <w:rsid w:val="00DC25DE"/>
    <w:rsid w:val="00DC25ED"/>
    <w:rsid w:val="00DC27C6"/>
    <w:rsid w:val="00DC27EA"/>
    <w:rsid w:val="00DC2824"/>
    <w:rsid w:val="00DC28B4"/>
    <w:rsid w:val="00DC29B4"/>
    <w:rsid w:val="00DC2AD1"/>
    <w:rsid w:val="00DC2BBE"/>
    <w:rsid w:val="00DC2BDE"/>
    <w:rsid w:val="00DC2D7B"/>
    <w:rsid w:val="00DC2EF8"/>
    <w:rsid w:val="00DC2FBC"/>
    <w:rsid w:val="00DC3207"/>
    <w:rsid w:val="00DC321C"/>
    <w:rsid w:val="00DC330A"/>
    <w:rsid w:val="00DC3323"/>
    <w:rsid w:val="00DC33B5"/>
    <w:rsid w:val="00DC3420"/>
    <w:rsid w:val="00DC354D"/>
    <w:rsid w:val="00DC3585"/>
    <w:rsid w:val="00DC3792"/>
    <w:rsid w:val="00DC38D3"/>
    <w:rsid w:val="00DC391F"/>
    <w:rsid w:val="00DC3A6D"/>
    <w:rsid w:val="00DC3B2F"/>
    <w:rsid w:val="00DC3CEC"/>
    <w:rsid w:val="00DC3DEF"/>
    <w:rsid w:val="00DC3EA8"/>
    <w:rsid w:val="00DC3F31"/>
    <w:rsid w:val="00DC41EC"/>
    <w:rsid w:val="00DC42CB"/>
    <w:rsid w:val="00DC4345"/>
    <w:rsid w:val="00DC4372"/>
    <w:rsid w:val="00DC4373"/>
    <w:rsid w:val="00DC4377"/>
    <w:rsid w:val="00DC457D"/>
    <w:rsid w:val="00DC45C0"/>
    <w:rsid w:val="00DC4A01"/>
    <w:rsid w:val="00DC4BDA"/>
    <w:rsid w:val="00DC4E66"/>
    <w:rsid w:val="00DC4EEB"/>
    <w:rsid w:val="00DC4F29"/>
    <w:rsid w:val="00DC5088"/>
    <w:rsid w:val="00DC51D5"/>
    <w:rsid w:val="00DC526D"/>
    <w:rsid w:val="00DC531F"/>
    <w:rsid w:val="00DC545A"/>
    <w:rsid w:val="00DC54B2"/>
    <w:rsid w:val="00DC550F"/>
    <w:rsid w:val="00DC5661"/>
    <w:rsid w:val="00DC56A3"/>
    <w:rsid w:val="00DC5871"/>
    <w:rsid w:val="00DC58D9"/>
    <w:rsid w:val="00DC5AA9"/>
    <w:rsid w:val="00DC5B04"/>
    <w:rsid w:val="00DC5C09"/>
    <w:rsid w:val="00DC5D22"/>
    <w:rsid w:val="00DC5EEE"/>
    <w:rsid w:val="00DC5FF0"/>
    <w:rsid w:val="00DC5FF8"/>
    <w:rsid w:val="00DC600A"/>
    <w:rsid w:val="00DC602F"/>
    <w:rsid w:val="00DC604B"/>
    <w:rsid w:val="00DC614A"/>
    <w:rsid w:val="00DC6383"/>
    <w:rsid w:val="00DC64E4"/>
    <w:rsid w:val="00DC6721"/>
    <w:rsid w:val="00DC6C5A"/>
    <w:rsid w:val="00DC6DC5"/>
    <w:rsid w:val="00DC6DEA"/>
    <w:rsid w:val="00DC6F4F"/>
    <w:rsid w:val="00DC712D"/>
    <w:rsid w:val="00DC73A4"/>
    <w:rsid w:val="00DC7459"/>
    <w:rsid w:val="00DC74E2"/>
    <w:rsid w:val="00DC757A"/>
    <w:rsid w:val="00DC759F"/>
    <w:rsid w:val="00DC76C7"/>
    <w:rsid w:val="00DC77ED"/>
    <w:rsid w:val="00DC7872"/>
    <w:rsid w:val="00DC797A"/>
    <w:rsid w:val="00DC79A4"/>
    <w:rsid w:val="00DC7BD1"/>
    <w:rsid w:val="00DC7CD1"/>
    <w:rsid w:val="00DC7CD6"/>
    <w:rsid w:val="00DC7D39"/>
    <w:rsid w:val="00DC7DD6"/>
    <w:rsid w:val="00DC7E3F"/>
    <w:rsid w:val="00DD000B"/>
    <w:rsid w:val="00DD0053"/>
    <w:rsid w:val="00DD006B"/>
    <w:rsid w:val="00DD015A"/>
    <w:rsid w:val="00DD025F"/>
    <w:rsid w:val="00DD02A4"/>
    <w:rsid w:val="00DD02A9"/>
    <w:rsid w:val="00DD030D"/>
    <w:rsid w:val="00DD03ED"/>
    <w:rsid w:val="00DD0442"/>
    <w:rsid w:val="00DD0548"/>
    <w:rsid w:val="00DD0580"/>
    <w:rsid w:val="00DD087A"/>
    <w:rsid w:val="00DD09B7"/>
    <w:rsid w:val="00DD0BF5"/>
    <w:rsid w:val="00DD0C79"/>
    <w:rsid w:val="00DD0E46"/>
    <w:rsid w:val="00DD0EF7"/>
    <w:rsid w:val="00DD0F0E"/>
    <w:rsid w:val="00DD0F57"/>
    <w:rsid w:val="00DD0F5B"/>
    <w:rsid w:val="00DD0FA0"/>
    <w:rsid w:val="00DD11A7"/>
    <w:rsid w:val="00DD1489"/>
    <w:rsid w:val="00DD1540"/>
    <w:rsid w:val="00DD167A"/>
    <w:rsid w:val="00DD1688"/>
    <w:rsid w:val="00DD1997"/>
    <w:rsid w:val="00DD1C0E"/>
    <w:rsid w:val="00DD1CBD"/>
    <w:rsid w:val="00DD1EC4"/>
    <w:rsid w:val="00DD20D9"/>
    <w:rsid w:val="00DD210D"/>
    <w:rsid w:val="00DD2338"/>
    <w:rsid w:val="00DD235A"/>
    <w:rsid w:val="00DD2389"/>
    <w:rsid w:val="00DD241E"/>
    <w:rsid w:val="00DD2551"/>
    <w:rsid w:val="00DD27A7"/>
    <w:rsid w:val="00DD2894"/>
    <w:rsid w:val="00DD28F7"/>
    <w:rsid w:val="00DD2900"/>
    <w:rsid w:val="00DD2A66"/>
    <w:rsid w:val="00DD2B3C"/>
    <w:rsid w:val="00DD2B62"/>
    <w:rsid w:val="00DD2BB8"/>
    <w:rsid w:val="00DD2CCC"/>
    <w:rsid w:val="00DD2DB9"/>
    <w:rsid w:val="00DD2E25"/>
    <w:rsid w:val="00DD2EBA"/>
    <w:rsid w:val="00DD2EE9"/>
    <w:rsid w:val="00DD2FB1"/>
    <w:rsid w:val="00DD3161"/>
    <w:rsid w:val="00DD3168"/>
    <w:rsid w:val="00DD3285"/>
    <w:rsid w:val="00DD36BF"/>
    <w:rsid w:val="00DD36D9"/>
    <w:rsid w:val="00DD36E9"/>
    <w:rsid w:val="00DD3A37"/>
    <w:rsid w:val="00DD3B4F"/>
    <w:rsid w:val="00DD3E56"/>
    <w:rsid w:val="00DD3F44"/>
    <w:rsid w:val="00DD409E"/>
    <w:rsid w:val="00DD43F3"/>
    <w:rsid w:val="00DD445D"/>
    <w:rsid w:val="00DD4515"/>
    <w:rsid w:val="00DD46A9"/>
    <w:rsid w:val="00DD46D1"/>
    <w:rsid w:val="00DD4714"/>
    <w:rsid w:val="00DD481C"/>
    <w:rsid w:val="00DD48A4"/>
    <w:rsid w:val="00DD48B2"/>
    <w:rsid w:val="00DD48BD"/>
    <w:rsid w:val="00DD4909"/>
    <w:rsid w:val="00DD4973"/>
    <w:rsid w:val="00DD49C2"/>
    <w:rsid w:val="00DD4B8E"/>
    <w:rsid w:val="00DD4BBA"/>
    <w:rsid w:val="00DD4BC3"/>
    <w:rsid w:val="00DD4D14"/>
    <w:rsid w:val="00DD4E75"/>
    <w:rsid w:val="00DD4F02"/>
    <w:rsid w:val="00DD4F42"/>
    <w:rsid w:val="00DD5041"/>
    <w:rsid w:val="00DD5092"/>
    <w:rsid w:val="00DD50F6"/>
    <w:rsid w:val="00DD52C6"/>
    <w:rsid w:val="00DD53B4"/>
    <w:rsid w:val="00DD547F"/>
    <w:rsid w:val="00DD55A0"/>
    <w:rsid w:val="00DD5738"/>
    <w:rsid w:val="00DD58AC"/>
    <w:rsid w:val="00DD5A48"/>
    <w:rsid w:val="00DD5A56"/>
    <w:rsid w:val="00DD5A62"/>
    <w:rsid w:val="00DD5BCB"/>
    <w:rsid w:val="00DD5C62"/>
    <w:rsid w:val="00DD5D6F"/>
    <w:rsid w:val="00DD5E1D"/>
    <w:rsid w:val="00DD5E82"/>
    <w:rsid w:val="00DD609B"/>
    <w:rsid w:val="00DD6144"/>
    <w:rsid w:val="00DD634D"/>
    <w:rsid w:val="00DD63E6"/>
    <w:rsid w:val="00DD64AA"/>
    <w:rsid w:val="00DD65B0"/>
    <w:rsid w:val="00DD65E3"/>
    <w:rsid w:val="00DD662A"/>
    <w:rsid w:val="00DD6758"/>
    <w:rsid w:val="00DD67AF"/>
    <w:rsid w:val="00DD67BE"/>
    <w:rsid w:val="00DD691A"/>
    <w:rsid w:val="00DD6943"/>
    <w:rsid w:val="00DD6972"/>
    <w:rsid w:val="00DD69FE"/>
    <w:rsid w:val="00DD6A69"/>
    <w:rsid w:val="00DD6BFC"/>
    <w:rsid w:val="00DD6C3A"/>
    <w:rsid w:val="00DD6C61"/>
    <w:rsid w:val="00DD6CB6"/>
    <w:rsid w:val="00DD6E0A"/>
    <w:rsid w:val="00DD6FA1"/>
    <w:rsid w:val="00DD6FF0"/>
    <w:rsid w:val="00DD70D8"/>
    <w:rsid w:val="00DD714B"/>
    <w:rsid w:val="00DD719B"/>
    <w:rsid w:val="00DD7360"/>
    <w:rsid w:val="00DD73CF"/>
    <w:rsid w:val="00DD7456"/>
    <w:rsid w:val="00DD7477"/>
    <w:rsid w:val="00DD7529"/>
    <w:rsid w:val="00DD7560"/>
    <w:rsid w:val="00DD77E7"/>
    <w:rsid w:val="00DD78FA"/>
    <w:rsid w:val="00DD792D"/>
    <w:rsid w:val="00DD7AE7"/>
    <w:rsid w:val="00DD7B87"/>
    <w:rsid w:val="00DD7C27"/>
    <w:rsid w:val="00DD7C69"/>
    <w:rsid w:val="00DD7C91"/>
    <w:rsid w:val="00DD7C92"/>
    <w:rsid w:val="00DD7D25"/>
    <w:rsid w:val="00DD7D72"/>
    <w:rsid w:val="00DD7DC4"/>
    <w:rsid w:val="00DD7EAF"/>
    <w:rsid w:val="00DD7F58"/>
    <w:rsid w:val="00DD7FE2"/>
    <w:rsid w:val="00DE004F"/>
    <w:rsid w:val="00DE0110"/>
    <w:rsid w:val="00DE01D8"/>
    <w:rsid w:val="00DE03BA"/>
    <w:rsid w:val="00DE03EE"/>
    <w:rsid w:val="00DE0514"/>
    <w:rsid w:val="00DE0A96"/>
    <w:rsid w:val="00DE0C3C"/>
    <w:rsid w:val="00DE0D8E"/>
    <w:rsid w:val="00DE0DF8"/>
    <w:rsid w:val="00DE0EC4"/>
    <w:rsid w:val="00DE11DD"/>
    <w:rsid w:val="00DE13C9"/>
    <w:rsid w:val="00DE1402"/>
    <w:rsid w:val="00DE150E"/>
    <w:rsid w:val="00DE166E"/>
    <w:rsid w:val="00DE16B6"/>
    <w:rsid w:val="00DE16C5"/>
    <w:rsid w:val="00DE1751"/>
    <w:rsid w:val="00DE18E9"/>
    <w:rsid w:val="00DE1947"/>
    <w:rsid w:val="00DE1A38"/>
    <w:rsid w:val="00DE1C70"/>
    <w:rsid w:val="00DE1F04"/>
    <w:rsid w:val="00DE1F94"/>
    <w:rsid w:val="00DE2048"/>
    <w:rsid w:val="00DE21BC"/>
    <w:rsid w:val="00DE2217"/>
    <w:rsid w:val="00DE224D"/>
    <w:rsid w:val="00DE2278"/>
    <w:rsid w:val="00DE239F"/>
    <w:rsid w:val="00DE24EE"/>
    <w:rsid w:val="00DE271C"/>
    <w:rsid w:val="00DE2805"/>
    <w:rsid w:val="00DE2839"/>
    <w:rsid w:val="00DE2B02"/>
    <w:rsid w:val="00DE2B1D"/>
    <w:rsid w:val="00DE2B77"/>
    <w:rsid w:val="00DE2BBC"/>
    <w:rsid w:val="00DE2D3B"/>
    <w:rsid w:val="00DE31AE"/>
    <w:rsid w:val="00DE3230"/>
    <w:rsid w:val="00DE3307"/>
    <w:rsid w:val="00DE3321"/>
    <w:rsid w:val="00DE334B"/>
    <w:rsid w:val="00DE344B"/>
    <w:rsid w:val="00DE3607"/>
    <w:rsid w:val="00DE370D"/>
    <w:rsid w:val="00DE384A"/>
    <w:rsid w:val="00DE38F4"/>
    <w:rsid w:val="00DE397E"/>
    <w:rsid w:val="00DE3B2A"/>
    <w:rsid w:val="00DE3B5E"/>
    <w:rsid w:val="00DE3BF9"/>
    <w:rsid w:val="00DE3C06"/>
    <w:rsid w:val="00DE3E5E"/>
    <w:rsid w:val="00DE3ED7"/>
    <w:rsid w:val="00DE3FAE"/>
    <w:rsid w:val="00DE4065"/>
    <w:rsid w:val="00DE41B4"/>
    <w:rsid w:val="00DE4215"/>
    <w:rsid w:val="00DE429D"/>
    <w:rsid w:val="00DE42C2"/>
    <w:rsid w:val="00DE432B"/>
    <w:rsid w:val="00DE46CE"/>
    <w:rsid w:val="00DE473A"/>
    <w:rsid w:val="00DE4920"/>
    <w:rsid w:val="00DE49E5"/>
    <w:rsid w:val="00DE4A20"/>
    <w:rsid w:val="00DE4ADF"/>
    <w:rsid w:val="00DE4B80"/>
    <w:rsid w:val="00DE4C51"/>
    <w:rsid w:val="00DE4CC6"/>
    <w:rsid w:val="00DE4CE0"/>
    <w:rsid w:val="00DE4D5D"/>
    <w:rsid w:val="00DE4D6F"/>
    <w:rsid w:val="00DE4DC5"/>
    <w:rsid w:val="00DE4E5D"/>
    <w:rsid w:val="00DE4E8C"/>
    <w:rsid w:val="00DE4F97"/>
    <w:rsid w:val="00DE502F"/>
    <w:rsid w:val="00DE5135"/>
    <w:rsid w:val="00DE5170"/>
    <w:rsid w:val="00DE52F5"/>
    <w:rsid w:val="00DE54A6"/>
    <w:rsid w:val="00DE56B1"/>
    <w:rsid w:val="00DE56CD"/>
    <w:rsid w:val="00DE5714"/>
    <w:rsid w:val="00DE5879"/>
    <w:rsid w:val="00DE587B"/>
    <w:rsid w:val="00DE58E0"/>
    <w:rsid w:val="00DE5915"/>
    <w:rsid w:val="00DE59EF"/>
    <w:rsid w:val="00DE5A2C"/>
    <w:rsid w:val="00DE5A83"/>
    <w:rsid w:val="00DE5AD4"/>
    <w:rsid w:val="00DE5AD8"/>
    <w:rsid w:val="00DE5B25"/>
    <w:rsid w:val="00DE5C95"/>
    <w:rsid w:val="00DE5D74"/>
    <w:rsid w:val="00DE5DD9"/>
    <w:rsid w:val="00DE5EA4"/>
    <w:rsid w:val="00DE5EE2"/>
    <w:rsid w:val="00DE5F03"/>
    <w:rsid w:val="00DE5F16"/>
    <w:rsid w:val="00DE6076"/>
    <w:rsid w:val="00DE6081"/>
    <w:rsid w:val="00DE6170"/>
    <w:rsid w:val="00DE628B"/>
    <w:rsid w:val="00DE62A9"/>
    <w:rsid w:val="00DE6315"/>
    <w:rsid w:val="00DE633A"/>
    <w:rsid w:val="00DE641C"/>
    <w:rsid w:val="00DE6590"/>
    <w:rsid w:val="00DE66B9"/>
    <w:rsid w:val="00DE674C"/>
    <w:rsid w:val="00DE677E"/>
    <w:rsid w:val="00DE67C2"/>
    <w:rsid w:val="00DE6900"/>
    <w:rsid w:val="00DE6A41"/>
    <w:rsid w:val="00DE6BAB"/>
    <w:rsid w:val="00DE6C0E"/>
    <w:rsid w:val="00DE6C43"/>
    <w:rsid w:val="00DE6C5E"/>
    <w:rsid w:val="00DE6CA9"/>
    <w:rsid w:val="00DE6D33"/>
    <w:rsid w:val="00DE6D74"/>
    <w:rsid w:val="00DE6DC2"/>
    <w:rsid w:val="00DE702C"/>
    <w:rsid w:val="00DE704D"/>
    <w:rsid w:val="00DE707F"/>
    <w:rsid w:val="00DE70DB"/>
    <w:rsid w:val="00DE71ED"/>
    <w:rsid w:val="00DE725C"/>
    <w:rsid w:val="00DE736F"/>
    <w:rsid w:val="00DE73FD"/>
    <w:rsid w:val="00DE751C"/>
    <w:rsid w:val="00DE7561"/>
    <w:rsid w:val="00DE761C"/>
    <w:rsid w:val="00DE7662"/>
    <w:rsid w:val="00DE7774"/>
    <w:rsid w:val="00DE7809"/>
    <w:rsid w:val="00DE7954"/>
    <w:rsid w:val="00DE7A26"/>
    <w:rsid w:val="00DE7AB5"/>
    <w:rsid w:val="00DE7AF5"/>
    <w:rsid w:val="00DE7C6F"/>
    <w:rsid w:val="00DE7D45"/>
    <w:rsid w:val="00DE7F66"/>
    <w:rsid w:val="00DE7F82"/>
    <w:rsid w:val="00DF0165"/>
    <w:rsid w:val="00DF0250"/>
    <w:rsid w:val="00DF0347"/>
    <w:rsid w:val="00DF036B"/>
    <w:rsid w:val="00DF03F2"/>
    <w:rsid w:val="00DF04AD"/>
    <w:rsid w:val="00DF04B1"/>
    <w:rsid w:val="00DF0545"/>
    <w:rsid w:val="00DF0571"/>
    <w:rsid w:val="00DF0696"/>
    <w:rsid w:val="00DF06CC"/>
    <w:rsid w:val="00DF0822"/>
    <w:rsid w:val="00DF0A7D"/>
    <w:rsid w:val="00DF0D56"/>
    <w:rsid w:val="00DF0E60"/>
    <w:rsid w:val="00DF0ED6"/>
    <w:rsid w:val="00DF0F01"/>
    <w:rsid w:val="00DF0F3A"/>
    <w:rsid w:val="00DF1056"/>
    <w:rsid w:val="00DF110C"/>
    <w:rsid w:val="00DF1134"/>
    <w:rsid w:val="00DF1194"/>
    <w:rsid w:val="00DF11B9"/>
    <w:rsid w:val="00DF1249"/>
    <w:rsid w:val="00DF130F"/>
    <w:rsid w:val="00DF13C7"/>
    <w:rsid w:val="00DF14E1"/>
    <w:rsid w:val="00DF1687"/>
    <w:rsid w:val="00DF16FA"/>
    <w:rsid w:val="00DF1715"/>
    <w:rsid w:val="00DF1739"/>
    <w:rsid w:val="00DF17FF"/>
    <w:rsid w:val="00DF1838"/>
    <w:rsid w:val="00DF18C5"/>
    <w:rsid w:val="00DF1AEA"/>
    <w:rsid w:val="00DF1BD7"/>
    <w:rsid w:val="00DF1F64"/>
    <w:rsid w:val="00DF201B"/>
    <w:rsid w:val="00DF2038"/>
    <w:rsid w:val="00DF2102"/>
    <w:rsid w:val="00DF2148"/>
    <w:rsid w:val="00DF218D"/>
    <w:rsid w:val="00DF21E8"/>
    <w:rsid w:val="00DF24D7"/>
    <w:rsid w:val="00DF2537"/>
    <w:rsid w:val="00DF25A9"/>
    <w:rsid w:val="00DF25C6"/>
    <w:rsid w:val="00DF2653"/>
    <w:rsid w:val="00DF26B6"/>
    <w:rsid w:val="00DF26D1"/>
    <w:rsid w:val="00DF28A9"/>
    <w:rsid w:val="00DF2BE0"/>
    <w:rsid w:val="00DF2DFD"/>
    <w:rsid w:val="00DF2E0C"/>
    <w:rsid w:val="00DF2E0E"/>
    <w:rsid w:val="00DF2E21"/>
    <w:rsid w:val="00DF2EDE"/>
    <w:rsid w:val="00DF3011"/>
    <w:rsid w:val="00DF31A0"/>
    <w:rsid w:val="00DF31A8"/>
    <w:rsid w:val="00DF326A"/>
    <w:rsid w:val="00DF333A"/>
    <w:rsid w:val="00DF33B9"/>
    <w:rsid w:val="00DF3523"/>
    <w:rsid w:val="00DF364E"/>
    <w:rsid w:val="00DF3662"/>
    <w:rsid w:val="00DF3825"/>
    <w:rsid w:val="00DF3849"/>
    <w:rsid w:val="00DF38A5"/>
    <w:rsid w:val="00DF3A73"/>
    <w:rsid w:val="00DF3AD1"/>
    <w:rsid w:val="00DF3B9A"/>
    <w:rsid w:val="00DF3BEB"/>
    <w:rsid w:val="00DF3F64"/>
    <w:rsid w:val="00DF4256"/>
    <w:rsid w:val="00DF4261"/>
    <w:rsid w:val="00DF4338"/>
    <w:rsid w:val="00DF4347"/>
    <w:rsid w:val="00DF43A7"/>
    <w:rsid w:val="00DF43C3"/>
    <w:rsid w:val="00DF46F5"/>
    <w:rsid w:val="00DF47C1"/>
    <w:rsid w:val="00DF4839"/>
    <w:rsid w:val="00DF4894"/>
    <w:rsid w:val="00DF48D3"/>
    <w:rsid w:val="00DF494F"/>
    <w:rsid w:val="00DF4A37"/>
    <w:rsid w:val="00DF4B7E"/>
    <w:rsid w:val="00DF4B9F"/>
    <w:rsid w:val="00DF4D22"/>
    <w:rsid w:val="00DF4DCF"/>
    <w:rsid w:val="00DF4E14"/>
    <w:rsid w:val="00DF4EBC"/>
    <w:rsid w:val="00DF5084"/>
    <w:rsid w:val="00DF52B8"/>
    <w:rsid w:val="00DF535F"/>
    <w:rsid w:val="00DF54B8"/>
    <w:rsid w:val="00DF557E"/>
    <w:rsid w:val="00DF55FE"/>
    <w:rsid w:val="00DF5635"/>
    <w:rsid w:val="00DF56C4"/>
    <w:rsid w:val="00DF57DA"/>
    <w:rsid w:val="00DF5958"/>
    <w:rsid w:val="00DF59BC"/>
    <w:rsid w:val="00DF59CE"/>
    <w:rsid w:val="00DF5B55"/>
    <w:rsid w:val="00DF5BB3"/>
    <w:rsid w:val="00DF5BB8"/>
    <w:rsid w:val="00DF5CB3"/>
    <w:rsid w:val="00DF5D94"/>
    <w:rsid w:val="00DF618F"/>
    <w:rsid w:val="00DF6282"/>
    <w:rsid w:val="00DF6299"/>
    <w:rsid w:val="00DF62CF"/>
    <w:rsid w:val="00DF62D7"/>
    <w:rsid w:val="00DF62E3"/>
    <w:rsid w:val="00DF638D"/>
    <w:rsid w:val="00DF659A"/>
    <w:rsid w:val="00DF6755"/>
    <w:rsid w:val="00DF6903"/>
    <w:rsid w:val="00DF699A"/>
    <w:rsid w:val="00DF6B6F"/>
    <w:rsid w:val="00DF6BEC"/>
    <w:rsid w:val="00DF6D74"/>
    <w:rsid w:val="00DF6E53"/>
    <w:rsid w:val="00DF7041"/>
    <w:rsid w:val="00DF7131"/>
    <w:rsid w:val="00DF7411"/>
    <w:rsid w:val="00DF75B6"/>
    <w:rsid w:val="00DF7685"/>
    <w:rsid w:val="00DF771D"/>
    <w:rsid w:val="00DF79E6"/>
    <w:rsid w:val="00DF79F4"/>
    <w:rsid w:val="00DF7A72"/>
    <w:rsid w:val="00DF7ACF"/>
    <w:rsid w:val="00DF7B7C"/>
    <w:rsid w:val="00E00144"/>
    <w:rsid w:val="00E001CE"/>
    <w:rsid w:val="00E002F8"/>
    <w:rsid w:val="00E00368"/>
    <w:rsid w:val="00E0042B"/>
    <w:rsid w:val="00E00664"/>
    <w:rsid w:val="00E008CD"/>
    <w:rsid w:val="00E00B84"/>
    <w:rsid w:val="00E00CE3"/>
    <w:rsid w:val="00E00D56"/>
    <w:rsid w:val="00E00DA7"/>
    <w:rsid w:val="00E00DD9"/>
    <w:rsid w:val="00E00EEB"/>
    <w:rsid w:val="00E00EFF"/>
    <w:rsid w:val="00E010DD"/>
    <w:rsid w:val="00E01166"/>
    <w:rsid w:val="00E0141D"/>
    <w:rsid w:val="00E01646"/>
    <w:rsid w:val="00E017C4"/>
    <w:rsid w:val="00E017F1"/>
    <w:rsid w:val="00E01803"/>
    <w:rsid w:val="00E018A4"/>
    <w:rsid w:val="00E018CE"/>
    <w:rsid w:val="00E0192A"/>
    <w:rsid w:val="00E0193C"/>
    <w:rsid w:val="00E0193D"/>
    <w:rsid w:val="00E01A14"/>
    <w:rsid w:val="00E01ABF"/>
    <w:rsid w:val="00E01C78"/>
    <w:rsid w:val="00E01FCD"/>
    <w:rsid w:val="00E02178"/>
    <w:rsid w:val="00E0219D"/>
    <w:rsid w:val="00E021D0"/>
    <w:rsid w:val="00E02262"/>
    <w:rsid w:val="00E022AA"/>
    <w:rsid w:val="00E022C6"/>
    <w:rsid w:val="00E022CF"/>
    <w:rsid w:val="00E0230A"/>
    <w:rsid w:val="00E023D1"/>
    <w:rsid w:val="00E023F1"/>
    <w:rsid w:val="00E024C3"/>
    <w:rsid w:val="00E024DE"/>
    <w:rsid w:val="00E0275D"/>
    <w:rsid w:val="00E02799"/>
    <w:rsid w:val="00E028DB"/>
    <w:rsid w:val="00E02914"/>
    <w:rsid w:val="00E0299F"/>
    <w:rsid w:val="00E02A62"/>
    <w:rsid w:val="00E02CA6"/>
    <w:rsid w:val="00E02CB5"/>
    <w:rsid w:val="00E02CBF"/>
    <w:rsid w:val="00E02E9D"/>
    <w:rsid w:val="00E02F28"/>
    <w:rsid w:val="00E02FAE"/>
    <w:rsid w:val="00E03391"/>
    <w:rsid w:val="00E03458"/>
    <w:rsid w:val="00E03463"/>
    <w:rsid w:val="00E036D6"/>
    <w:rsid w:val="00E0370E"/>
    <w:rsid w:val="00E03736"/>
    <w:rsid w:val="00E0383F"/>
    <w:rsid w:val="00E039D6"/>
    <w:rsid w:val="00E03B0B"/>
    <w:rsid w:val="00E03BB1"/>
    <w:rsid w:val="00E03D5B"/>
    <w:rsid w:val="00E03D8F"/>
    <w:rsid w:val="00E03E92"/>
    <w:rsid w:val="00E03EDE"/>
    <w:rsid w:val="00E04019"/>
    <w:rsid w:val="00E04099"/>
    <w:rsid w:val="00E040D3"/>
    <w:rsid w:val="00E0436E"/>
    <w:rsid w:val="00E04380"/>
    <w:rsid w:val="00E0444B"/>
    <w:rsid w:val="00E0467F"/>
    <w:rsid w:val="00E0475A"/>
    <w:rsid w:val="00E0479F"/>
    <w:rsid w:val="00E047BF"/>
    <w:rsid w:val="00E0493B"/>
    <w:rsid w:val="00E04A65"/>
    <w:rsid w:val="00E04A83"/>
    <w:rsid w:val="00E04B0A"/>
    <w:rsid w:val="00E04B57"/>
    <w:rsid w:val="00E04D44"/>
    <w:rsid w:val="00E04E19"/>
    <w:rsid w:val="00E04ED5"/>
    <w:rsid w:val="00E04F5D"/>
    <w:rsid w:val="00E05015"/>
    <w:rsid w:val="00E051C9"/>
    <w:rsid w:val="00E05228"/>
    <w:rsid w:val="00E052B6"/>
    <w:rsid w:val="00E0531C"/>
    <w:rsid w:val="00E05321"/>
    <w:rsid w:val="00E0538B"/>
    <w:rsid w:val="00E053A5"/>
    <w:rsid w:val="00E0556C"/>
    <w:rsid w:val="00E0569E"/>
    <w:rsid w:val="00E05881"/>
    <w:rsid w:val="00E058DD"/>
    <w:rsid w:val="00E05BB1"/>
    <w:rsid w:val="00E05BC4"/>
    <w:rsid w:val="00E05C56"/>
    <w:rsid w:val="00E05D57"/>
    <w:rsid w:val="00E05EE9"/>
    <w:rsid w:val="00E05EF7"/>
    <w:rsid w:val="00E05F47"/>
    <w:rsid w:val="00E06030"/>
    <w:rsid w:val="00E06064"/>
    <w:rsid w:val="00E06097"/>
    <w:rsid w:val="00E060DB"/>
    <w:rsid w:val="00E06106"/>
    <w:rsid w:val="00E06302"/>
    <w:rsid w:val="00E0638F"/>
    <w:rsid w:val="00E06393"/>
    <w:rsid w:val="00E063A8"/>
    <w:rsid w:val="00E063C4"/>
    <w:rsid w:val="00E0647E"/>
    <w:rsid w:val="00E06632"/>
    <w:rsid w:val="00E0685F"/>
    <w:rsid w:val="00E06871"/>
    <w:rsid w:val="00E06B85"/>
    <w:rsid w:val="00E06BE9"/>
    <w:rsid w:val="00E06C07"/>
    <w:rsid w:val="00E06C27"/>
    <w:rsid w:val="00E06D13"/>
    <w:rsid w:val="00E06DFC"/>
    <w:rsid w:val="00E06E98"/>
    <w:rsid w:val="00E06F3D"/>
    <w:rsid w:val="00E07279"/>
    <w:rsid w:val="00E073EB"/>
    <w:rsid w:val="00E075C1"/>
    <w:rsid w:val="00E075F7"/>
    <w:rsid w:val="00E07848"/>
    <w:rsid w:val="00E078D1"/>
    <w:rsid w:val="00E07915"/>
    <w:rsid w:val="00E07A1E"/>
    <w:rsid w:val="00E07A92"/>
    <w:rsid w:val="00E07AD1"/>
    <w:rsid w:val="00E07AF6"/>
    <w:rsid w:val="00E07BA1"/>
    <w:rsid w:val="00E07D76"/>
    <w:rsid w:val="00E07DF1"/>
    <w:rsid w:val="00E07E00"/>
    <w:rsid w:val="00E07E21"/>
    <w:rsid w:val="00E07E2A"/>
    <w:rsid w:val="00E07EC2"/>
    <w:rsid w:val="00E07EC8"/>
    <w:rsid w:val="00E07ED2"/>
    <w:rsid w:val="00E10032"/>
    <w:rsid w:val="00E10082"/>
    <w:rsid w:val="00E103B8"/>
    <w:rsid w:val="00E104D5"/>
    <w:rsid w:val="00E10514"/>
    <w:rsid w:val="00E10590"/>
    <w:rsid w:val="00E106FD"/>
    <w:rsid w:val="00E1071A"/>
    <w:rsid w:val="00E1079E"/>
    <w:rsid w:val="00E108A0"/>
    <w:rsid w:val="00E10951"/>
    <w:rsid w:val="00E109DE"/>
    <w:rsid w:val="00E10AFD"/>
    <w:rsid w:val="00E10B19"/>
    <w:rsid w:val="00E10B6F"/>
    <w:rsid w:val="00E10B7A"/>
    <w:rsid w:val="00E10B94"/>
    <w:rsid w:val="00E10CD6"/>
    <w:rsid w:val="00E10D3C"/>
    <w:rsid w:val="00E10E79"/>
    <w:rsid w:val="00E10E89"/>
    <w:rsid w:val="00E10ECE"/>
    <w:rsid w:val="00E10F65"/>
    <w:rsid w:val="00E1109D"/>
    <w:rsid w:val="00E110B1"/>
    <w:rsid w:val="00E112E7"/>
    <w:rsid w:val="00E11375"/>
    <w:rsid w:val="00E113BB"/>
    <w:rsid w:val="00E113D2"/>
    <w:rsid w:val="00E113FE"/>
    <w:rsid w:val="00E11484"/>
    <w:rsid w:val="00E1148F"/>
    <w:rsid w:val="00E115E1"/>
    <w:rsid w:val="00E11650"/>
    <w:rsid w:val="00E116B7"/>
    <w:rsid w:val="00E117F4"/>
    <w:rsid w:val="00E1190D"/>
    <w:rsid w:val="00E11AE3"/>
    <w:rsid w:val="00E11C00"/>
    <w:rsid w:val="00E11EA8"/>
    <w:rsid w:val="00E11F84"/>
    <w:rsid w:val="00E11FF5"/>
    <w:rsid w:val="00E1220B"/>
    <w:rsid w:val="00E1233C"/>
    <w:rsid w:val="00E12393"/>
    <w:rsid w:val="00E124E1"/>
    <w:rsid w:val="00E12531"/>
    <w:rsid w:val="00E12607"/>
    <w:rsid w:val="00E12668"/>
    <w:rsid w:val="00E128C0"/>
    <w:rsid w:val="00E12A60"/>
    <w:rsid w:val="00E12ABD"/>
    <w:rsid w:val="00E12B89"/>
    <w:rsid w:val="00E12D74"/>
    <w:rsid w:val="00E12D98"/>
    <w:rsid w:val="00E12DB7"/>
    <w:rsid w:val="00E12F1D"/>
    <w:rsid w:val="00E12F21"/>
    <w:rsid w:val="00E12F38"/>
    <w:rsid w:val="00E13017"/>
    <w:rsid w:val="00E13043"/>
    <w:rsid w:val="00E1308B"/>
    <w:rsid w:val="00E131E5"/>
    <w:rsid w:val="00E1321C"/>
    <w:rsid w:val="00E132E2"/>
    <w:rsid w:val="00E135DF"/>
    <w:rsid w:val="00E136C6"/>
    <w:rsid w:val="00E136F0"/>
    <w:rsid w:val="00E1391B"/>
    <w:rsid w:val="00E13B5D"/>
    <w:rsid w:val="00E13DC8"/>
    <w:rsid w:val="00E13E41"/>
    <w:rsid w:val="00E13FD2"/>
    <w:rsid w:val="00E13FE4"/>
    <w:rsid w:val="00E13FEF"/>
    <w:rsid w:val="00E1421D"/>
    <w:rsid w:val="00E142D5"/>
    <w:rsid w:val="00E142FF"/>
    <w:rsid w:val="00E143A9"/>
    <w:rsid w:val="00E1449F"/>
    <w:rsid w:val="00E145C2"/>
    <w:rsid w:val="00E147DE"/>
    <w:rsid w:val="00E148B5"/>
    <w:rsid w:val="00E14B1F"/>
    <w:rsid w:val="00E14BA2"/>
    <w:rsid w:val="00E14C2E"/>
    <w:rsid w:val="00E14C52"/>
    <w:rsid w:val="00E14CA7"/>
    <w:rsid w:val="00E14CCF"/>
    <w:rsid w:val="00E14D15"/>
    <w:rsid w:val="00E14D63"/>
    <w:rsid w:val="00E14DB8"/>
    <w:rsid w:val="00E14FB5"/>
    <w:rsid w:val="00E1501B"/>
    <w:rsid w:val="00E15039"/>
    <w:rsid w:val="00E15308"/>
    <w:rsid w:val="00E15551"/>
    <w:rsid w:val="00E155E4"/>
    <w:rsid w:val="00E15749"/>
    <w:rsid w:val="00E15878"/>
    <w:rsid w:val="00E158CD"/>
    <w:rsid w:val="00E15983"/>
    <w:rsid w:val="00E15A78"/>
    <w:rsid w:val="00E15C18"/>
    <w:rsid w:val="00E15C75"/>
    <w:rsid w:val="00E15D82"/>
    <w:rsid w:val="00E15DC9"/>
    <w:rsid w:val="00E15E39"/>
    <w:rsid w:val="00E15EDC"/>
    <w:rsid w:val="00E15EE0"/>
    <w:rsid w:val="00E15F05"/>
    <w:rsid w:val="00E160BB"/>
    <w:rsid w:val="00E161A3"/>
    <w:rsid w:val="00E161C1"/>
    <w:rsid w:val="00E161D9"/>
    <w:rsid w:val="00E16497"/>
    <w:rsid w:val="00E166CC"/>
    <w:rsid w:val="00E166EA"/>
    <w:rsid w:val="00E168E8"/>
    <w:rsid w:val="00E1691A"/>
    <w:rsid w:val="00E16A63"/>
    <w:rsid w:val="00E16B5A"/>
    <w:rsid w:val="00E16C0E"/>
    <w:rsid w:val="00E16C66"/>
    <w:rsid w:val="00E16D08"/>
    <w:rsid w:val="00E16DE4"/>
    <w:rsid w:val="00E16E75"/>
    <w:rsid w:val="00E170B7"/>
    <w:rsid w:val="00E17230"/>
    <w:rsid w:val="00E173C2"/>
    <w:rsid w:val="00E1758A"/>
    <w:rsid w:val="00E17619"/>
    <w:rsid w:val="00E17628"/>
    <w:rsid w:val="00E1766D"/>
    <w:rsid w:val="00E178D1"/>
    <w:rsid w:val="00E17A33"/>
    <w:rsid w:val="00E17B76"/>
    <w:rsid w:val="00E17BBD"/>
    <w:rsid w:val="00E17C2E"/>
    <w:rsid w:val="00E17DC8"/>
    <w:rsid w:val="00E17F9C"/>
    <w:rsid w:val="00E17FC1"/>
    <w:rsid w:val="00E17FEA"/>
    <w:rsid w:val="00E200DA"/>
    <w:rsid w:val="00E20145"/>
    <w:rsid w:val="00E202C8"/>
    <w:rsid w:val="00E20466"/>
    <w:rsid w:val="00E204F9"/>
    <w:rsid w:val="00E2051B"/>
    <w:rsid w:val="00E20564"/>
    <w:rsid w:val="00E20655"/>
    <w:rsid w:val="00E207AD"/>
    <w:rsid w:val="00E207D9"/>
    <w:rsid w:val="00E208A6"/>
    <w:rsid w:val="00E20970"/>
    <w:rsid w:val="00E20A10"/>
    <w:rsid w:val="00E20A59"/>
    <w:rsid w:val="00E20ADA"/>
    <w:rsid w:val="00E20B74"/>
    <w:rsid w:val="00E20BF5"/>
    <w:rsid w:val="00E20C65"/>
    <w:rsid w:val="00E20CB3"/>
    <w:rsid w:val="00E20E9F"/>
    <w:rsid w:val="00E21097"/>
    <w:rsid w:val="00E21101"/>
    <w:rsid w:val="00E211D3"/>
    <w:rsid w:val="00E2120C"/>
    <w:rsid w:val="00E21222"/>
    <w:rsid w:val="00E21254"/>
    <w:rsid w:val="00E21299"/>
    <w:rsid w:val="00E213F3"/>
    <w:rsid w:val="00E21574"/>
    <w:rsid w:val="00E215ED"/>
    <w:rsid w:val="00E21639"/>
    <w:rsid w:val="00E2171E"/>
    <w:rsid w:val="00E21772"/>
    <w:rsid w:val="00E2192E"/>
    <w:rsid w:val="00E21997"/>
    <w:rsid w:val="00E2199D"/>
    <w:rsid w:val="00E21A92"/>
    <w:rsid w:val="00E21ABD"/>
    <w:rsid w:val="00E21AFB"/>
    <w:rsid w:val="00E21B9C"/>
    <w:rsid w:val="00E21C45"/>
    <w:rsid w:val="00E21C99"/>
    <w:rsid w:val="00E21D68"/>
    <w:rsid w:val="00E2213E"/>
    <w:rsid w:val="00E22185"/>
    <w:rsid w:val="00E22234"/>
    <w:rsid w:val="00E2224C"/>
    <w:rsid w:val="00E22252"/>
    <w:rsid w:val="00E2229A"/>
    <w:rsid w:val="00E222E4"/>
    <w:rsid w:val="00E224E8"/>
    <w:rsid w:val="00E226E5"/>
    <w:rsid w:val="00E226F2"/>
    <w:rsid w:val="00E227B4"/>
    <w:rsid w:val="00E2295B"/>
    <w:rsid w:val="00E22984"/>
    <w:rsid w:val="00E22AB6"/>
    <w:rsid w:val="00E22B2E"/>
    <w:rsid w:val="00E22C23"/>
    <w:rsid w:val="00E22C9D"/>
    <w:rsid w:val="00E22CD9"/>
    <w:rsid w:val="00E22E6C"/>
    <w:rsid w:val="00E22F54"/>
    <w:rsid w:val="00E23042"/>
    <w:rsid w:val="00E23084"/>
    <w:rsid w:val="00E2316B"/>
    <w:rsid w:val="00E2329D"/>
    <w:rsid w:val="00E2335E"/>
    <w:rsid w:val="00E2351F"/>
    <w:rsid w:val="00E237F5"/>
    <w:rsid w:val="00E23B15"/>
    <w:rsid w:val="00E23E74"/>
    <w:rsid w:val="00E23E7E"/>
    <w:rsid w:val="00E23F7B"/>
    <w:rsid w:val="00E23FE8"/>
    <w:rsid w:val="00E24035"/>
    <w:rsid w:val="00E2405C"/>
    <w:rsid w:val="00E24097"/>
    <w:rsid w:val="00E2409F"/>
    <w:rsid w:val="00E241AD"/>
    <w:rsid w:val="00E24224"/>
    <w:rsid w:val="00E24352"/>
    <w:rsid w:val="00E2440B"/>
    <w:rsid w:val="00E24471"/>
    <w:rsid w:val="00E245CA"/>
    <w:rsid w:val="00E24744"/>
    <w:rsid w:val="00E2491E"/>
    <w:rsid w:val="00E24A02"/>
    <w:rsid w:val="00E24A46"/>
    <w:rsid w:val="00E24B60"/>
    <w:rsid w:val="00E24B73"/>
    <w:rsid w:val="00E24DDF"/>
    <w:rsid w:val="00E24DFD"/>
    <w:rsid w:val="00E24E6C"/>
    <w:rsid w:val="00E24E9D"/>
    <w:rsid w:val="00E250B9"/>
    <w:rsid w:val="00E250C8"/>
    <w:rsid w:val="00E25153"/>
    <w:rsid w:val="00E2523C"/>
    <w:rsid w:val="00E2524A"/>
    <w:rsid w:val="00E252A7"/>
    <w:rsid w:val="00E2536C"/>
    <w:rsid w:val="00E255D9"/>
    <w:rsid w:val="00E25642"/>
    <w:rsid w:val="00E2576A"/>
    <w:rsid w:val="00E257EA"/>
    <w:rsid w:val="00E25822"/>
    <w:rsid w:val="00E258AC"/>
    <w:rsid w:val="00E25941"/>
    <w:rsid w:val="00E25971"/>
    <w:rsid w:val="00E25B04"/>
    <w:rsid w:val="00E25BDB"/>
    <w:rsid w:val="00E26099"/>
    <w:rsid w:val="00E26157"/>
    <w:rsid w:val="00E263A6"/>
    <w:rsid w:val="00E26469"/>
    <w:rsid w:val="00E264A8"/>
    <w:rsid w:val="00E26507"/>
    <w:rsid w:val="00E265A1"/>
    <w:rsid w:val="00E265FA"/>
    <w:rsid w:val="00E26611"/>
    <w:rsid w:val="00E266E6"/>
    <w:rsid w:val="00E26713"/>
    <w:rsid w:val="00E26745"/>
    <w:rsid w:val="00E267C9"/>
    <w:rsid w:val="00E2683D"/>
    <w:rsid w:val="00E26AA3"/>
    <w:rsid w:val="00E26B41"/>
    <w:rsid w:val="00E26F1D"/>
    <w:rsid w:val="00E26F95"/>
    <w:rsid w:val="00E27020"/>
    <w:rsid w:val="00E270FF"/>
    <w:rsid w:val="00E272B6"/>
    <w:rsid w:val="00E2754C"/>
    <w:rsid w:val="00E27561"/>
    <w:rsid w:val="00E27563"/>
    <w:rsid w:val="00E275F6"/>
    <w:rsid w:val="00E27616"/>
    <w:rsid w:val="00E2765F"/>
    <w:rsid w:val="00E276CD"/>
    <w:rsid w:val="00E27806"/>
    <w:rsid w:val="00E278CB"/>
    <w:rsid w:val="00E27B2D"/>
    <w:rsid w:val="00E27B37"/>
    <w:rsid w:val="00E27B5D"/>
    <w:rsid w:val="00E27BCA"/>
    <w:rsid w:val="00E27C5B"/>
    <w:rsid w:val="00E27E11"/>
    <w:rsid w:val="00E27E3D"/>
    <w:rsid w:val="00E27E89"/>
    <w:rsid w:val="00E27F64"/>
    <w:rsid w:val="00E27F9B"/>
    <w:rsid w:val="00E300AF"/>
    <w:rsid w:val="00E30171"/>
    <w:rsid w:val="00E301B1"/>
    <w:rsid w:val="00E3029F"/>
    <w:rsid w:val="00E302BE"/>
    <w:rsid w:val="00E30343"/>
    <w:rsid w:val="00E303CA"/>
    <w:rsid w:val="00E30431"/>
    <w:rsid w:val="00E30829"/>
    <w:rsid w:val="00E30A47"/>
    <w:rsid w:val="00E30AA3"/>
    <w:rsid w:val="00E30B27"/>
    <w:rsid w:val="00E30D34"/>
    <w:rsid w:val="00E30DB9"/>
    <w:rsid w:val="00E30E6A"/>
    <w:rsid w:val="00E30F22"/>
    <w:rsid w:val="00E3101A"/>
    <w:rsid w:val="00E3104E"/>
    <w:rsid w:val="00E3108C"/>
    <w:rsid w:val="00E31329"/>
    <w:rsid w:val="00E3157E"/>
    <w:rsid w:val="00E31594"/>
    <w:rsid w:val="00E316F8"/>
    <w:rsid w:val="00E3176D"/>
    <w:rsid w:val="00E3179F"/>
    <w:rsid w:val="00E31941"/>
    <w:rsid w:val="00E31949"/>
    <w:rsid w:val="00E31AD7"/>
    <w:rsid w:val="00E31BFC"/>
    <w:rsid w:val="00E31D23"/>
    <w:rsid w:val="00E31D50"/>
    <w:rsid w:val="00E31DA8"/>
    <w:rsid w:val="00E31DC8"/>
    <w:rsid w:val="00E31FF6"/>
    <w:rsid w:val="00E320C8"/>
    <w:rsid w:val="00E321B3"/>
    <w:rsid w:val="00E3229C"/>
    <w:rsid w:val="00E322E1"/>
    <w:rsid w:val="00E323E9"/>
    <w:rsid w:val="00E326EB"/>
    <w:rsid w:val="00E329C6"/>
    <w:rsid w:val="00E32A8F"/>
    <w:rsid w:val="00E32B46"/>
    <w:rsid w:val="00E32B6A"/>
    <w:rsid w:val="00E32B9D"/>
    <w:rsid w:val="00E32BBA"/>
    <w:rsid w:val="00E32C56"/>
    <w:rsid w:val="00E32C58"/>
    <w:rsid w:val="00E32E1D"/>
    <w:rsid w:val="00E32E62"/>
    <w:rsid w:val="00E32FB0"/>
    <w:rsid w:val="00E33257"/>
    <w:rsid w:val="00E3326E"/>
    <w:rsid w:val="00E332C4"/>
    <w:rsid w:val="00E332F9"/>
    <w:rsid w:val="00E33398"/>
    <w:rsid w:val="00E333E3"/>
    <w:rsid w:val="00E334FF"/>
    <w:rsid w:val="00E3353B"/>
    <w:rsid w:val="00E3365E"/>
    <w:rsid w:val="00E33713"/>
    <w:rsid w:val="00E33740"/>
    <w:rsid w:val="00E3387F"/>
    <w:rsid w:val="00E338A5"/>
    <w:rsid w:val="00E3399D"/>
    <w:rsid w:val="00E33B1A"/>
    <w:rsid w:val="00E33BB0"/>
    <w:rsid w:val="00E33CB7"/>
    <w:rsid w:val="00E33CBC"/>
    <w:rsid w:val="00E33D68"/>
    <w:rsid w:val="00E33E8D"/>
    <w:rsid w:val="00E33EA4"/>
    <w:rsid w:val="00E34061"/>
    <w:rsid w:val="00E340D2"/>
    <w:rsid w:val="00E341CA"/>
    <w:rsid w:val="00E34267"/>
    <w:rsid w:val="00E3433E"/>
    <w:rsid w:val="00E34360"/>
    <w:rsid w:val="00E34376"/>
    <w:rsid w:val="00E343B7"/>
    <w:rsid w:val="00E343C0"/>
    <w:rsid w:val="00E343FE"/>
    <w:rsid w:val="00E34428"/>
    <w:rsid w:val="00E34481"/>
    <w:rsid w:val="00E3449C"/>
    <w:rsid w:val="00E34550"/>
    <w:rsid w:val="00E34560"/>
    <w:rsid w:val="00E3458B"/>
    <w:rsid w:val="00E345FA"/>
    <w:rsid w:val="00E3469C"/>
    <w:rsid w:val="00E346BC"/>
    <w:rsid w:val="00E346FF"/>
    <w:rsid w:val="00E347D9"/>
    <w:rsid w:val="00E347F6"/>
    <w:rsid w:val="00E34A68"/>
    <w:rsid w:val="00E34A74"/>
    <w:rsid w:val="00E34B73"/>
    <w:rsid w:val="00E34C2C"/>
    <w:rsid w:val="00E34D95"/>
    <w:rsid w:val="00E34DD6"/>
    <w:rsid w:val="00E3518F"/>
    <w:rsid w:val="00E3536C"/>
    <w:rsid w:val="00E35387"/>
    <w:rsid w:val="00E354CA"/>
    <w:rsid w:val="00E354DD"/>
    <w:rsid w:val="00E354F5"/>
    <w:rsid w:val="00E35625"/>
    <w:rsid w:val="00E35665"/>
    <w:rsid w:val="00E357BE"/>
    <w:rsid w:val="00E358E5"/>
    <w:rsid w:val="00E35909"/>
    <w:rsid w:val="00E35968"/>
    <w:rsid w:val="00E359AB"/>
    <w:rsid w:val="00E35A82"/>
    <w:rsid w:val="00E35B7A"/>
    <w:rsid w:val="00E35C29"/>
    <w:rsid w:val="00E35CB0"/>
    <w:rsid w:val="00E35DA2"/>
    <w:rsid w:val="00E35DF2"/>
    <w:rsid w:val="00E35E2A"/>
    <w:rsid w:val="00E35F56"/>
    <w:rsid w:val="00E35FB4"/>
    <w:rsid w:val="00E35FBE"/>
    <w:rsid w:val="00E36092"/>
    <w:rsid w:val="00E361B8"/>
    <w:rsid w:val="00E361C5"/>
    <w:rsid w:val="00E3645F"/>
    <w:rsid w:val="00E3648C"/>
    <w:rsid w:val="00E365CC"/>
    <w:rsid w:val="00E36790"/>
    <w:rsid w:val="00E36C05"/>
    <w:rsid w:val="00E36C75"/>
    <w:rsid w:val="00E36D1E"/>
    <w:rsid w:val="00E36D53"/>
    <w:rsid w:val="00E36DDF"/>
    <w:rsid w:val="00E36E05"/>
    <w:rsid w:val="00E3705C"/>
    <w:rsid w:val="00E37150"/>
    <w:rsid w:val="00E37167"/>
    <w:rsid w:val="00E3734A"/>
    <w:rsid w:val="00E3759F"/>
    <w:rsid w:val="00E375C0"/>
    <w:rsid w:val="00E375C4"/>
    <w:rsid w:val="00E375C5"/>
    <w:rsid w:val="00E377B6"/>
    <w:rsid w:val="00E3782D"/>
    <w:rsid w:val="00E37847"/>
    <w:rsid w:val="00E378E2"/>
    <w:rsid w:val="00E37ABF"/>
    <w:rsid w:val="00E37E11"/>
    <w:rsid w:val="00E37F1F"/>
    <w:rsid w:val="00E37F79"/>
    <w:rsid w:val="00E37F83"/>
    <w:rsid w:val="00E37F91"/>
    <w:rsid w:val="00E37F97"/>
    <w:rsid w:val="00E4014E"/>
    <w:rsid w:val="00E40472"/>
    <w:rsid w:val="00E4052D"/>
    <w:rsid w:val="00E405D8"/>
    <w:rsid w:val="00E407CA"/>
    <w:rsid w:val="00E40973"/>
    <w:rsid w:val="00E409A9"/>
    <w:rsid w:val="00E409F1"/>
    <w:rsid w:val="00E40A2A"/>
    <w:rsid w:val="00E40B17"/>
    <w:rsid w:val="00E40B4B"/>
    <w:rsid w:val="00E40B7A"/>
    <w:rsid w:val="00E40BFC"/>
    <w:rsid w:val="00E40CD1"/>
    <w:rsid w:val="00E40E20"/>
    <w:rsid w:val="00E40F13"/>
    <w:rsid w:val="00E40F81"/>
    <w:rsid w:val="00E40FFC"/>
    <w:rsid w:val="00E4102A"/>
    <w:rsid w:val="00E41133"/>
    <w:rsid w:val="00E4122F"/>
    <w:rsid w:val="00E41440"/>
    <w:rsid w:val="00E41504"/>
    <w:rsid w:val="00E41517"/>
    <w:rsid w:val="00E417CF"/>
    <w:rsid w:val="00E41804"/>
    <w:rsid w:val="00E41842"/>
    <w:rsid w:val="00E41B2C"/>
    <w:rsid w:val="00E41B95"/>
    <w:rsid w:val="00E41C1D"/>
    <w:rsid w:val="00E41C53"/>
    <w:rsid w:val="00E41D04"/>
    <w:rsid w:val="00E41D93"/>
    <w:rsid w:val="00E41D9A"/>
    <w:rsid w:val="00E41F0F"/>
    <w:rsid w:val="00E41F70"/>
    <w:rsid w:val="00E4207E"/>
    <w:rsid w:val="00E42080"/>
    <w:rsid w:val="00E42152"/>
    <w:rsid w:val="00E42182"/>
    <w:rsid w:val="00E421F2"/>
    <w:rsid w:val="00E422C3"/>
    <w:rsid w:val="00E422DE"/>
    <w:rsid w:val="00E42532"/>
    <w:rsid w:val="00E42671"/>
    <w:rsid w:val="00E4280C"/>
    <w:rsid w:val="00E42974"/>
    <w:rsid w:val="00E4298B"/>
    <w:rsid w:val="00E42BBF"/>
    <w:rsid w:val="00E42C51"/>
    <w:rsid w:val="00E430B6"/>
    <w:rsid w:val="00E430DF"/>
    <w:rsid w:val="00E4310F"/>
    <w:rsid w:val="00E43117"/>
    <w:rsid w:val="00E4313F"/>
    <w:rsid w:val="00E4314F"/>
    <w:rsid w:val="00E43168"/>
    <w:rsid w:val="00E43185"/>
    <w:rsid w:val="00E431A9"/>
    <w:rsid w:val="00E4329F"/>
    <w:rsid w:val="00E432CB"/>
    <w:rsid w:val="00E43310"/>
    <w:rsid w:val="00E433EF"/>
    <w:rsid w:val="00E433FD"/>
    <w:rsid w:val="00E43432"/>
    <w:rsid w:val="00E435C1"/>
    <w:rsid w:val="00E436DE"/>
    <w:rsid w:val="00E438FA"/>
    <w:rsid w:val="00E439D8"/>
    <w:rsid w:val="00E43AB7"/>
    <w:rsid w:val="00E43B51"/>
    <w:rsid w:val="00E43B57"/>
    <w:rsid w:val="00E43B70"/>
    <w:rsid w:val="00E43C2F"/>
    <w:rsid w:val="00E43CC7"/>
    <w:rsid w:val="00E43CC9"/>
    <w:rsid w:val="00E43D40"/>
    <w:rsid w:val="00E43E82"/>
    <w:rsid w:val="00E44010"/>
    <w:rsid w:val="00E44026"/>
    <w:rsid w:val="00E44201"/>
    <w:rsid w:val="00E442A2"/>
    <w:rsid w:val="00E44477"/>
    <w:rsid w:val="00E444C2"/>
    <w:rsid w:val="00E444D2"/>
    <w:rsid w:val="00E444D6"/>
    <w:rsid w:val="00E44519"/>
    <w:rsid w:val="00E445C0"/>
    <w:rsid w:val="00E445F6"/>
    <w:rsid w:val="00E44782"/>
    <w:rsid w:val="00E44B6E"/>
    <w:rsid w:val="00E44C27"/>
    <w:rsid w:val="00E44C75"/>
    <w:rsid w:val="00E44C76"/>
    <w:rsid w:val="00E44D5C"/>
    <w:rsid w:val="00E44E32"/>
    <w:rsid w:val="00E44E63"/>
    <w:rsid w:val="00E44E65"/>
    <w:rsid w:val="00E44E74"/>
    <w:rsid w:val="00E44F31"/>
    <w:rsid w:val="00E45013"/>
    <w:rsid w:val="00E4510A"/>
    <w:rsid w:val="00E4536A"/>
    <w:rsid w:val="00E45439"/>
    <w:rsid w:val="00E45508"/>
    <w:rsid w:val="00E4550B"/>
    <w:rsid w:val="00E4556E"/>
    <w:rsid w:val="00E456B2"/>
    <w:rsid w:val="00E457B5"/>
    <w:rsid w:val="00E457BE"/>
    <w:rsid w:val="00E45812"/>
    <w:rsid w:val="00E4590B"/>
    <w:rsid w:val="00E45A3B"/>
    <w:rsid w:val="00E45A7C"/>
    <w:rsid w:val="00E45C31"/>
    <w:rsid w:val="00E45D05"/>
    <w:rsid w:val="00E45D1E"/>
    <w:rsid w:val="00E45D8B"/>
    <w:rsid w:val="00E45EDE"/>
    <w:rsid w:val="00E45F0E"/>
    <w:rsid w:val="00E45FAD"/>
    <w:rsid w:val="00E461DF"/>
    <w:rsid w:val="00E46294"/>
    <w:rsid w:val="00E462BA"/>
    <w:rsid w:val="00E46331"/>
    <w:rsid w:val="00E46489"/>
    <w:rsid w:val="00E465DF"/>
    <w:rsid w:val="00E4676A"/>
    <w:rsid w:val="00E46915"/>
    <w:rsid w:val="00E46A0A"/>
    <w:rsid w:val="00E46A42"/>
    <w:rsid w:val="00E46CC9"/>
    <w:rsid w:val="00E46CDD"/>
    <w:rsid w:val="00E46E62"/>
    <w:rsid w:val="00E46F76"/>
    <w:rsid w:val="00E4700C"/>
    <w:rsid w:val="00E47065"/>
    <w:rsid w:val="00E471FB"/>
    <w:rsid w:val="00E47376"/>
    <w:rsid w:val="00E473BA"/>
    <w:rsid w:val="00E47440"/>
    <w:rsid w:val="00E47474"/>
    <w:rsid w:val="00E47584"/>
    <w:rsid w:val="00E4769D"/>
    <w:rsid w:val="00E476DC"/>
    <w:rsid w:val="00E47720"/>
    <w:rsid w:val="00E4772D"/>
    <w:rsid w:val="00E47778"/>
    <w:rsid w:val="00E4777D"/>
    <w:rsid w:val="00E47816"/>
    <w:rsid w:val="00E47868"/>
    <w:rsid w:val="00E478DF"/>
    <w:rsid w:val="00E4794C"/>
    <w:rsid w:val="00E4799A"/>
    <w:rsid w:val="00E47B99"/>
    <w:rsid w:val="00E47BD7"/>
    <w:rsid w:val="00E47C7C"/>
    <w:rsid w:val="00E47D54"/>
    <w:rsid w:val="00E47DA0"/>
    <w:rsid w:val="00E47DD8"/>
    <w:rsid w:val="00E47EDC"/>
    <w:rsid w:val="00E500EE"/>
    <w:rsid w:val="00E50205"/>
    <w:rsid w:val="00E5036E"/>
    <w:rsid w:val="00E5037F"/>
    <w:rsid w:val="00E50391"/>
    <w:rsid w:val="00E5045B"/>
    <w:rsid w:val="00E504AD"/>
    <w:rsid w:val="00E5086B"/>
    <w:rsid w:val="00E50928"/>
    <w:rsid w:val="00E5098A"/>
    <w:rsid w:val="00E50AEB"/>
    <w:rsid w:val="00E50B14"/>
    <w:rsid w:val="00E50DA4"/>
    <w:rsid w:val="00E50F44"/>
    <w:rsid w:val="00E50F62"/>
    <w:rsid w:val="00E51078"/>
    <w:rsid w:val="00E510F3"/>
    <w:rsid w:val="00E51181"/>
    <w:rsid w:val="00E511DC"/>
    <w:rsid w:val="00E511F2"/>
    <w:rsid w:val="00E51200"/>
    <w:rsid w:val="00E51296"/>
    <w:rsid w:val="00E5129A"/>
    <w:rsid w:val="00E512C7"/>
    <w:rsid w:val="00E512D1"/>
    <w:rsid w:val="00E51316"/>
    <w:rsid w:val="00E51364"/>
    <w:rsid w:val="00E513B3"/>
    <w:rsid w:val="00E5179D"/>
    <w:rsid w:val="00E517B5"/>
    <w:rsid w:val="00E518D1"/>
    <w:rsid w:val="00E5197D"/>
    <w:rsid w:val="00E519CB"/>
    <w:rsid w:val="00E51AF3"/>
    <w:rsid w:val="00E51B17"/>
    <w:rsid w:val="00E51B39"/>
    <w:rsid w:val="00E51BA6"/>
    <w:rsid w:val="00E51CEC"/>
    <w:rsid w:val="00E51D0B"/>
    <w:rsid w:val="00E51D63"/>
    <w:rsid w:val="00E51FF3"/>
    <w:rsid w:val="00E521F5"/>
    <w:rsid w:val="00E522B5"/>
    <w:rsid w:val="00E52416"/>
    <w:rsid w:val="00E5246C"/>
    <w:rsid w:val="00E5247C"/>
    <w:rsid w:val="00E52495"/>
    <w:rsid w:val="00E5251C"/>
    <w:rsid w:val="00E525FA"/>
    <w:rsid w:val="00E52650"/>
    <w:rsid w:val="00E5266A"/>
    <w:rsid w:val="00E526CE"/>
    <w:rsid w:val="00E5270A"/>
    <w:rsid w:val="00E528D7"/>
    <w:rsid w:val="00E52A81"/>
    <w:rsid w:val="00E52D66"/>
    <w:rsid w:val="00E52E59"/>
    <w:rsid w:val="00E52E8C"/>
    <w:rsid w:val="00E52E95"/>
    <w:rsid w:val="00E52FBE"/>
    <w:rsid w:val="00E52FCC"/>
    <w:rsid w:val="00E530A8"/>
    <w:rsid w:val="00E530DC"/>
    <w:rsid w:val="00E53143"/>
    <w:rsid w:val="00E533E8"/>
    <w:rsid w:val="00E533F3"/>
    <w:rsid w:val="00E53402"/>
    <w:rsid w:val="00E53413"/>
    <w:rsid w:val="00E536EC"/>
    <w:rsid w:val="00E53882"/>
    <w:rsid w:val="00E5396F"/>
    <w:rsid w:val="00E53987"/>
    <w:rsid w:val="00E53AFE"/>
    <w:rsid w:val="00E53B91"/>
    <w:rsid w:val="00E53CDC"/>
    <w:rsid w:val="00E53CE9"/>
    <w:rsid w:val="00E53DE4"/>
    <w:rsid w:val="00E53E21"/>
    <w:rsid w:val="00E53F08"/>
    <w:rsid w:val="00E53F2F"/>
    <w:rsid w:val="00E54253"/>
    <w:rsid w:val="00E5426C"/>
    <w:rsid w:val="00E54303"/>
    <w:rsid w:val="00E54440"/>
    <w:rsid w:val="00E54474"/>
    <w:rsid w:val="00E5466F"/>
    <w:rsid w:val="00E546A3"/>
    <w:rsid w:val="00E5477B"/>
    <w:rsid w:val="00E54950"/>
    <w:rsid w:val="00E5497B"/>
    <w:rsid w:val="00E549EC"/>
    <w:rsid w:val="00E54A10"/>
    <w:rsid w:val="00E54B0A"/>
    <w:rsid w:val="00E54CE2"/>
    <w:rsid w:val="00E54EF1"/>
    <w:rsid w:val="00E54F15"/>
    <w:rsid w:val="00E54F42"/>
    <w:rsid w:val="00E54FE5"/>
    <w:rsid w:val="00E550CB"/>
    <w:rsid w:val="00E550E1"/>
    <w:rsid w:val="00E5516A"/>
    <w:rsid w:val="00E551D9"/>
    <w:rsid w:val="00E5529D"/>
    <w:rsid w:val="00E553BD"/>
    <w:rsid w:val="00E553D0"/>
    <w:rsid w:val="00E55609"/>
    <w:rsid w:val="00E5560E"/>
    <w:rsid w:val="00E55636"/>
    <w:rsid w:val="00E5569E"/>
    <w:rsid w:val="00E55754"/>
    <w:rsid w:val="00E55768"/>
    <w:rsid w:val="00E5588E"/>
    <w:rsid w:val="00E55925"/>
    <w:rsid w:val="00E5593A"/>
    <w:rsid w:val="00E559CE"/>
    <w:rsid w:val="00E55B58"/>
    <w:rsid w:val="00E55B68"/>
    <w:rsid w:val="00E55BDB"/>
    <w:rsid w:val="00E55E9F"/>
    <w:rsid w:val="00E55ECE"/>
    <w:rsid w:val="00E55FBD"/>
    <w:rsid w:val="00E5600B"/>
    <w:rsid w:val="00E56012"/>
    <w:rsid w:val="00E56127"/>
    <w:rsid w:val="00E561A1"/>
    <w:rsid w:val="00E56203"/>
    <w:rsid w:val="00E56277"/>
    <w:rsid w:val="00E5630A"/>
    <w:rsid w:val="00E56386"/>
    <w:rsid w:val="00E563B7"/>
    <w:rsid w:val="00E56450"/>
    <w:rsid w:val="00E564D8"/>
    <w:rsid w:val="00E5670E"/>
    <w:rsid w:val="00E56D3B"/>
    <w:rsid w:val="00E56D55"/>
    <w:rsid w:val="00E56DD1"/>
    <w:rsid w:val="00E56F05"/>
    <w:rsid w:val="00E56FAF"/>
    <w:rsid w:val="00E56FCB"/>
    <w:rsid w:val="00E56FD0"/>
    <w:rsid w:val="00E56FD6"/>
    <w:rsid w:val="00E570A2"/>
    <w:rsid w:val="00E5727B"/>
    <w:rsid w:val="00E5733C"/>
    <w:rsid w:val="00E57376"/>
    <w:rsid w:val="00E576E0"/>
    <w:rsid w:val="00E577C8"/>
    <w:rsid w:val="00E57A70"/>
    <w:rsid w:val="00E57B1B"/>
    <w:rsid w:val="00E57C66"/>
    <w:rsid w:val="00E57CF4"/>
    <w:rsid w:val="00E57E51"/>
    <w:rsid w:val="00E57E80"/>
    <w:rsid w:val="00E57EC3"/>
    <w:rsid w:val="00E57F84"/>
    <w:rsid w:val="00E600DB"/>
    <w:rsid w:val="00E60402"/>
    <w:rsid w:val="00E604F6"/>
    <w:rsid w:val="00E604FF"/>
    <w:rsid w:val="00E60566"/>
    <w:rsid w:val="00E605F8"/>
    <w:rsid w:val="00E6072C"/>
    <w:rsid w:val="00E6095F"/>
    <w:rsid w:val="00E60AD1"/>
    <w:rsid w:val="00E60B0C"/>
    <w:rsid w:val="00E60B97"/>
    <w:rsid w:val="00E60BA3"/>
    <w:rsid w:val="00E60BD3"/>
    <w:rsid w:val="00E60CB3"/>
    <w:rsid w:val="00E60CF0"/>
    <w:rsid w:val="00E60DA1"/>
    <w:rsid w:val="00E60EBE"/>
    <w:rsid w:val="00E60F52"/>
    <w:rsid w:val="00E60F8E"/>
    <w:rsid w:val="00E61294"/>
    <w:rsid w:val="00E612A2"/>
    <w:rsid w:val="00E6155F"/>
    <w:rsid w:val="00E6176B"/>
    <w:rsid w:val="00E61779"/>
    <w:rsid w:val="00E61850"/>
    <w:rsid w:val="00E61886"/>
    <w:rsid w:val="00E61988"/>
    <w:rsid w:val="00E61AB8"/>
    <w:rsid w:val="00E61AC4"/>
    <w:rsid w:val="00E61B3D"/>
    <w:rsid w:val="00E61D67"/>
    <w:rsid w:val="00E61E52"/>
    <w:rsid w:val="00E61FC4"/>
    <w:rsid w:val="00E62090"/>
    <w:rsid w:val="00E62198"/>
    <w:rsid w:val="00E62257"/>
    <w:rsid w:val="00E62286"/>
    <w:rsid w:val="00E62337"/>
    <w:rsid w:val="00E623AC"/>
    <w:rsid w:val="00E625F7"/>
    <w:rsid w:val="00E6274E"/>
    <w:rsid w:val="00E62841"/>
    <w:rsid w:val="00E628F1"/>
    <w:rsid w:val="00E6292B"/>
    <w:rsid w:val="00E62A40"/>
    <w:rsid w:val="00E62C0C"/>
    <w:rsid w:val="00E62C18"/>
    <w:rsid w:val="00E62C42"/>
    <w:rsid w:val="00E62CEC"/>
    <w:rsid w:val="00E62E37"/>
    <w:rsid w:val="00E630BD"/>
    <w:rsid w:val="00E63190"/>
    <w:rsid w:val="00E63292"/>
    <w:rsid w:val="00E63340"/>
    <w:rsid w:val="00E633F0"/>
    <w:rsid w:val="00E63529"/>
    <w:rsid w:val="00E6358F"/>
    <w:rsid w:val="00E63611"/>
    <w:rsid w:val="00E6363B"/>
    <w:rsid w:val="00E6371E"/>
    <w:rsid w:val="00E63898"/>
    <w:rsid w:val="00E63937"/>
    <w:rsid w:val="00E63B9D"/>
    <w:rsid w:val="00E63CBC"/>
    <w:rsid w:val="00E63DCA"/>
    <w:rsid w:val="00E63DFC"/>
    <w:rsid w:val="00E63E09"/>
    <w:rsid w:val="00E63F6A"/>
    <w:rsid w:val="00E63FCF"/>
    <w:rsid w:val="00E6410E"/>
    <w:rsid w:val="00E64475"/>
    <w:rsid w:val="00E644D9"/>
    <w:rsid w:val="00E6455D"/>
    <w:rsid w:val="00E6458F"/>
    <w:rsid w:val="00E64678"/>
    <w:rsid w:val="00E64797"/>
    <w:rsid w:val="00E648A2"/>
    <w:rsid w:val="00E64B80"/>
    <w:rsid w:val="00E64DAD"/>
    <w:rsid w:val="00E64E4D"/>
    <w:rsid w:val="00E64E7C"/>
    <w:rsid w:val="00E64EB6"/>
    <w:rsid w:val="00E650C6"/>
    <w:rsid w:val="00E650E3"/>
    <w:rsid w:val="00E65105"/>
    <w:rsid w:val="00E65147"/>
    <w:rsid w:val="00E6519F"/>
    <w:rsid w:val="00E651EB"/>
    <w:rsid w:val="00E652D8"/>
    <w:rsid w:val="00E6549D"/>
    <w:rsid w:val="00E655EA"/>
    <w:rsid w:val="00E65677"/>
    <w:rsid w:val="00E657BE"/>
    <w:rsid w:val="00E659C5"/>
    <w:rsid w:val="00E65B62"/>
    <w:rsid w:val="00E65CBC"/>
    <w:rsid w:val="00E65D7E"/>
    <w:rsid w:val="00E65F23"/>
    <w:rsid w:val="00E66046"/>
    <w:rsid w:val="00E66066"/>
    <w:rsid w:val="00E660BE"/>
    <w:rsid w:val="00E662C0"/>
    <w:rsid w:val="00E662ED"/>
    <w:rsid w:val="00E66324"/>
    <w:rsid w:val="00E663FD"/>
    <w:rsid w:val="00E66475"/>
    <w:rsid w:val="00E665D8"/>
    <w:rsid w:val="00E66796"/>
    <w:rsid w:val="00E6689A"/>
    <w:rsid w:val="00E66BB4"/>
    <w:rsid w:val="00E66C12"/>
    <w:rsid w:val="00E66CBA"/>
    <w:rsid w:val="00E66CF5"/>
    <w:rsid w:val="00E66D13"/>
    <w:rsid w:val="00E66D42"/>
    <w:rsid w:val="00E66FD7"/>
    <w:rsid w:val="00E6701D"/>
    <w:rsid w:val="00E6701F"/>
    <w:rsid w:val="00E67058"/>
    <w:rsid w:val="00E67107"/>
    <w:rsid w:val="00E6728C"/>
    <w:rsid w:val="00E67343"/>
    <w:rsid w:val="00E674EF"/>
    <w:rsid w:val="00E67639"/>
    <w:rsid w:val="00E67A5A"/>
    <w:rsid w:val="00E67A5F"/>
    <w:rsid w:val="00E67BBC"/>
    <w:rsid w:val="00E67BF7"/>
    <w:rsid w:val="00E67D60"/>
    <w:rsid w:val="00E67E26"/>
    <w:rsid w:val="00E67E9E"/>
    <w:rsid w:val="00E67EFC"/>
    <w:rsid w:val="00E67F68"/>
    <w:rsid w:val="00E67FFB"/>
    <w:rsid w:val="00E700C7"/>
    <w:rsid w:val="00E701CE"/>
    <w:rsid w:val="00E701E6"/>
    <w:rsid w:val="00E70283"/>
    <w:rsid w:val="00E7039E"/>
    <w:rsid w:val="00E7057B"/>
    <w:rsid w:val="00E70608"/>
    <w:rsid w:val="00E708B3"/>
    <w:rsid w:val="00E709B2"/>
    <w:rsid w:val="00E709E1"/>
    <w:rsid w:val="00E70A1D"/>
    <w:rsid w:val="00E70C7E"/>
    <w:rsid w:val="00E70C94"/>
    <w:rsid w:val="00E70D01"/>
    <w:rsid w:val="00E70D31"/>
    <w:rsid w:val="00E70D56"/>
    <w:rsid w:val="00E70DA7"/>
    <w:rsid w:val="00E70EE6"/>
    <w:rsid w:val="00E70F6A"/>
    <w:rsid w:val="00E70F6F"/>
    <w:rsid w:val="00E71078"/>
    <w:rsid w:val="00E710B8"/>
    <w:rsid w:val="00E71229"/>
    <w:rsid w:val="00E712BF"/>
    <w:rsid w:val="00E71382"/>
    <w:rsid w:val="00E7141E"/>
    <w:rsid w:val="00E714EC"/>
    <w:rsid w:val="00E71673"/>
    <w:rsid w:val="00E716DD"/>
    <w:rsid w:val="00E716F1"/>
    <w:rsid w:val="00E71861"/>
    <w:rsid w:val="00E7188C"/>
    <w:rsid w:val="00E718D7"/>
    <w:rsid w:val="00E718F8"/>
    <w:rsid w:val="00E71904"/>
    <w:rsid w:val="00E71A39"/>
    <w:rsid w:val="00E71BA9"/>
    <w:rsid w:val="00E71C2E"/>
    <w:rsid w:val="00E71C6B"/>
    <w:rsid w:val="00E71D23"/>
    <w:rsid w:val="00E71E23"/>
    <w:rsid w:val="00E71E84"/>
    <w:rsid w:val="00E71E89"/>
    <w:rsid w:val="00E71ECD"/>
    <w:rsid w:val="00E720FE"/>
    <w:rsid w:val="00E7216E"/>
    <w:rsid w:val="00E722B3"/>
    <w:rsid w:val="00E72357"/>
    <w:rsid w:val="00E72449"/>
    <w:rsid w:val="00E724DB"/>
    <w:rsid w:val="00E726D4"/>
    <w:rsid w:val="00E728FB"/>
    <w:rsid w:val="00E72923"/>
    <w:rsid w:val="00E729F2"/>
    <w:rsid w:val="00E72AAC"/>
    <w:rsid w:val="00E72ACD"/>
    <w:rsid w:val="00E72BC1"/>
    <w:rsid w:val="00E72C07"/>
    <w:rsid w:val="00E72D31"/>
    <w:rsid w:val="00E72DF2"/>
    <w:rsid w:val="00E72E70"/>
    <w:rsid w:val="00E73019"/>
    <w:rsid w:val="00E730D3"/>
    <w:rsid w:val="00E730F5"/>
    <w:rsid w:val="00E73272"/>
    <w:rsid w:val="00E7327C"/>
    <w:rsid w:val="00E73298"/>
    <w:rsid w:val="00E734A2"/>
    <w:rsid w:val="00E734B5"/>
    <w:rsid w:val="00E73578"/>
    <w:rsid w:val="00E735E4"/>
    <w:rsid w:val="00E7364E"/>
    <w:rsid w:val="00E736CE"/>
    <w:rsid w:val="00E73753"/>
    <w:rsid w:val="00E737F9"/>
    <w:rsid w:val="00E7397C"/>
    <w:rsid w:val="00E73AE2"/>
    <w:rsid w:val="00E73B6F"/>
    <w:rsid w:val="00E73C06"/>
    <w:rsid w:val="00E73D6D"/>
    <w:rsid w:val="00E73D6F"/>
    <w:rsid w:val="00E7413B"/>
    <w:rsid w:val="00E74243"/>
    <w:rsid w:val="00E742ED"/>
    <w:rsid w:val="00E743EE"/>
    <w:rsid w:val="00E74514"/>
    <w:rsid w:val="00E745CF"/>
    <w:rsid w:val="00E74618"/>
    <w:rsid w:val="00E74632"/>
    <w:rsid w:val="00E74824"/>
    <w:rsid w:val="00E74849"/>
    <w:rsid w:val="00E748B7"/>
    <w:rsid w:val="00E7490D"/>
    <w:rsid w:val="00E74ABB"/>
    <w:rsid w:val="00E74C94"/>
    <w:rsid w:val="00E74DF0"/>
    <w:rsid w:val="00E74EC9"/>
    <w:rsid w:val="00E75190"/>
    <w:rsid w:val="00E752B7"/>
    <w:rsid w:val="00E75330"/>
    <w:rsid w:val="00E754C1"/>
    <w:rsid w:val="00E755A9"/>
    <w:rsid w:val="00E7565C"/>
    <w:rsid w:val="00E75665"/>
    <w:rsid w:val="00E756C6"/>
    <w:rsid w:val="00E756E8"/>
    <w:rsid w:val="00E75723"/>
    <w:rsid w:val="00E757B8"/>
    <w:rsid w:val="00E75800"/>
    <w:rsid w:val="00E7587E"/>
    <w:rsid w:val="00E7588A"/>
    <w:rsid w:val="00E759E5"/>
    <w:rsid w:val="00E75B1C"/>
    <w:rsid w:val="00E75C0B"/>
    <w:rsid w:val="00E75D94"/>
    <w:rsid w:val="00E75EEB"/>
    <w:rsid w:val="00E75FE8"/>
    <w:rsid w:val="00E76024"/>
    <w:rsid w:val="00E76087"/>
    <w:rsid w:val="00E76106"/>
    <w:rsid w:val="00E76218"/>
    <w:rsid w:val="00E76261"/>
    <w:rsid w:val="00E7628E"/>
    <w:rsid w:val="00E7629F"/>
    <w:rsid w:val="00E762F8"/>
    <w:rsid w:val="00E7631C"/>
    <w:rsid w:val="00E7631D"/>
    <w:rsid w:val="00E763B4"/>
    <w:rsid w:val="00E765EB"/>
    <w:rsid w:val="00E76601"/>
    <w:rsid w:val="00E7666B"/>
    <w:rsid w:val="00E7668E"/>
    <w:rsid w:val="00E767DA"/>
    <w:rsid w:val="00E7687E"/>
    <w:rsid w:val="00E76920"/>
    <w:rsid w:val="00E76AB3"/>
    <w:rsid w:val="00E76AF5"/>
    <w:rsid w:val="00E76CEB"/>
    <w:rsid w:val="00E76E54"/>
    <w:rsid w:val="00E76FB5"/>
    <w:rsid w:val="00E77070"/>
    <w:rsid w:val="00E77165"/>
    <w:rsid w:val="00E771AF"/>
    <w:rsid w:val="00E7723E"/>
    <w:rsid w:val="00E772F7"/>
    <w:rsid w:val="00E77375"/>
    <w:rsid w:val="00E77484"/>
    <w:rsid w:val="00E774D2"/>
    <w:rsid w:val="00E775A9"/>
    <w:rsid w:val="00E77686"/>
    <w:rsid w:val="00E7774F"/>
    <w:rsid w:val="00E777DD"/>
    <w:rsid w:val="00E77825"/>
    <w:rsid w:val="00E779EF"/>
    <w:rsid w:val="00E77A4C"/>
    <w:rsid w:val="00E77BF1"/>
    <w:rsid w:val="00E77E0C"/>
    <w:rsid w:val="00E77E33"/>
    <w:rsid w:val="00E77EDF"/>
    <w:rsid w:val="00E8000A"/>
    <w:rsid w:val="00E80084"/>
    <w:rsid w:val="00E8010B"/>
    <w:rsid w:val="00E80277"/>
    <w:rsid w:val="00E802B4"/>
    <w:rsid w:val="00E802CB"/>
    <w:rsid w:val="00E805EF"/>
    <w:rsid w:val="00E8089A"/>
    <w:rsid w:val="00E80949"/>
    <w:rsid w:val="00E8097F"/>
    <w:rsid w:val="00E80A17"/>
    <w:rsid w:val="00E80C59"/>
    <w:rsid w:val="00E80C73"/>
    <w:rsid w:val="00E80C74"/>
    <w:rsid w:val="00E80D69"/>
    <w:rsid w:val="00E80E54"/>
    <w:rsid w:val="00E80E6C"/>
    <w:rsid w:val="00E80EBB"/>
    <w:rsid w:val="00E80F09"/>
    <w:rsid w:val="00E80FFA"/>
    <w:rsid w:val="00E8115D"/>
    <w:rsid w:val="00E8129C"/>
    <w:rsid w:val="00E81476"/>
    <w:rsid w:val="00E81536"/>
    <w:rsid w:val="00E8154A"/>
    <w:rsid w:val="00E81784"/>
    <w:rsid w:val="00E81AB2"/>
    <w:rsid w:val="00E81D3E"/>
    <w:rsid w:val="00E81D4A"/>
    <w:rsid w:val="00E81D88"/>
    <w:rsid w:val="00E81DD9"/>
    <w:rsid w:val="00E81DFF"/>
    <w:rsid w:val="00E81F19"/>
    <w:rsid w:val="00E81F20"/>
    <w:rsid w:val="00E81F31"/>
    <w:rsid w:val="00E8239B"/>
    <w:rsid w:val="00E823C1"/>
    <w:rsid w:val="00E82502"/>
    <w:rsid w:val="00E82591"/>
    <w:rsid w:val="00E825F8"/>
    <w:rsid w:val="00E82676"/>
    <w:rsid w:val="00E826F4"/>
    <w:rsid w:val="00E82743"/>
    <w:rsid w:val="00E8274D"/>
    <w:rsid w:val="00E82843"/>
    <w:rsid w:val="00E828F6"/>
    <w:rsid w:val="00E82AE6"/>
    <w:rsid w:val="00E82BC6"/>
    <w:rsid w:val="00E82C80"/>
    <w:rsid w:val="00E82D4A"/>
    <w:rsid w:val="00E82DF7"/>
    <w:rsid w:val="00E82EE5"/>
    <w:rsid w:val="00E82F21"/>
    <w:rsid w:val="00E82F9C"/>
    <w:rsid w:val="00E83028"/>
    <w:rsid w:val="00E8306F"/>
    <w:rsid w:val="00E831F9"/>
    <w:rsid w:val="00E83257"/>
    <w:rsid w:val="00E83391"/>
    <w:rsid w:val="00E8346D"/>
    <w:rsid w:val="00E8357F"/>
    <w:rsid w:val="00E836BF"/>
    <w:rsid w:val="00E836EF"/>
    <w:rsid w:val="00E83910"/>
    <w:rsid w:val="00E8395E"/>
    <w:rsid w:val="00E83A03"/>
    <w:rsid w:val="00E83A45"/>
    <w:rsid w:val="00E83DD5"/>
    <w:rsid w:val="00E83DDF"/>
    <w:rsid w:val="00E83E45"/>
    <w:rsid w:val="00E84052"/>
    <w:rsid w:val="00E840D9"/>
    <w:rsid w:val="00E8417D"/>
    <w:rsid w:val="00E84221"/>
    <w:rsid w:val="00E8426E"/>
    <w:rsid w:val="00E8427D"/>
    <w:rsid w:val="00E844F4"/>
    <w:rsid w:val="00E8479E"/>
    <w:rsid w:val="00E84831"/>
    <w:rsid w:val="00E848A8"/>
    <w:rsid w:val="00E849E4"/>
    <w:rsid w:val="00E84CC9"/>
    <w:rsid w:val="00E84CE2"/>
    <w:rsid w:val="00E84E8A"/>
    <w:rsid w:val="00E84F1A"/>
    <w:rsid w:val="00E84F2A"/>
    <w:rsid w:val="00E84FCC"/>
    <w:rsid w:val="00E84FEE"/>
    <w:rsid w:val="00E85050"/>
    <w:rsid w:val="00E850D3"/>
    <w:rsid w:val="00E8510B"/>
    <w:rsid w:val="00E85137"/>
    <w:rsid w:val="00E8517D"/>
    <w:rsid w:val="00E85222"/>
    <w:rsid w:val="00E85336"/>
    <w:rsid w:val="00E8533E"/>
    <w:rsid w:val="00E8545C"/>
    <w:rsid w:val="00E857C7"/>
    <w:rsid w:val="00E859C0"/>
    <w:rsid w:val="00E85A1F"/>
    <w:rsid w:val="00E85B58"/>
    <w:rsid w:val="00E85BEE"/>
    <w:rsid w:val="00E85D15"/>
    <w:rsid w:val="00E85D1B"/>
    <w:rsid w:val="00E85D34"/>
    <w:rsid w:val="00E85D65"/>
    <w:rsid w:val="00E85D68"/>
    <w:rsid w:val="00E85E8F"/>
    <w:rsid w:val="00E85F8F"/>
    <w:rsid w:val="00E8607E"/>
    <w:rsid w:val="00E860AB"/>
    <w:rsid w:val="00E86387"/>
    <w:rsid w:val="00E86467"/>
    <w:rsid w:val="00E864A9"/>
    <w:rsid w:val="00E865FF"/>
    <w:rsid w:val="00E86770"/>
    <w:rsid w:val="00E86899"/>
    <w:rsid w:val="00E8695F"/>
    <w:rsid w:val="00E8699A"/>
    <w:rsid w:val="00E869E1"/>
    <w:rsid w:val="00E86A02"/>
    <w:rsid w:val="00E86B37"/>
    <w:rsid w:val="00E86D41"/>
    <w:rsid w:val="00E86DE2"/>
    <w:rsid w:val="00E86E16"/>
    <w:rsid w:val="00E86E31"/>
    <w:rsid w:val="00E86F3E"/>
    <w:rsid w:val="00E86FBB"/>
    <w:rsid w:val="00E87099"/>
    <w:rsid w:val="00E871B9"/>
    <w:rsid w:val="00E87251"/>
    <w:rsid w:val="00E8727E"/>
    <w:rsid w:val="00E873B6"/>
    <w:rsid w:val="00E87450"/>
    <w:rsid w:val="00E87461"/>
    <w:rsid w:val="00E8747D"/>
    <w:rsid w:val="00E875D5"/>
    <w:rsid w:val="00E87753"/>
    <w:rsid w:val="00E87766"/>
    <w:rsid w:val="00E87834"/>
    <w:rsid w:val="00E87880"/>
    <w:rsid w:val="00E878CD"/>
    <w:rsid w:val="00E8798F"/>
    <w:rsid w:val="00E87A46"/>
    <w:rsid w:val="00E87AFC"/>
    <w:rsid w:val="00E87B0D"/>
    <w:rsid w:val="00E87C18"/>
    <w:rsid w:val="00E87C19"/>
    <w:rsid w:val="00E87CE0"/>
    <w:rsid w:val="00E87CEC"/>
    <w:rsid w:val="00E87D12"/>
    <w:rsid w:val="00E87D22"/>
    <w:rsid w:val="00E900F5"/>
    <w:rsid w:val="00E90332"/>
    <w:rsid w:val="00E90393"/>
    <w:rsid w:val="00E9045E"/>
    <w:rsid w:val="00E90471"/>
    <w:rsid w:val="00E9059C"/>
    <w:rsid w:val="00E9071B"/>
    <w:rsid w:val="00E90720"/>
    <w:rsid w:val="00E907AC"/>
    <w:rsid w:val="00E90949"/>
    <w:rsid w:val="00E909F1"/>
    <w:rsid w:val="00E90A5E"/>
    <w:rsid w:val="00E90B3D"/>
    <w:rsid w:val="00E90B7F"/>
    <w:rsid w:val="00E90BE2"/>
    <w:rsid w:val="00E90E28"/>
    <w:rsid w:val="00E90E9E"/>
    <w:rsid w:val="00E90F47"/>
    <w:rsid w:val="00E91107"/>
    <w:rsid w:val="00E911AD"/>
    <w:rsid w:val="00E911F7"/>
    <w:rsid w:val="00E9142F"/>
    <w:rsid w:val="00E9144A"/>
    <w:rsid w:val="00E91596"/>
    <w:rsid w:val="00E91614"/>
    <w:rsid w:val="00E9163F"/>
    <w:rsid w:val="00E9179A"/>
    <w:rsid w:val="00E91885"/>
    <w:rsid w:val="00E91949"/>
    <w:rsid w:val="00E9194E"/>
    <w:rsid w:val="00E91B29"/>
    <w:rsid w:val="00E91D27"/>
    <w:rsid w:val="00E91D9C"/>
    <w:rsid w:val="00E91DD9"/>
    <w:rsid w:val="00E9210A"/>
    <w:rsid w:val="00E921D9"/>
    <w:rsid w:val="00E921FD"/>
    <w:rsid w:val="00E922A4"/>
    <w:rsid w:val="00E92312"/>
    <w:rsid w:val="00E923C3"/>
    <w:rsid w:val="00E92581"/>
    <w:rsid w:val="00E926CE"/>
    <w:rsid w:val="00E926D1"/>
    <w:rsid w:val="00E926FE"/>
    <w:rsid w:val="00E92871"/>
    <w:rsid w:val="00E92961"/>
    <w:rsid w:val="00E9297C"/>
    <w:rsid w:val="00E92D6A"/>
    <w:rsid w:val="00E92DA3"/>
    <w:rsid w:val="00E92E76"/>
    <w:rsid w:val="00E92FDA"/>
    <w:rsid w:val="00E930B8"/>
    <w:rsid w:val="00E931D2"/>
    <w:rsid w:val="00E93484"/>
    <w:rsid w:val="00E934DF"/>
    <w:rsid w:val="00E9357E"/>
    <w:rsid w:val="00E93586"/>
    <w:rsid w:val="00E935B1"/>
    <w:rsid w:val="00E93601"/>
    <w:rsid w:val="00E9369D"/>
    <w:rsid w:val="00E937CD"/>
    <w:rsid w:val="00E938FE"/>
    <w:rsid w:val="00E939EC"/>
    <w:rsid w:val="00E93A0F"/>
    <w:rsid w:val="00E93D23"/>
    <w:rsid w:val="00E93F3C"/>
    <w:rsid w:val="00E93F7D"/>
    <w:rsid w:val="00E93FAC"/>
    <w:rsid w:val="00E9401A"/>
    <w:rsid w:val="00E94047"/>
    <w:rsid w:val="00E940C4"/>
    <w:rsid w:val="00E9418E"/>
    <w:rsid w:val="00E9426B"/>
    <w:rsid w:val="00E94415"/>
    <w:rsid w:val="00E9456F"/>
    <w:rsid w:val="00E945AA"/>
    <w:rsid w:val="00E945AF"/>
    <w:rsid w:val="00E94612"/>
    <w:rsid w:val="00E946AA"/>
    <w:rsid w:val="00E94895"/>
    <w:rsid w:val="00E94A79"/>
    <w:rsid w:val="00E94AD7"/>
    <w:rsid w:val="00E94B89"/>
    <w:rsid w:val="00E94BA3"/>
    <w:rsid w:val="00E94CBA"/>
    <w:rsid w:val="00E94D59"/>
    <w:rsid w:val="00E94DB6"/>
    <w:rsid w:val="00E94E32"/>
    <w:rsid w:val="00E94E36"/>
    <w:rsid w:val="00E94E8B"/>
    <w:rsid w:val="00E94F99"/>
    <w:rsid w:val="00E94FE9"/>
    <w:rsid w:val="00E94FF1"/>
    <w:rsid w:val="00E952A9"/>
    <w:rsid w:val="00E9539B"/>
    <w:rsid w:val="00E95414"/>
    <w:rsid w:val="00E95423"/>
    <w:rsid w:val="00E954D9"/>
    <w:rsid w:val="00E95850"/>
    <w:rsid w:val="00E9593E"/>
    <w:rsid w:val="00E95AC9"/>
    <w:rsid w:val="00E95AF1"/>
    <w:rsid w:val="00E95B42"/>
    <w:rsid w:val="00E95B89"/>
    <w:rsid w:val="00E95E98"/>
    <w:rsid w:val="00E960D5"/>
    <w:rsid w:val="00E961E1"/>
    <w:rsid w:val="00E96251"/>
    <w:rsid w:val="00E96495"/>
    <w:rsid w:val="00E964AB"/>
    <w:rsid w:val="00E965C2"/>
    <w:rsid w:val="00E9663C"/>
    <w:rsid w:val="00E96658"/>
    <w:rsid w:val="00E9670F"/>
    <w:rsid w:val="00E96AD3"/>
    <w:rsid w:val="00E96D4D"/>
    <w:rsid w:val="00E96D66"/>
    <w:rsid w:val="00E96DD6"/>
    <w:rsid w:val="00E96EA5"/>
    <w:rsid w:val="00E96FE9"/>
    <w:rsid w:val="00E970C7"/>
    <w:rsid w:val="00E970C9"/>
    <w:rsid w:val="00E972A6"/>
    <w:rsid w:val="00E973CB"/>
    <w:rsid w:val="00E9744C"/>
    <w:rsid w:val="00E97454"/>
    <w:rsid w:val="00E9752A"/>
    <w:rsid w:val="00E9767C"/>
    <w:rsid w:val="00E976A0"/>
    <w:rsid w:val="00E97768"/>
    <w:rsid w:val="00E9790C"/>
    <w:rsid w:val="00E97BED"/>
    <w:rsid w:val="00E97D4A"/>
    <w:rsid w:val="00E97E2C"/>
    <w:rsid w:val="00E97F88"/>
    <w:rsid w:val="00E97F9E"/>
    <w:rsid w:val="00E97FF9"/>
    <w:rsid w:val="00EA0162"/>
    <w:rsid w:val="00EA0200"/>
    <w:rsid w:val="00EA04A7"/>
    <w:rsid w:val="00EA068C"/>
    <w:rsid w:val="00EA0821"/>
    <w:rsid w:val="00EA09D7"/>
    <w:rsid w:val="00EA0A8E"/>
    <w:rsid w:val="00EA0BF0"/>
    <w:rsid w:val="00EA0C2A"/>
    <w:rsid w:val="00EA0C69"/>
    <w:rsid w:val="00EA0D07"/>
    <w:rsid w:val="00EA0E3B"/>
    <w:rsid w:val="00EA0ED0"/>
    <w:rsid w:val="00EA1196"/>
    <w:rsid w:val="00EA136D"/>
    <w:rsid w:val="00EA146A"/>
    <w:rsid w:val="00EA14BD"/>
    <w:rsid w:val="00EA1592"/>
    <w:rsid w:val="00EA163E"/>
    <w:rsid w:val="00EA184E"/>
    <w:rsid w:val="00EA1871"/>
    <w:rsid w:val="00EA18A0"/>
    <w:rsid w:val="00EA192E"/>
    <w:rsid w:val="00EA193D"/>
    <w:rsid w:val="00EA194C"/>
    <w:rsid w:val="00EA19DE"/>
    <w:rsid w:val="00EA1B87"/>
    <w:rsid w:val="00EA1BA0"/>
    <w:rsid w:val="00EA1C74"/>
    <w:rsid w:val="00EA1CC1"/>
    <w:rsid w:val="00EA1DBD"/>
    <w:rsid w:val="00EA1DFB"/>
    <w:rsid w:val="00EA1EF9"/>
    <w:rsid w:val="00EA1FED"/>
    <w:rsid w:val="00EA22D3"/>
    <w:rsid w:val="00EA2327"/>
    <w:rsid w:val="00EA242E"/>
    <w:rsid w:val="00EA24CE"/>
    <w:rsid w:val="00EA24D0"/>
    <w:rsid w:val="00EA259D"/>
    <w:rsid w:val="00EA2971"/>
    <w:rsid w:val="00EA2CA6"/>
    <w:rsid w:val="00EA2D4B"/>
    <w:rsid w:val="00EA2E74"/>
    <w:rsid w:val="00EA3039"/>
    <w:rsid w:val="00EA3086"/>
    <w:rsid w:val="00EA30E1"/>
    <w:rsid w:val="00EA3101"/>
    <w:rsid w:val="00EA3131"/>
    <w:rsid w:val="00EA320C"/>
    <w:rsid w:val="00EA3317"/>
    <w:rsid w:val="00EA3440"/>
    <w:rsid w:val="00EA346A"/>
    <w:rsid w:val="00EA349B"/>
    <w:rsid w:val="00EA35BB"/>
    <w:rsid w:val="00EA384D"/>
    <w:rsid w:val="00EA391B"/>
    <w:rsid w:val="00EA3983"/>
    <w:rsid w:val="00EA3AA5"/>
    <w:rsid w:val="00EA3BF6"/>
    <w:rsid w:val="00EA3C2C"/>
    <w:rsid w:val="00EA3CC5"/>
    <w:rsid w:val="00EA3D65"/>
    <w:rsid w:val="00EA3D78"/>
    <w:rsid w:val="00EA3DB6"/>
    <w:rsid w:val="00EA3ED2"/>
    <w:rsid w:val="00EA3F11"/>
    <w:rsid w:val="00EA3F6B"/>
    <w:rsid w:val="00EA4091"/>
    <w:rsid w:val="00EA413B"/>
    <w:rsid w:val="00EA4360"/>
    <w:rsid w:val="00EA43F2"/>
    <w:rsid w:val="00EA443D"/>
    <w:rsid w:val="00EA461D"/>
    <w:rsid w:val="00EA466F"/>
    <w:rsid w:val="00EA47F8"/>
    <w:rsid w:val="00EA48E5"/>
    <w:rsid w:val="00EA497E"/>
    <w:rsid w:val="00EA49A4"/>
    <w:rsid w:val="00EA4BDF"/>
    <w:rsid w:val="00EA4C38"/>
    <w:rsid w:val="00EA4C74"/>
    <w:rsid w:val="00EA4D19"/>
    <w:rsid w:val="00EA4E48"/>
    <w:rsid w:val="00EA4E5C"/>
    <w:rsid w:val="00EA4E68"/>
    <w:rsid w:val="00EA4E6E"/>
    <w:rsid w:val="00EA4F47"/>
    <w:rsid w:val="00EA4FE4"/>
    <w:rsid w:val="00EA5148"/>
    <w:rsid w:val="00EA5184"/>
    <w:rsid w:val="00EA51C6"/>
    <w:rsid w:val="00EA5349"/>
    <w:rsid w:val="00EA53C7"/>
    <w:rsid w:val="00EA53DD"/>
    <w:rsid w:val="00EA53EF"/>
    <w:rsid w:val="00EA5416"/>
    <w:rsid w:val="00EA546A"/>
    <w:rsid w:val="00EA54F3"/>
    <w:rsid w:val="00EA55B8"/>
    <w:rsid w:val="00EA5715"/>
    <w:rsid w:val="00EA5765"/>
    <w:rsid w:val="00EA5B23"/>
    <w:rsid w:val="00EA5BE5"/>
    <w:rsid w:val="00EA5BEA"/>
    <w:rsid w:val="00EA5D00"/>
    <w:rsid w:val="00EA5E2E"/>
    <w:rsid w:val="00EA5EE0"/>
    <w:rsid w:val="00EA5F77"/>
    <w:rsid w:val="00EA620E"/>
    <w:rsid w:val="00EA6210"/>
    <w:rsid w:val="00EA653A"/>
    <w:rsid w:val="00EA67E7"/>
    <w:rsid w:val="00EA6831"/>
    <w:rsid w:val="00EA69B0"/>
    <w:rsid w:val="00EA6A1C"/>
    <w:rsid w:val="00EA6AC1"/>
    <w:rsid w:val="00EA6C2A"/>
    <w:rsid w:val="00EA6C6F"/>
    <w:rsid w:val="00EA6E7D"/>
    <w:rsid w:val="00EA6FE9"/>
    <w:rsid w:val="00EA7210"/>
    <w:rsid w:val="00EA7235"/>
    <w:rsid w:val="00EA72C2"/>
    <w:rsid w:val="00EA7319"/>
    <w:rsid w:val="00EA740C"/>
    <w:rsid w:val="00EA75E7"/>
    <w:rsid w:val="00EA7659"/>
    <w:rsid w:val="00EA76D4"/>
    <w:rsid w:val="00EA7824"/>
    <w:rsid w:val="00EA7996"/>
    <w:rsid w:val="00EA79F6"/>
    <w:rsid w:val="00EA7C2E"/>
    <w:rsid w:val="00EA7DF1"/>
    <w:rsid w:val="00EA7E77"/>
    <w:rsid w:val="00EB003C"/>
    <w:rsid w:val="00EB00F2"/>
    <w:rsid w:val="00EB010D"/>
    <w:rsid w:val="00EB0173"/>
    <w:rsid w:val="00EB01B1"/>
    <w:rsid w:val="00EB0266"/>
    <w:rsid w:val="00EB051C"/>
    <w:rsid w:val="00EB06E3"/>
    <w:rsid w:val="00EB0BD0"/>
    <w:rsid w:val="00EB0C38"/>
    <w:rsid w:val="00EB0D63"/>
    <w:rsid w:val="00EB0ECF"/>
    <w:rsid w:val="00EB0EE3"/>
    <w:rsid w:val="00EB0F07"/>
    <w:rsid w:val="00EB100A"/>
    <w:rsid w:val="00EB10A6"/>
    <w:rsid w:val="00EB10D0"/>
    <w:rsid w:val="00EB1388"/>
    <w:rsid w:val="00EB13BB"/>
    <w:rsid w:val="00EB16F6"/>
    <w:rsid w:val="00EB1739"/>
    <w:rsid w:val="00EB1766"/>
    <w:rsid w:val="00EB1785"/>
    <w:rsid w:val="00EB17B6"/>
    <w:rsid w:val="00EB1862"/>
    <w:rsid w:val="00EB1D5C"/>
    <w:rsid w:val="00EB1E0E"/>
    <w:rsid w:val="00EB1FD5"/>
    <w:rsid w:val="00EB20AE"/>
    <w:rsid w:val="00EB20B5"/>
    <w:rsid w:val="00EB210C"/>
    <w:rsid w:val="00EB2121"/>
    <w:rsid w:val="00EB2150"/>
    <w:rsid w:val="00EB22F7"/>
    <w:rsid w:val="00EB2362"/>
    <w:rsid w:val="00EB2461"/>
    <w:rsid w:val="00EB2529"/>
    <w:rsid w:val="00EB26FE"/>
    <w:rsid w:val="00EB274D"/>
    <w:rsid w:val="00EB2895"/>
    <w:rsid w:val="00EB28A3"/>
    <w:rsid w:val="00EB2922"/>
    <w:rsid w:val="00EB2A35"/>
    <w:rsid w:val="00EB2A7D"/>
    <w:rsid w:val="00EB2B26"/>
    <w:rsid w:val="00EB2B2A"/>
    <w:rsid w:val="00EB2B31"/>
    <w:rsid w:val="00EB2B5C"/>
    <w:rsid w:val="00EB2BF8"/>
    <w:rsid w:val="00EB2CE9"/>
    <w:rsid w:val="00EB2D10"/>
    <w:rsid w:val="00EB2E18"/>
    <w:rsid w:val="00EB2F1A"/>
    <w:rsid w:val="00EB2F1F"/>
    <w:rsid w:val="00EB308A"/>
    <w:rsid w:val="00EB31C1"/>
    <w:rsid w:val="00EB31C8"/>
    <w:rsid w:val="00EB33E1"/>
    <w:rsid w:val="00EB3426"/>
    <w:rsid w:val="00EB3433"/>
    <w:rsid w:val="00EB36F2"/>
    <w:rsid w:val="00EB3809"/>
    <w:rsid w:val="00EB38F2"/>
    <w:rsid w:val="00EB395D"/>
    <w:rsid w:val="00EB39D2"/>
    <w:rsid w:val="00EB39E3"/>
    <w:rsid w:val="00EB3C23"/>
    <w:rsid w:val="00EB3C93"/>
    <w:rsid w:val="00EB3CB2"/>
    <w:rsid w:val="00EB3D46"/>
    <w:rsid w:val="00EB3D91"/>
    <w:rsid w:val="00EB3F5A"/>
    <w:rsid w:val="00EB40AA"/>
    <w:rsid w:val="00EB42A7"/>
    <w:rsid w:val="00EB4371"/>
    <w:rsid w:val="00EB45E8"/>
    <w:rsid w:val="00EB4600"/>
    <w:rsid w:val="00EB4615"/>
    <w:rsid w:val="00EB4783"/>
    <w:rsid w:val="00EB47C7"/>
    <w:rsid w:val="00EB4A2E"/>
    <w:rsid w:val="00EB4A80"/>
    <w:rsid w:val="00EB4A87"/>
    <w:rsid w:val="00EB4B6C"/>
    <w:rsid w:val="00EB4C0E"/>
    <w:rsid w:val="00EB4D15"/>
    <w:rsid w:val="00EB4D8B"/>
    <w:rsid w:val="00EB4DD0"/>
    <w:rsid w:val="00EB4DEB"/>
    <w:rsid w:val="00EB4F49"/>
    <w:rsid w:val="00EB5233"/>
    <w:rsid w:val="00EB52F8"/>
    <w:rsid w:val="00EB54A1"/>
    <w:rsid w:val="00EB56FF"/>
    <w:rsid w:val="00EB581F"/>
    <w:rsid w:val="00EB585A"/>
    <w:rsid w:val="00EB5868"/>
    <w:rsid w:val="00EB59F0"/>
    <w:rsid w:val="00EB59F5"/>
    <w:rsid w:val="00EB59FD"/>
    <w:rsid w:val="00EB5A76"/>
    <w:rsid w:val="00EB5BD4"/>
    <w:rsid w:val="00EB5C0D"/>
    <w:rsid w:val="00EB5C36"/>
    <w:rsid w:val="00EB5C38"/>
    <w:rsid w:val="00EB5D93"/>
    <w:rsid w:val="00EB5E1B"/>
    <w:rsid w:val="00EB5FD4"/>
    <w:rsid w:val="00EB6142"/>
    <w:rsid w:val="00EB618A"/>
    <w:rsid w:val="00EB622C"/>
    <w:rsid w:val="00EB6331"/>
    <w:rsid w:val="00EB64BE"/>
    <w:rsid w:val="00EB6500"/>
    <w:rsid w:val="00EB6605"/>
    <w:rsid w:val="00EB67EF"/>
    <w:rsid w:val="00EB68C9"/>
    <w:rsid w:val="00EB6A56"/>
    <w:rsid w:val="00EB6A77"/>
    <w:rsid w:val="00EB6A88"/>
    <w:rsid w:val="00EB6B42"/>
    <w:rsid w:val="00EB6E4F"/>
    <w:rsid w:val="00EB6F4B"/>
    <w:rsid w:val="00EB6F53"/>
    <w:rsid w:val="00EB6F5C"/>
    <w:rsid w:val="00EB705C"/>
    <w:rsid w:val="00EB70AC"/>
    <w:rsid w:val="00EB7184"/>
    <w:rsid w:val="00EB7189"/>
    <w:rsid w:val="00EB726B"/>
    <w:rsid w:val="00EB750D"/>
    <w:rsid w:val="00EB753C"/>
    <w:rsid w:val="00EB759E"/>
    <w:rsid w:val="00EB766E"/>
    <w:rsid w:val="00EB76E6"/>
    <w:rsid w:val="00EB76F9"/>
    <w:rsid w:val="00EB77B9"/>
    <w:rsid w:val="00EB77F6"/>
    <w:rsid w:val="00EB7868"/>
    <w:rsid w:val="00EB786C"/>
    <w:rsid w:val="00EB7882"/>
    <w:rsid w:val="00EB7A1A"/>
    <w:rsid w:val="00EB7BC6"/>
    <w:rsid w:val="00EB7CFE"/>
    <w:rsid w:val="00EB7D2F"/>
    <w:rsid w:val="00EB7FBE"/>
    <w:rsid w:val="00EC0150"/>
    <w:rsid w:val="00EC0201"/>
    <w:rsid w:val="00EC02C7"/>
    <w:rsid w:val="00EC0366"/>
    <w:rsid w:val="00EC0440"/>
    <w:rsid w:val="00EC059E"/>
    <w:rsid w:val="00EC0625"/>
    <w:rsid w:val="00EC067A"/>
    <w:rsid w:val="00EC082A"/>
    <w:rsid w:val="00EC08D9"/>
    <w:rsid w:val="00EC090B"/>
    <w:rsid w:val="00EC099C"/>
    <w:rsid w:val="00EC0A48"/>
    <w:rsid w:val="00EC0B1A"/>
    <w:rsid w:val="00EC0C62"/>
    <w:rsid w:val="00EC0C7E"/>
    <w:rsid w:val="00EC0CE9"/>
    <w:rsid w:val="00EC0CFD"/>
    <w:rsid w:val="00EC0D0B"/>
    <w:rsid w:val="00EC0EC0"/>
    <w:rsid w:val="00EC0F07"/>
    <w:rsid w:val="00EC0F16"/>
    <w:rsid w:val="00EC111A"/>
    <w:rsid w:val="00EC123A"/>
    <w:rsid w:val="00EC1331"/>
    <w:rsid w:val="00EC13A7"/>
    <w:rsid w:val="00EC1499"/>
    <w:rsid w:val="00EC15D7"/>
    <w:rsid w:val="00EC17C3"/>
    <w:rsid w:val="00EC17CF"/>
    <w:rsid w:val="00EC181C"/>
    <w:rsid w:val="00EC193B"/>
    <w:rsid w:val="00EC1998"/>
    <w:rsid w:val="00EC1A6F"/>
    <w:rsid w:val="00EC1AB6"/>
    <w:rsid w:val="00EC1B15"/>
    <w:rsid w:val="00EC1F34"/>
    <w:rsid w:val="00EC2092"/>
    <w:rsid w:val="00EC21AC"/>
    <w:rsid w:val="00EC2392"/>
    <w:rsid w:val="00EC2662"/>
    <w:rsid w:val="00EC2676"/>
    <w:rsid w:val="00EC29CA"/>
    <w:rsid w:val="00EC2CC3"/>
    <w:rsid w:val="00EC2CCA"/>
    <w:rsid w:val="00EC2DFC"/>
    <w:rsid w:val="00EC2E8B"/>
    <w:rsid w:val="00EC2F4F"/>
    <w:rsid w:val="00EC2FA6"/>
    <w:rsid w:val="00EC3035"/>
    <w:rsid w:val="00EC303D"/>
    <w:rsid w:val="00EC307D"/>
    <w:rsid w:val="00EC31FD"/>
    <w:rsid w:val="00EC3238"/>
    <w:rsid w:val="00EC32B8"/>
    <w:rsid w:val="00EC3339"/>
    <w:rsid w:val="00EC3383"/>
    <w:rsid w:val="00EC3589"/>
    <w:rsid w:val="00EC35B3"/>
    <w:rsid w:val="00EC3624"/>
    <w:rsid w:val="00EC3A35"/>
    <w:rsid w:val="00EC3AEF"/>
    <w:rsid w:val="00EC3C5D"/>
    <w:rsid w:val="00EC3D52"/>
    <w:rsid w:val="00EC3D5C"/>
    <w:rsid w:val="00EC3D8F"/>
    <w:rsid w:val="00EC3EAF"/>
    <w:rsid w:val="00EC401F"/>
    <w:rsid w:val="00EC4152"/>
    <w:rsid w:val="00EC421E"/>
    <w:rsid w:val="00EC4253"/>
    <w:rsid w:val="00EC4266"/>
    <w:rsid w:val="00EC4304"/>
    <w:rsid w:val="00EC4309"/>
    <w:rsid w:val="00EC4333"/>
    <w:rsid w:val="00EC43A5"/>
    <w:rsid w:val="00EC4472"/>
    <w:rsid w:val="00EC44CC"/>
    <w:rsid w:val="00EC4541"/>
    <w:rsid w:val="00EC4629"/>
    <w:rsid w:val="00EC46E5"/>
    <w:rsid w:val="00EC47B2"/>
    <w:rsid w:val="00EC490B"/>
    <w:rsid w:val="00EC4A0A"/>
    <w:rsid w:val="00EC4B6A"/>
    <w:rsid w:val="00EC4BF7"/>
    <w:rsid w:val="00EC4C2A"/>
    <w:rsid w:val="00EC4C52"/>
    <w:rsid w:val="00EC4C81"/>
    <w:rsid w:val="00EC4C8D"/>
    <w:rsid w:val="00EC4EAB"/>
    <w:rsid w:val="00EC4F50"/>
    <w:rsid w:val="00EC4F65"/>
    <w:rsid w:val="00EC4FDF"/>
    <w:rsid w:val="00EC50BE"/>
    <w:rsid w:val="00EC53D1"/>
    <w:rsid w:val="00EC5630"/>
    <w:rsid w:val="00EC5723"/>
    <w:rsid w:val="00EC5A1C"/>
    <w:rsid w:val="00EC5B40"/>
    <w:rsid w:val="00EC5E45"/>
    <w:rsid w:val="00EC5E67"/>
    <w:rsid w:val="00EC5ECD"/>
    <w:rsid w:val="00EC602A"/>
    <w:rsid w:val="00EC61C1"/>
    <w:rsid w:val="00EC632C"/>
    <w:rsid w:val="00EC6514"/>
    <w:rsid w:val="00EC6613"/>
    <w:rsid w:val="00EC6649"/>
    <w:rsid w:val="00EC66FE"/>
    <w:rsid w:val="00EC6745"/>
    <w:rsid w:val="00EC6967"/>
    <w:rsid w:val="00EC69B0"/>
    <w:rsid w:val="00EC6BA1"/>
    <w:rsid w:val="00EC6C50"/>
    <w:rsid w:val="00EC6CA6"/>
    <w:rsid w:val="00EC6CD4"/>
    <w:rsid w:val="00EC6E3E"/>
    <w:rsid w:val="00EC6F86"/>
    <w:rsid w:val="00EC6FE3"/>
    <w:rsid w:val="00EC71FE"/>
    <w:rsid w:val="00EC72E8"/>
    <w:rsid w:val="00EC7306"/>
    <w:rsid w:val="00EC741B"/>
    <w:rsid w:val="00EC7488"/>
    <w:rsid w:val="00EC74E4"/>
    <w:rsid w:val="00EC74E6"/>
    <w:rsid w:val="00EC7524"/>
    <w:rsid w:val="00EC75B9"/>
    <w:rsid w:val="00EC7631"/>
    <w:rsid w:val="00EC7702"/>
    <w:rsid w:val="00EC7731"/>
    <w:rsid w:val="00EC77BD"/>
    <w:rsid w:val="00EC7887"/>
    <w:rsid w:val="00EC78EB"/>
    <w:rsid w:val="00EC7E7A"/>
    <w:rsid w:val="00EC7E97"/>
    <w:rsid w:val="00EC7EDA"/>
    <w:rsid w:val="00EC7EF0"/>
    <w:rsid w:val="00ED0156"/>
    <w:rsid w:val="00ED015B"/>
    <w:rsid w:val="00ED0343"/>
    <w:rsid w:val="00ED036D"/>
    <w:rsid w:val="00ED0414"/>
    <w:rsid w:val="00ED048D"/>
    <w:rsid w:val="00ED04C0"/>
    <w:rsid w:val="00ED0503"/>
    <w:rsid w:val="00ED052F"/>
    <w:rsid w:val="00ED055E"/>
    <w:rsid w:val="00ED05C7"/>
    <w:rsid w:val="00ED05CC"/>
    <w:rsid w:val="00ED05E6"/>
    <w:rsid w:val="00ED0697"/>
    <w:rsid w:val="00ED0789"/>
    <w:rsid w:val="00ED0799"/>
    <w:rsid w:val="00ED07A4"/>
    <w:rsid w:val="00ED07AE"/>
    <w:rsid w:val="00ED0A80"/>
    <w:rsid w:val="00ED0B02"/>
    <w:rsid w:val="00ED0CA2"/>
    <w:rsid w:val="00ED0DFA"/>
    <w:rsid w:val="00ED0EFC"/>
    <w:rsid w:val="00ED0F36"/>
    <w:rsid w:val="00ED101E"/>
    <w:rsid w:val="00ED106F"/>
    <w:rsid w:val="00ED116C"/>
    <w:rsid w:val="00ED12E0"/>
    <w:rsid w:val="00ED1385"/>
    <w:rsid w:val="00ED14A2"/>
    <w:rsid w:val="00ED1501"/>
    <w:rsid w:val="00ED1598"/>
    <w:rsid w:val="00ED15B7"/>
    <w:rsid w:val="00ED1762"/>
    <w:rsid w:val="00ED17DE"/>
    <w:rsid w:val="00ED1854"/>
    <w:rsid w:val="00ED186F"/>
    <w:rsid w:val="00ED194B"/>
    <w:rsid w:val="00ED1C54"/>
    <w:rsid w:val="00ED1D17"/>
    <w:rsid w:val="00ED1E09"/>
    <w:rsid w:val="00ED1EA3"/>
    <w:rsid w:val="00ED1FD8"/>
    <w:rsid w:val="00ED2042"/>
    <w:rsid w:val="00ED209F"/>
    <w:rsid w:val="00ED2130"/>
    <w:rsid w:val="00ED21A9"/>
    <w:rsid w:val="00ED223C"/>
    <w:rsid w:val="00ED224F"/>
    <w:rsid w:val="00ED238B"/>
    <w:rsid w:val="00ED23A2"/>
    <w:rsid w:val="00ED24A7"/>
    <w:rsid w:val="00ED2573"/>
    <w:rsid w:val="00ED25DC"/>
    <w:rsid w:val="00ED2615"/>
    <w:rsid w:val="00ED2777"/>
    <w:rsid w:val="00ED2866"/>
    <w:rsid w:val="00ED28E3"/>
    <w:rsid w:val="00ED29F4"/>
    <w:rsid w:val="00ED2AA9"/>
    <w:rsid w:val="00ED2B8E"/>
    <w:rsid w:val="00ED2BF3"/>
    <w:rsid w:val="00ED2C47"/>
    <w:rsid w:val="00ED2D04"/>
    <w:rsid w:val="00ED2E52"/>
    <w:rsid w:val="00ED2E79"/>
    <w:rsid w:val="00ED2F24"/>
    <w:rsid w:val="00ED2F41"/>
    <w:rsid w:val="00ED3150"/>
    <w:rsid w:val="00ED32CD"/>
    <w:rsid w:val="00ED338D"/>
    <w:rsid w:val="00ED34C7"/>
    <w:rsid w:val="00ED36D0"/>
    <w:rsid w:val="00ED376E"/>
    <w:rsid w:val="00ED3889"/>
    <w:rsid w:val="00ED395E"/>
    <w:rsid w:val="00ED3A32"/>
    <w:rsid w:val="00ED3A45"/>
    <w:rsid w:val="00ED3AAA"/>
    <w:rsid w:val="00ED3AC5"/>
    <w:rsid w:val="00ED3BCA"/>
    <w:rsid w:val="00ED3BE3"/>
    <w:rsid w:val="00ED3C98"/>
    <w:rsid w:val="00ED3D48"/>
    <w:rsid w:val="00ED3D76"/>
    <w:rsid w:val="00ED3DDA"/>
    <w:rsid w:val="00ED3DEA"/>
    <w:rsid w:val="00ED3E5C"/>
    <w:rsid w:val="00ED3EC2"/>
    <w:rsid w:val="00ED3F85"/>
    <w:rsid w:val="00ED4157"/>
    <w:rsid w:val="00ED4171"/>
    <w:rsid w:val="00ED431F"/>
    <w:rsid w:val="00ED43CF"/>
    <w:rsid w:val="00ED448F"/>
    <w:rsid w:val="00ED44CD"/>
    <w:rsid w:val="00ED45C8"/>
    <w:rsid w:val="00ED464D"/>
    <w:rsid w:val="00ED4835"/>
    <w:rsid w:val="00ED495A"/>
    <w:rsid w:val="00ED497D"/>
    <w:rsid w:val="00ED4A9B"/>
    <w:rsid w:val="00ED4B20"/>
    <w:rsid w:val="00ED4D89"/>
    <w:rsid w:val="00ED4F97"/>
    <w:rsid w:val="00ED5015"/>
    <w:rsid w:val="00ED50A6"/>
    <w:rsid w:val="00ED515E"/>
    <w:rsid w:val="00ED518B"/>
    <w:rsid w:val="00ED51FF"/>
    <w:rsid w:val="00ED5213"/>
    <w:rsid w:val="00ED5333"/>
    <w:rsid w:val="00ED5361"/>
    <w:rsid w:val="00ED538A"/>
    <w:rsid w:val="00ED546A"/>
    <w:rsid w:val="00ED54EC"/>
    <w:rsid w:val="00ED54FA"/>
    <w:rsid w:val="00ED58C3"/>
    <w:rsid w:val="00ED590E"/>
    <w:rsid w:val="00ED5926"/>
    <w:rsid w:val="00ED5A54"/>
    <w:rsid w:val="00ED5ABF"/>
    <w:rsid w:val="00ED5B68"/>
    <w:rsid w:val="00ED5BB7"/>
    <w:rsid w:val="00ED5C58"/>
    <w:rsid w:val="00ED5C99"/>
    <w:rsid w:val="00ED5E5E"/>
    <w:rsid w:val="00ED5E60"/>
    <w:rsid w:val="00ED5F8F"/>
    <w:rsid w:val="00ED6012"/>
    <w:rsid w:val="00ED60C6"/>
    <w:rsid w:val="00ED622E"/>
    <w:rsid w:val="00ED624E"/>
    <w:rsid w:val="00ED626C"/>
    <w:rsid w:val="00ED64FE"/>
    <w:rsid w:val="00ED65AB"/>
    <w:rsid w:val="00ED65D0"/>
    <w:rsid w:val="00ED660B"/>
    <w:rsid w:val="00ED662F"/>
    <w:rsid w:val="00ED6677"/>
    <w:rsid w:val="00ED66C8"/>
    <w:rsid w:val="00ED66E1"/>
    <w:rsid w:val="00ED69C7"/>
    <w:rsid w:val="00ED6A1E"/>
    <w:rsid w:val="00ED6A7A"/>
    <w:rsid w:val="00ED6B7D"/>
    <w:rsid w:val="00ED6C08"/>
    <w:rsid w:val="00ED6E36"/>
    <w:rsid w:val="00ED6EE7"/>
    <w:rsid w:val="00ED6EF7"/>
    <w:rsid w:val="00ED6F6C"/>
    <w:rsid w:val="00ED707F"/>
    <w:rsid w:val="00ED70C3"/>
    <w:rsid w:val="00ED713E"/>
    <w:rsid w:val="00ED715F"/>
    <w:rsid w:val="00ED7167"/>
    <w:rsid w:val="00ED7327"/>
    <w:rsid w:val="00ED732D"/>
    <w:rsid w:val="00ED747B"/>
    <w:rsid w:val="00ED74D1"/>
    <w:rsid w:val="00ED766C"/>
    <w:rsid w:val="00ED768C"/>
    <w:rsid w:val="00ED7952"/>
    <w:rsid w:val="00ED7A54"/>
    <w:rsid w:val="00ED7AC7"/>
    <w:rsid w:val="00ED7CC0"/>
    <w:rsid w:val="00ED7EA4"/>
    <w:rsid w:val="00EE0031"/>
    <w:rsid w:val="00EE01C7"/>
    <w:rsid w:val="00EE0572"/>
    <w:rsid w:val="00EE05AA"/>
    <w:rsid w:val="00EE05CD"/>
    <w:rsid w:val="00EE0720"/>
    <w:rsid w:val="00EE078C"/>
    <w:rsid w:val="00EE0801"/>
    <w:rsid w:val="00EE0CF1"/>
    <w:rsid w:val="00EE0F97"/>
    <w:rsid w:val="00EE1350"/>
    <w:rsid w:val="00EE1386"/>
    <w:rsid w:val="00EE14B9"/>
    <w:rsid w:val="00EE1572"/>
    <w:rsid w:val="00EE1698"/>
    <w:rsid w:val="00EE1958"/>
    <w:rsid w:val="00EE1994"/>
    <w:rsid w:val="00EE19C0"/>
    <w:rsid w:val="00EE1AA7"/>
    <w:rsid w:val="00EE1BEB"/>
    <w:rsid w:val="00EE1C27"/>
    <w:rsid w:val="00EE1DAB"/>
    <w:rsid w:val="00EE1DF9"/>
    <w:rsid w:val="00EE1E64"/>
    <w:rsid w:val="00EE1E99"/>
    <w:rsid w:val="00EE1EF6"/>
    <w:rsid w:val="00EE20F0"/>
    <w:rsid w:val="00EE21EB"/>
    <w:rsid w:val="00EE23B2"/>
    <w:rsid w:val="00EE23E0"/>
    <w:rsid w:val="00EE26A4"/>
    <w:rsid w:val="00EE26C1"/>
    <w:rsid w:val="00EE288B"/>
    <w:rsid w:val="00EE290F"/>
    <w:rsid w:val="00EE2AE0"/>
    <w:rsid w:val="00EE2BD1"/>
    <w:rsid w:val="00EE2D75"/>
    <w:rsid w:val="00EE2E14"/>
    <w:rsid w:val="00EE2E19"/>
    <w:rsid w:val="00EE309F"/>
    <w:rsid w:val="00EE3197"/>
    <w:rsid w:val="00EE3321"/>
    <w:rsid w:val="00EE33D6"/>
    <w:rsid w:val="00EE33F3"/>
    <w:rsid w:val="00EE3477"/>
    <w:rsid w:val="00EE38F3"/>
    <w:rsid w:val="00EE39C1"/>
    <w:rsid w:val="00EE39C7"/>
    <w:rsid w:val="00EE3B09"/>
    <w:rsid w:val="00EE3B6F"/>
    <w:rsid w:val="00EE3BA0"/>
    <w:rsid w:val="00EE3CB3"/>
    <w:rsid w:val="00EE3DF6"/>
    <w:rsid w:val="00EE3E8A"/>
    <w:rsid w:val="00EE3E8F"/>
    <w:rsid w:val="00EE3FEE"/>
    <w:rsid w:val="00EE4157"/>
    <w:rsid w:val="00EE446C"/>
    <w:rsid w:val="00EE44F0"/>
    <w:rsid w:val="00EE44F5"/>
    <w:rsid w:val="00EE46AE"/>
    <w:rsid w:val="00EE46C9"/>
    <w:rsid w:val="00EE4749"/>
    <w:rsid w:val="00EE4864"/>
    <w:rsid w:val="00EE4A25"/>
    <w:rsid w:val="00EE4ACB"/>
    <w:rsid w:val="00EE4B45"/>
    <w:rsid w:val="00EE4BDB"/>
    <w:rsid w:val="00EE4BF1"/>
    <w:rsid w:val="00EE4C10"/>
    <w:rsid w:val="00EE4C47"/>
    <w:rsid w:val="00EE4C69"/>
    <w:rsid w:val="00EE4D34"/>
    <w:rsid w:val="00EE4EF4"/>
    <w:rsid w:val="00EE4F1C"/>
    <w:rsid w:val="00EE4F8C"/>
    <w:rsid w:val="00EE5101"/>
    <w:rsid w:val="00EE5119"/>
    <w:rsid w:val="00EE521B"/>
    <w:rsid w:val="00EE52D6"/>
    <w:rsid w:val="00EE550F"/>
    <w:rsid w:val="00EE5658"/>
    <w:rsid w:val="00EE5756"/>
    <w:rsid w:val="00EE579F"/>
    <w:rsid w:val="00EE5813"/>
    <w:rsid w:val="00EE583F"/>
    <w:rsid w:val="00EE5C22"/>
    <w:rsid w:val="00EE5C82"/>
    <w:rsid w:val="00EE5D34"/>
    <w:rsid w:val="00EE5D5A"/>
    <w:rsid w:val="00EE5D86"/>
    <w:rsid w:val="00EE5FB5"/>
    <w:rsid w:val="00EE60BD"/>
    <w:rsid w:val="00EE61EB"/>
    <w:rsid w:val="00EE62C6"/>
    <w:rsid w:val="00EE6310"/>
    <w:rsid w:val="00EE6429"/>
    <w:rsid w:val="00EE6498"/>
    <w:rsid w:val="00EE651A"/>
    <w:rsid w:val="00EE67A7"/>
    <w:rsid w:val="00EE6838"/>
    <w:rsid w:val="00EE6896"/>
    <w:rsid w:val="00EE68B9"/>
    <w:rsid w:val="00EE694E"/>
    <w:rsid w:val="00EE6AF4"/>
    <w:rsid w:val="00EE6C81"/>
    <w:rsid w:val="00EE6F74"/>
    <w:rsid w:val="00EE6F94"/>
    <w:rsid w:val="00EE6FB2"/>
    <w:rsid w:val="00EE6FC5"/>
    <w:rsid w:val="00EE6FD4"/>
    <w:rsid w:val="00EE7006"/>
    <w:rsid w:val="00EE705A"/>
    <w:rsid w:val="00EE70AC"/>
    <w:rsid w:val="00EE7270"/>
    <w:rsid w:val="00EE7340"/>
    <w:rsid w:val="00EE73C8"/>
    <w:rsid w:val="00EE76EB"/>
    <w:rsid w:val="00EE770F"/>
    <w:rsid w:val="00EE7767"/>
    <w:rsid w:val="00EE77BA"/>
    <w:rsid w:val="00EE78C8"/>
    <w:rsid w:val="00EE7A19"/>
    <w:rsid w:val="00EE7C71"/>
    <w:rsid w:val="00EE7CEA"/>
    <w:rsid w:val="00EE7D5E"/>
    <w:rsid w:val="00EE7D78"/>
    <w:rsid w:val="00EE7D93"/>
    <w:rsid w:val="00EE7DC8"/>
    <w:rsid w:val="00EE7DFD"/>
    <w:rsid w:val="00EE7E94"/>
    <w:rsid w:val="00EE7F1E"/>
    <w:rsid w:val="00EF004D"/>
    <w:rsid w:val="00EF0056"/>
    <w:rsid w:val="00EF011A"/>
    <w:rsid w:val="00EF017F"/>
    <w:rsid w:val="00EF01A7"/>
    <w:rsid w:val="00EF0288"/>
    <w:rsid w:val="00EF0655"/>
    <w:rsid w:val="00EF0727"/>
    <w:rsid w:val="00EF0924"/>
    <w:rsid w:val="00EF0BBB"/>
    <w:rsid w:val="00EF0C9B"/>
    <w:rsid w:val="00EF0D48"/>
    <w:rsid w:val="00EF0D4C"/>
    <w:rsid w:val="00EF10DE"/>
    <w:rsid w:val="00EF116E"/>
    <w:rsid w:val="00EF116F"/>
    <w:rsid w:val="00EF12A5"/>
    <w:rsid w:val="00EF1336"/>
    <w:rsid w:val="00EF14FF"/>
    <w:rsid w:val="00EF1513"/>
    <w:rsid w:val="00EF1615"/>
    <w:rsid w:val="00EF164D"/>
    <w:rsid w:val="00EF16B7"/>
    <w:rsid w:val="00EF16F4"/>
    <w:rsid w:val="00EF1B07"/>
    <w:rsid w:val="00EF1BA1"/>
    <w:rsid w:val="00EF1C45"/>
    <w:rsid w:val="00EF1C79"/>
    <w:rsid w:val="00EF1D0A"/>
    <w:rsid w:val="00EF1D20"/>
    <w:rsid w:val="00EF1D68"/>
    <w:rsid w:val="00EF1E48"/>
    <w:rsid w:val="00EF1E6C"/>
    <w:rsid w:val="00EF1F4E"/>
    <w:rsid w:val="00EF1F9F"/>
    <w:rsid w:val="00EF2028"/>
    <w:rsid w:val="00EF207C"/>
    <w:rsid w:val="00EF2080"/>
    <w:rsid w:val="00EF2136"/>
    <w:rsid w:val="00EF2227"/>
    <w:rsid w:val="00EF2289"/>
    <w:rsid w:val="00EF2334"/>
    <w:rsid w:val="00EF2335"/>
    <w:rsid w:val="00EF24E0"/>
    <w:rsid w:val="00EF2543"/>
    <w:rsid w:val="00EF2545"/>
    <w:rsid w:val="00EF25A0"/>
    <w:rsid w:val="00EF2831"/>
    <w:rsid w:val="00EF285E"/>
    <w:rsid w:val="00EF29B0"/>
    <w:rsid w:val="00EF2A48"/>
    <w:rsid w:val="00EF2A7C"/>
    <w:rsid w:val="00EF2B84"/>
    <w:rsid w:val="00EF2E08"/>
    <w:rsid w:val="00EF2EB9"/>
    <w:rsid w:val="00EF30AF"/>
    <w:rsid w:val="00EF31CA"/>
    <w:rsid w:val="00EF31EA"/>
    <w:rsid w:val="00EF32D8"/>
    <w:rsid w:val="00EF33C9"/>
    <w:rsid w:val="00EF357E"/>
    <w:rsid w:val="00EF3710"/>
    <w:rsid w:val="00EF382D"/>
    <w:rsid w:val="00EF399E"/>
    <w:rsid w:val="00EF3B7D"/>
    <w:rsid w:val="00EF3CA7"/>
    <w:rsid w:val="00EF3EA9"/>
    <w:rsid w:val="00EF3ECF"/>
    <w:rsid w:val="00EF3F36"/>
    <w:rsid w:val="00EF403F"/>
    <w:rsid w:val="00EF4165"/>
    <w:rsid w:val="00EF4278"/>
    <w:rsid w:val="00EF42CE"/>
    <w:rsid w:val="00EF4432"/>
    <w:rsid w:val="00EF4436"/>
    <w:rsid w:val="00EF44CE"/>
    <w:rsid w:val="00EF44F9"/>
    <w:rsid w:val="00EF45CB"/>
    <w:rsid w:val="00EF4693"/>
    <w:rsid w:val="00EF46F6"/>
    <w:rsid w:val="00EF4934"/>
    <w:rsid w:val="00EF49A8"/>
    <w:rsid w:val="00EF4A72"/>
    <w:rsid w:val="00EF4AFD"/>
    <w:rsid w:val="00EF4BF0"/>
    <w:rsid w:val="00EF4CBE"/>
    <w:rsid w:val="00EF4CF9"/>
    <w:rsid w:val="00EF4E6C"/>
    <w:rsid w:val="00EF4EB0"/>
    <w:rsid w:val="00EF4EED"/>
    <w:rsid w:val="00EF4F51"/>
    <w:rsid w:val="00EF4F5B"/>
    <w:rsid w:val="00EF4F99"/>
    <w:rsid w:val="00EF5163"/>
    <w:rsid w:val="00EF54DD"/>
    <w:rsid w:val="00EF557D"/>
    <w:rsid w:val="00EF5634"/>
    <w:rsid w:val="00EF5975"/>
    <w:rsid w:val="00EF5B1A"/>
    <w:rsid w:val="00EF5BF1"/>
    <w:rsid w:val="00EF5D30"/>
    <w:rsid w:val="00EF5D99"/>
    <w:rsid w:val="00EF5E04"/>
    <w:rsid w:val="00EF60C0"/>
    <w:rsid w:val="00EF610D"/>
    <w:rsid w:val="00EF61CC"/>
    <w:rsid w:val="00EF6223"/>
    <w:rsid w:val="00EF6298"/>
    <w:rsid w:val="00EF62EF"/>
    <w:rsid w:val="00EF62FF"/>
    <w:rsid w:val="00EF636B"/>
    <w:rsid w:val="00EF644D"/>
    <w:rsid w:val="00EF64B1"/>
    <w:rsid w:val="00EF64C2"/>
    <w:rsid w:val="00EF64E8"/>
    <w:rsid w:val="00EF66B9"/>
    <w:rsid w:val="00EF696A"/>
    <w:rsid w:val="00EF6B09"/>
    <w:rsid w:val="00EF6C3A"/>
    <w:rsid w:val="00EF6DA3"/>
    <w:rsid w:val="00EF6DE9"/>
    <w:rsid w:val="00EF6E40"/>
    <w:rsid w:val="00EF6E49"/>
    <w:rsid w:val="00EF6F60"/>
    <w:rsid w:val="00EF6FCF"/>
    <w:rsid w:val="00EF7007"/>
    <w:rsid w:val="00EF7167"/>
    <w:rsid w:val="00EF71A3"/>
    <w:rsid w:val="00EF722D"/>
    <w:rsid w:val="00EF7232"/>
    <w:rsid w:val="00EF72E3"/>
    <w:rsid w:val="00EF781C"/>
    <w:rsid w:val="00EF782C"/>
    <w:rsid w:val="00EF783A"/>
    <w:rsid w:val="00EF7842"/>
    <w:rsid w:val="00EF7B91"/>
    <w:rsid w:val="00EF7BF7"/>
    <w:rsid w:val="00EF7C49"/>
    <w:rsid w:val="00EF7C4F"/>
    <w:rsid w:val="00EF7DF6"/>
    <w:rsid w:val="00EF7EBA"/>
    <w:rsid w:val="00EF7F6D"/>
    <w:rsid w:val="00EF7FAD"/>
    <w:rsid w:val="00F000D3"/>
    <w:rsid w:val="00F0012A"/>
    <w:rsid w:val="00F001A8"/>
    <w:rsid w:val="00F002A3"/>
    <w:rsid w:val="00F003B9"/>
    <w:rsid w:val="00F00440"/>
    <w:rsid w:val="00F004D8"/>
    <w:rsid w:val="00F0071A"/>
    <w:rsid w:val="00F008AC"/>
    <w:rsid w:val="00F008F7"/>
    <w:rsid w:val="00F00993"/>
    <w:rsid w:val="00F00B93"/>
    <w:rsid w:val="00F00BA4"/>
    <w:rsid w:val="00F00CFE"/>
    <w:rsid w:val="00F00DD7"/>
    <w:rsid w:val="00F00E51"/>
    <w:rsid w:val="00F00EE1"/>
    <w:rsid w:val="00F00F67"/>
    <w:rsid w:val="00F00FE2"/>
    <w:rsid w:val="00F01100"/>
    <w:rsid w:val="00F01117"/>
    <w:rsid w:val="00F01126"/>
    <w:rsid w:val="00F011A3"/>
    <w:rsid w:val="00F011E1"/>
    <w:rsid w:val="00F011EB"/>
    <w:rsid w:val="00F01224"/>
    <w:rsid w:val="00F01309"/>
    <w:rsid w:val="00F014CF"/>
    <w:rsid w:val="00F01658"/>
    <w:rsid w:val="00F016CF"/>
    <w:rsid w:val="00F019A5"/>
    <w:rsid w:val="00F019B0"/>
    <w:rsid w:val="00F01A5B"/>
    <w:rsid w:val="00F01AE1"/>
    <w:rsid w:val="00F01AE8"/>
    <w:rsid w:val="00F01D73"/>
    <w:rsid w:val="00F01D9C"/>
    <w:rsid w:val="00F01DCD"/>
    <w:rsid w:val="00F01E07"/>
    <w:rsid w:val="00F01E5D"/>
    <w:rsid w:val="00F01EA0"/>
    <w:rsid w:val="00F01F70"/>
    <w:rsid w:val="00F020DD"/>
    <w:rsid w:val="00F02108"/>
    <w:rsid w:val="00F021C8"/>
    <w:rsid w:val="00F02361"/>
    <w:rsid w:val="00F023C4"/>
    <w:rsid w:val="00F025FB"/>
    <w:rsid w:val="00F02761"/>
    <w:rsid w:val="00F02792"/>
    <w:rsid w:val="00F02902"/>
    <w:rsid w:val="00F02ACC"/>
    <w:rsid w:val="00F02AD4"/>
    <w:rsid w:val="00F02CF2"/>
    <w:rsid w:val="00F02D07"/>
    <w:rsid w:val="00F02D29"/>
    <w:rsid w:val="00F02E44"/>
    <w:rsid w:val="00F02EA3"/>
    <w:rsid w:val="00F02EB4"/>
    <w:rsid w:val="00F02EE8"/>
    <w:rsid w:val="00F02F23"/>
    <w:rsid w:val="00F03056"/>
    <w:rsid w:val="00F03080"/>
    <w:rsid w:val="00F0309B"/>
    <w:rsid w:val="00F0309C"/>
    <w:rsid w:val="00F030A6"/>
    <w:rsid w:val="00F03337"/>
    <w:rsid w:val="00F03423"/>
    <w:rsid w:val="00F0348D"/>
    <w:rsid w:val="00F03529"/>
    <w:rsid w:val="00F03832"/>
    <w:rsid w:val="00F03872"/>
    <w:rsid w:val="00F0397B"/>
    <w:rsid w:val="00F039C5"/>
    <w:rsid w:val="00F03B6F"/>
    <w:rsid w:val="00F03C20"/>
    <w:rsid w:val="00F03D6F"/>
    <w:rsid w:val="00F03E1E"/>
    <w:rsid w:val="00F03EFB"/>
    <w:rsid w:val="00F03F0E"/>
    <w:rsid w:val="00F03F24"/>
    <w:rsid w:val="00F03F38"/>
    <w:rsid w:val="00F0414C"/>
    <w:rsid w:val="00F0415F"/>
    <w:rsid w:val="00F04264"/>
    <w:rsid w:val="00F04335"/>
    <w:rsid w:val="00F04337"/>
    <w:rsid w:val="00F0433D"/>
    <w:rsid w:val="00F04491"/>
    <w:rsid w:val="00F044B7"/>
    <w:rsid w:val="00F045B0"/>
    <w:rsid w:val="00F045C8"/>
    <w:rsid w:val="00F046D6"/>
    <w:rsid w:val="00F04842"/>
    <w:rsid w:val="00F04902"/>
    <w:rsid w:val="00F0490B"/>
    <w:rsid w:val="00F0496F"/>
    <w:rsid w:val="00F04A42"/>
    <w:rsid w:val="00F04CFE"/>
    <w:rsid w:val="00F04D36"/>
    <w:rsid w:val="00F04DA9"/>
    <w:rsid w:val="00F04EB8"/>
    <w:rsid w:val="00F04EBE"/>
    <w:rsid w:val="00F0502A"/>
    <w:rsid w:val="00F05109"/>
    <w:rsid w:val="00F052E7"/>
    <w:rsid w:val="00F05425"/>
    <w:rsid w:val="00F054A6"/>
    <w:rsid w:val="00F0574E"/>
    <w:rsid w:val="00F05C9F"/>
    <w:rsid w:val="00F05CDC"/>
    <w:rsid w:val="00F05CF7"/>
    <w:rsid w:val="00F05D19"/>
    <w:rsid w:val="00F05D1B"/>
    <w:rsid w:val="00F05F08"/>
    <w:rsid w:val="00F06062"/>
    <w:rsid w:val="00F061B0"/>
    <w:rsid w:val="00F063AF"/>
    <w:rsid w:val="00F06449"/>
    <w:rsid w:val="00F06483"/>
    <w:rsid w:val="00F06552"/>
    <w:rsid w:val="00F0663B"/>
    <w:rsid w:val="00F06761"/>
    <w:rsid w:val="00F067BF"/>
    <w:rsid w:val="00F06C2F"/>
    <w:rsid w:val="00F06D5C"/>
    <w:rsid w:val="00F06D72"/>
    <w:rsid w:val="00F06DBB"/>
    <w:rsid w:val="00F06DC3"/>
    <w:rsid w:val="00F06DDC"/>
    <w:rsid w:val="00F06E17"/>
    <w:rsid w:val="00F06F6B"/>
    <w:rsid w:val="00F07056"/>
    <w:rsid w:val="00F07088"/>
    <w:rsid w:val="00F07266"/>
    <w:rsid w:val="00F0735C"/>
    <w:rsid w:val="00F07377"/>
    <w:rsid w:val="00F073B9"/>
    <w:rsid w:val="00F07658"/>
    <w:rsid w:val="00F076F4"/>
    <w:rsid w:val="00F07773"/>
    <w:rsid w:val="00F077B9"/>
    <w:rsid w:val="00F0785B"/>
    <w:rsid w:val="00F07875"/>
    <w:rsid w:val="00F07909"/>
    <w:rsid w:val="00F0798F"/>
    <w:rsid w:val="00F07C19"/>
    <w:rsid w:val="00F07C6E"/>
    <w:rsid w:val="00F07CCF"/>
    <w:rsid w:val="00F07DE7"/>
    <w:rsid w:val="00F07EE1"/>
    <w:rsid w:val="00F100A9"/>
    <w:rsid w:val="00F10133"/>
    <w:rsid w:val="00F10343"/>
    <w:rsid w:val="00F10360"/>
    <w:rsid w:val="00F104FC"/>
    <w:rsid w:val="00F1051D"/>
    <w:rsid w:val="00F10650"/>
    <w:rsid w:val="00F10769"/>
    <w:rsid w:val="00F107C2"/>
    <w:rsid w:val="00F108E0"/>
    <w:rsid w:val="00F10A9D"/>
    <w:rsid w:val="00F10ABA"/>
    <w:rsid w:val="00F10BEA"/>
    <w:rsid w:val="00F10C46"/>
    <w:rsid w:val="00F10CC4"/>
    <w:rsid w:val="00F10DD7"/>
    <w:rsid w:val="00F10EDF"/>
    <w:rsid w:val="00F10F09"/>
    <w:rsid w:val="00F10FC5"/>
    <w:rsid w:val="00F11080"/>
    <w:rsid w:val="00F1108F"/>
    <w:rsid w:val="00F1125D"/>
    <w:rsid w:val="00F112A6"/>
    <w:rsid w:val="00F11302"/>
    <w:rsid w:val="00F11319"/>
    <w:rsid w:val="00F11354"/>
    <w:rsid w:val="00F1137C"/>
    <w:rsid w:val="00F113D5"/>
    <w:rsid w:val="00F11681"/>
    <w:rsid w:val="00F116BD"/>
    <w:rsid w:val="00F11914"/>
    <w:rsid w:val="00F11989"/>
    <w:rsid w:val="00F119DC"/>
    <w:rsid w:val="00F11D26"/>
    <w:rsid w:val="00F11DB3"/>
    <w:rsid w:val="00F11DE6"/>
    <w:rsid w:val="00F11E43"/>
    <w:rsid w:val="00F11F1F"/>
    <w:rsid w:val="00F11FE8"/>
    <w:rsid w:val="00F1212C"/>
    <w:rsid w:val="00F121B4"/>
    <w:rsid w:val="00F12250"/>
    <w:rsid w:val="00F122F5"/>
    <w:rsid w:val="00F12315"/>
    <w:rsid w:val="00F1236C"/>
    <w:rsid w:val="00F123AE"/>
    <w:rsid w:val="00F125B4"/>
    <w:rsid w:val="00F12782"/>
    <w:rsid w:val="00F127FD"/>
    <w:rsid w:val="00F12890"/>
    <w:rsid w:val="00F128F2"/>
    <w:rsid w:val="00F128F5"/>
    <w:rsid w:val="00F129AC"/>
    <w:rsid w:val="00F12B88"/>
    <w:rsid w:val="00F12C7A"/>
    <w:rsid w:val="00F12DDB"/>
    <w:rsid w:val="00F12FA5"/>
    <w:rsid w:val="00F12FB4"/>
    <w:rsid w:val="00F13077"/>
    <w:rsid w:val="00F130C8"/>
    <w:rsid w:val="00F130D9"/>
    <w:rsid w:val="00F130E2"/>
    <w:rsid w:val="00F13183"/>
    <w:rsid w:val="00F1321F"/>
    <w:rsid w:val="00F134C1"/>
    <w:rsid w:val="00F13526"/>
    <w:rsid w:val="00F1352B"/>
    <w:rsid w:val="00F13729"/>
    <w:rsid w:val="00F13835"/>
    <w:rsid w:val="00F138A9"/>
    <w:rsid w:val="00F138F4"/>
    <w:rsid w:val="00F139AA"/>
    <w:rsid w:val="00F13A08"/>
    <w:rsid w:val="00F13ACE"/>
    <w:rsid w:val="00F13AD0"/>
    <w:rsid w:val="00F13B8E"/>
    <w:rsid w:val="00F13BB6"/>
    <w:rsid w:val="00F13C09"/>
    <w:rsid w:val="00F13C56"/>
    <w:rsid w:val="00F13E2F"/>
    <w:rsid w:val="00F13F01"/>
    <w:rsid w:val="00F13F7B"/>
    <w:rsid w:val="00F13FBD"/>
    <w:rsid w:val="00F13FDA"/>
    <w:rsid w:val="00F1402C"/>
    <w:rsid w:val="00F1419F"/>
    <w:rsid w:val="00F141BA"/>
    <w:rsid w:val="00F142D3"/>
    <w:rsid w:val="00F14407"/>
    <w:rsid w:val="00F14611"/>
    <w:rsid w:val="00F1477D"/>
    <w:rsid w:val="00F148BD"/>
    <w:rsid w:val="00F14901"/>
    <w:rsid w:val="00F14B37"/>
    <w:rsid w:val="00F14B60"/>
    <w:rsid w:val="00F14F70"/>
    <w:rsid w:val="00F14FC2"/>
    <w:rsid w:val="00F15161"/>
    <w:rsid w:val="00F15239"/>
    <w:rsid w:val="00F1524B"/>
    <w:rsid w:val="00F1524E"/>
    <w:rsid w:val="00F1525A"/>
    <w:rsid w:val="00F152A1"/>
    <w:rsid w:val="00F153ED"/>
    <w:rsid w:val="00F15401"/>
    <w:rsid w:val="00F15425"/>
    <w:rsid w:val="00F1558B"/>
    <w:rsid w:val="00F15641"/>
    <w:rsid w:val="00F157F0"/>
    <w:rsid w:val="00F15821"/>
    <w:rsid w:val="00F15866"/>
    <w:rsid w:val="00F158F0"/>
    <w:rsid w:val="00F15910"/>
    <w:rsid w:val="00F15936"/>
    <w:rsid w:val="00F15942"/>
    <w:rsid w:val="00F15948"/>
    <w:rsid w:val="00F1595A"/>
    <w:rsid w:val="00F15B69"/>
    <w:rsid w:val="00F15C86"/>
    <w:rsid w:val="00F15D01"/>
    <w:rsid w:val="00F15DE4"/>
    <w:rsid w:val="00F15DE7"/>
    <w:rsid w:val="00F15F49"/>
    <w:rsid w:val="00F1616D"/>
    <w:rsid w:val="00F1624A"/>
    <w:rsid w:val="00F16268"/>
    <w:rsid w:val="00F1626D"/>
    <w:rsid w:val="00F162BD"/>
    <w:rsid w:val="00F162D9"/>
    <w:rsid w:val="00F16313"/>
    <w:rsid w:val="00F164AB"/>
    <w:rsid w:val="00F16506"/>
    <w:rsid w:val="00F16529"/>
    <w:rsid w:val="00F16531"/>
    <w:rsid w:val="00F167D2"/>
    <w:rsid w:val="00F16831"/>
    <w:rsid w:val="00F1695C"/>
    <w:rsid w:val="00F1699C"/>
    <w:rsid w:val="00F169EE"/>
    <w:rsid w:val="00F16AE9"/>
    <w:rsid w:val="00F16B24"/>
    <w:rsid w:val="00F16B74"/>
    <w:rsid w:val="00F16B93"/>
    <w:rsid w:val="00F16D18"/>
    <w:rsid w:val="00F16F31"/>
    <w:rsid w:val="00F16F3C"/>
    <w:rsid w:val="00F1709E"/>
    <w:rsid w:val="00F1713F"/>
    <w:rsid w:val="00F17190"/>
    <w:rsid w:val="00F171B3"/>
    <w:rsid w:val="00F171FE"/>
    <w:rsid w:val="00F1734A"/>
    <w:rsid w:val="00F1738C"/>
    <w:rsid w:val="00F1762F"/>
    <w:rsid w:val="00F177BD"/>
    <w:rsid w:val="00F178AE"/>
    <w:rsid w:val="00F179E9"/>
    <w:rsid w:val="00F17A36"/>
    <w:rsid w:val="00F17A90"/>
    <w:rsid w:val="00F17B7D"/>
    <w:rsid w:val="00F17CA7"/>
    <w:rsid w:val="00F20019"/>
    <w:rsid w:val="00F200AB"/>
    <w:rsid w:val="00F20148"/>
    <w:rsid w:val="00F20331"/>
    <w:rsid w:val="00F203DC"/>
    <w:rsid w:val="00F2058D"/>
    <w:rsid w:val="00F20694"/>
    <w:rsid w:val="00F20725"/>
    <w:rsid w:val="00F20779"/>
    <w:rsid w:val="00F20A75"/>
    <w:rsid w:val="00F20C1D"/>
    <w:rsid w:val="00F20C3C"/>
    <w:rsid w:val="00F20E95"/>
    <w:rsid w:val="00F2108B"/>
    <w:rsid w:val="00F211BA"/>
    <w:rsid w:val="00F21255"/>
    <w:rsid w:val="00F2126E"/>
    <w:rsid w:val="00F21361"/>
    <w:rsid w:val="00F213DE"/>
    <w:rsid w:val="00F2174F"/>
    <w:rsid w:val="00F21825"/>
    <w:rsid w:val="00F2182C"/>
    <w:rsid w:val="00F21B05"/>
    <w:rsid w:val="00F21B7D"/>
    <w:rsid w:val="00F21B8B"/>
    <w:rsid w:val="00F21B96"/>
    <w:rsid w:val="00F21BC3"/>
    <w:rsid w:val="00F21BDE"/>
    <w:rsid w:val="00F21C11"/>
    <w:rsid w:val="00F21CF6"/>
    <w:rsid w:val="00F21F22"/>
    <w:rsid w:val="00F21F58"/>
    <w:rsid w:val="00F21F7C"/>
    <w:rsid w:val="00F220D0"/>
    <w:rsid w:val="00F2210B"/>
    <w:rsid w:val="00F22398"/>
    <w:rsid w:val="00F22403"/>
    <w:rsid w:val="00F2240F"/>
    <w:rsid w:val="00F225AC"/>
    <w:rsid w:val="00F2270B"/>
    <w:rsid w:val="00F22778"/>
    <w:rsid w:val="00F2277A"/>
    <w:rsid w:val="00F227A0"/>
    <w:rsid w:val="00F22860"/>
    <w:rsid w:val="00F22A52"/>
    <w:rsid w:val="00F22B21"/>
    <w:rsid w:val="00F22C59"/>
    <w:rsid w:val="00F22D5B"/>
    <w:rsid w:val="00F22DD2"/>
    <w:rsid w:val="00F22EC6"/>
    <w:rsid w:val="00F22F6B"/>
    <w:rsid w:val="00F23006"/>
    <w:rsid w:val="00F23015"/>
    <w:rsid w:val="00F2309D"/>
    <w:rsid w:val="00F231AE"/>
    <w:rsid w:val="00F232B8"/>
    <w:rsid w:val="00F2337B"/>
    <w:rsid w:val="00F23442"/>
    <w:rsid w:val="00F23463"/>
    <w:rsid w:val="00F2370B"/>
    <w:rsid w:val="00F2377C"/>
    <w:rsid w:val="00F2378B"/>
    <w:rsid w:val="00F23811"/>
    <w:rsid w:val="00F23A87"/>
    <w:rsid w:val="00F23A8F"/>
    <w:rsid w:val="00F23CDC"/>
    <w:rsid w:val="00F23D38"/>
    <w:rsid w:val="00F23D57"/>
    <w:rsid w:val="00F23F76"/>
    <w:rsid w:val="00F23F7A"/>
    <w:rsid w:val="00F240BF"/>
    <w:rsid w:val="00F2425E"/>
    <w:rsid w:val="00F244A8"/>
    <w:rsid w:val="00F246E6"/>
    <w:rsid w:val="00F248CB"/>
    <w:rsid w:val="00F24BDA"/>
    <w:rsid w:val="00F24C0E"/>
    <w:rsid w:val="00F24C16"/>
    <w:rsid w:val="00F24E04"/>
    <w:rsid w:val="00F24FA4"/>
    <w:rsid w:val="00F24FC4"/>
    <w:rsid w:val="00F250F3"/>
    <w:rsid w:val="00F2516A"/>
    <w:rsid w:val="00F251C8"/>
    <w:rsid w:val="00F25251"/>
    <w:rsid w:val="00F25258"/>
    <w:rsid w:val="00F2536F"/>
    <w:rsid w:val="00F2541F"/>
    <w:rsid w:val="00F254DB"/>
    <w:rsid w:val="00F2554E"/>
    <w:rsid w:val="00F25563"/>
    <w:rsid w:val="00F25581"/>
    <w:rsid w:val="00F25768"/>
    <w:rsid w:val="00F257A7"/>
    <w:rsid w:val="00F257EC"/>
    <w:rsid w:val="00F2585E"/>
    <w:rsid w:val="00F25898"/>
    <w:rsid w:val="00F258AD"/>
    <w:rsid w:val="00F2595A"/>
    <w:rsid w:val="00F259E2"/>
    <w:rsid w:val="00F25A08"/>
    <w:rsid w:val="00F25A65"/>
    <w:rsid w:val="00F25BBB"/>
    <w:rsid w:val="00F25CFB"/>
    <w:rsid w:val="00F25DD7"/>
    <w:rsid w:val="00F25E01"/>
    <w:rsid w:val="00F25EDE"/>
    <w:rsid w:val="00F263A3"/>
    <w:rsid w:val="00F2645A"/>
    <w:rsid w:val="00F2646F"/>
    <w:rsid w:val="00F266BC"/>
    <w:rsid w:val="00F266EA"/>
    <w:rsid w:val="00F267C0"/>
    <w:rsid w:val="00F267CC"/>
    <w:rsid w:val="00F26943"/>
    <w:rsid w:val="00F26AAA"/>
    <w:rsid w:val="00F26D22"/>
    <w:rsid w:val="00F26E56"/>
    <w:rsid w:val="00F26F46"/>
    <w:rsid w:val="00F26F92"/>
    <w:rsid w:val="00F270B7"/>
    <w:rsid w:val="00F270BE"/>
    <w:rsid w:val="00F2723B"/>
    <w:rsid w:val="00F2745C"/>
    <w:rsid w:val="00F274B0"/>
    <w:rsid w:val="00F2755C"/>
    <w:rsid w:val="00F27609"/>
    <w:rsid w:val="00F27778"/>
    <w:rsid w:val="00F27841"/>
    <w:rsid w:val="00F278C5"/>
    <w:rsid w:val="00F2793E"/>
    <w:rsid w:val="00F27954"/>
    <w:rsid w:val="00F27AE0"/>
    <w:rsid w:val="00F27CC1"/>
    <w:rsid w:val="00F27D0D"/>
    <w:rsid w:val="00F27E01"/>
    <w:rsid w:val="00F27F29"/>
    <w:rsid w:val="00F27F52"/>
    <w:rsid w:val="00F27F6A"/>
    <w:rsid w:val="00F27F8E"/>
    <w:rsid w:val="00F3002C"/>
    <w:rsid w:val="00F3002D"/>
    <w:rsid w:val="00F30056"/>
    <w:rsid w:val="00F30186"/>
    <w:rsid w:val="00F30343"/>
    <w:rsid w:val="00F3035F"/>
    <w:rsid w:val="00F3037A"/>
    <w:rsid w:val="00F304FD"/>
    <w:rsid w:val="00F309B4"/>
    <w:rsid w:val="00F309F2"/>
    <w:rsid w:val="00F30C3C"/>
    <w:rsid w:val="00F30CD7"/>
    <w:rsid w:val="00F30D20"/>
    <w:rsid w:val="00F30E59"/>
    <w:rsid w:val="00F30F0E"/>
    <w:rsid w:val="00F30F57"/>
    <w:rsid w:val="00F31218"/>
    <w:rsid w:val="00F31289"/>
    <w:rsid w:val="00F31325"/>
    <w:rsid w:val="00F3134C"/>
    <w:rsid w:val="00F31386"/>
    <w:rsid w:val="00F313AD"/>
    <w:rsid w:val="00F313CE"/>
    <w:rsid w:val="00F315DD"/>
    <w:rsid w:val="00F31858"/>
    <w:rsid w:val="00F31912"/>
    <w:rsid w:val="00F31933"/>
    <w:rsid w:val="00F31936"/>
    <w:rsid w:val="00F31AD1"/>
    <w:rsid w:val="00F31B19"/>
    <w:rsid w:val="00F31B43"/>
    <w:rsid w:val="00F31B4A"/>
    <w:rsid w:val="00F31B8E"/>
    <w:rsid w:val="00F31C22"/>
    <w:rsid w:val="00F31D0D"/>
    <w:rsid w:val="00F31D67"/>
    <w:rsid w:val="00F31EEB"/>
    <w:rsid w:val="00F31FC2"/>
    <w:rsid w:val="00F31FCC"/>
    <w:rsid w:val="00F32068"/>
    <w:rsid w:val="00F32233"/>
    <w:rsid w:val="00F323B4"/>
    <w:rsid w:val="00F3248D"/>
    <w:rsid w:val="00F32520"/>
    <w:rsid w:val="00F32542"/>
    <w:rsid w:val="00F325D2"/>
    <w:rsid w:val="00F32836"/>
    <w:rsid w:val="00F328FC"/>
    <w:rsid w:val="00F329BD"/>
    <w:rsid w:val="00F32B89"/>
    <w:rsid w:val="00F32B97"/>
    <w:rsid w:val="00F32CCA"/>
    <w:rsid w:val="00F32CCF"/>
    <w:rsid w:val="00F32D12"/>
    <w:rsid w:val="00F32DE2"/>
    <w:rsid w:val="00F32E88"/>
    <w:rsid w:val="00F32F97"/>
    <w:rsid w:val="00F32FF7"/>
    <w:rsid w:val="00F33200"/>
    <w:rsid w:val="00F3329A"/>
    <w:rsid w:val="00F332CE"/>
    <w:rsid w:val="00F3330D"/>
    <w:rsid w:val="00F335DD"/>
    <w:rsid w:val="00F336EA"/>
    <w:rsid w:val="00F3379D"/>
    <w:rsid w:val="00F3381C"/>
    <w:rsid w:val="00F33929"/>
    <w:rsid w:val="00F33954"/>
    <w:rsid w:val="00F33A06"/>
    <w:rsid w:val="00F33B8E"/>
    <w:rsid w:val="00F33B9C"/>
    <w:rsid w:val="00F33BC3"/>
    <w:rsid w:val="00F33D64"/>
    <w:rsid w:val="00F33E30"/>
    <w:rsid w:val="00F34073"/>
    <w:rsid w:val="00F3430B"/>
    <w:rsid w:val="00F344B3"/>
    <w:rsid w:val="00F34602"/>
    <w:rsid w:val="00F34692"/>
    <w:rsid w:val="00F34791"/>
    <w:rsid w:val="00F34901"/>
    <w:rsid w:val="00F3495A"/>
    <w:rsid w:val="00F34A8B"/>
    <w:rsid w:val="00F34AF9"/>
    <w:rsid w:val="00F34BE2"/>
    <w:rsid w:val="00F34BEF"/>
    <w:rsid w:val="00F34C56"/>
    <w:rsid w:val="00F34D91"/>
    <w:rsid w:val="00F34DC9"/>
    <w:rsid w:val="00F34E0E"/>
    <w:rsid w:val="00F34E10"/>
    <w:rsid w:val="00F34E16"/>
    <w:rsid w:val="00F34ED6"/>
    <w:rsid w:val="00F350A9"/>
    <w:rsid w:val="00F35214"/>
    <w:rsid w:val="00F352F7"/>
    <w:rsid w:val="00F35441"/>
    <w:rsid w:val="00F354BD"/>
    <w:rsid w:val="00F3559D"/>
    <w:rsid w:val="00F355D6"/>
    <w:rsid w:val="00F35910"/>
    <w:rsid w:val="00F35A55"/>
    <w:rsid w:val="00F35A8E"/>
    <w:rsid w:val="00F35B11"/>
    <w:rsid w:val="00F35D83"/>
    <w:rsid w:val="00F35E39"/>
    <w:rsid w:val="00F35E60"/>
    <w:rsid w:val="00F36162"/>
    <w:rsid w:val="00F3617E"/>
    <w:rsid w:val="00F363B7"/>
    <w:rsid w:val="00F36434"/>
    <w:rsid w:val="00F36444"/>
    <w:rsid w:val="00F3647A"/>
    <w:rsid w:val="00F364B7"/>
    <w:rsid w:val="00F364DA"/>
    <w:rsid w:val="00F36544"/>
    <w:rsid w:val="00F36659"/>
    <w:rsid w:val="00F3665B"/>
    <w:rsid w:val="00F366C0"/>
    <w:rsid w:val="00F36704"/>
    <w:rsid w:val="00F3673D"/>
    <w:rsid w:val="00F36859"/>
    <w:rsid w:val="00F3687C"/>
    <w:rsid w:val="00F36979"/>
    <w:rsid w:val="00F36D6F"/>
    <w:rsid w:val="00F36D9D"/>
    <w:rsid w:val="00F36F15"/>
    <w:rsid w:val="00F37053"/>
    <w:rsid w:val="00F37232"/>
    <w:rsid w:val="00F372C8"/>
    <w:rsid w:val="00F373A4"/>
    <w:rsid w:val="00F374AC"/>
    <w:rsid w:val="00F37711"/>
    <w:rsid w:val="00F37A0C"/>
    <w:rsid w:val="00F37A83"/>
    <w:rsid w:val="00F37B7E"/>
    <w:rsid w:val="00F37BCB"/>
    <w:rsid w:val="00F37C70"/>
    <w:rsid w:val="00F37E1A"/>
    <w:rsid w:val="00F4004C"/>
    <w:rsid w:val="00F40085"/>
    <w:rsid w:val="00F4018F"/>
    <w:rsid w:val="00F4022B"/>
    <w:rsid w:val="00F4051A"/>
    <w:rsid w:val="00F40662"/>
    <w:rsid w:val="00F406F6"/>
    <w:rsid w:val="00F40781"/>
    <w:rsid w:val="00F408A8"/>
    <w:rsid w:val="00F408B4"/>
    <w:rsid w:val="00F408C0"/>
    <w:rsid w:val="00F408CF"/>
    <w:rsid w:val="00F408DA"/>
    <w:rsid w:val="00F40A37"/>
    <w:rsid w:val="00F40AD1"/>
    <w:rsid w:val="00F40C88"/>
    <w:rsid w:val="00F40D36"/>
    <w:rsid w:val="00F40DAC"/>
    <w:rsid w:val="00F40EF1"/>
    <w:rsid w:val="00F40FE2"/>
    <w:rsid w:val="00F41001"/>
    <w:rsid w:val="00F41169"/>
    <w:rsid w:val="00F4119C"/>
    <w:rsid w:val="00F41271"/>
    <w:rsid w:val="00F41655"/>
    <w:rsid w:val="00F41684"/>
    <w:rsid w:val="00F417BC"/>
    <w:rsid w:val="00F41AAA"/>
    <w:rsid w:val="00F41ABD"/>
    <w:rsid w:val="00F41AF0"/>
    <w:rsid w:val="00F41C76"/>
    <w:rsid w:val="00F41C9D"/>
    <w:rsid w:val="00F41EC6"/>
    <w:rsid w:val="00F41FD4"/>
    <w:rsid w:val="00F41FDF"/>
    <w:rsid w:val="00F42075"/>
    <w:rsid w:val="00F420D1"/>
    <w:rsid w:val="00F42105"/>
    <w:rsid w:val="00F42134"/>
    <w:rsid w:val="00F42148"/>
    <w:rsid w:val="00F422D7"/>
    <w:rsid w:val="00F4245D"/>
    <w:rsid w:val="00F424E8"/>
    <w:rsid w:val="00F42790"/>
    <w:rsid w:val="00F429FF"/>
    <w:rsid w:val="00F42ADD"/>
    <w:rsid w:val="00F42C00"/>
    <w:rsid w:val="00F42C85"/>
    <w:rsid w:val="00F42CBE"/>
    <w:rsid w:val="00F42CBF"/>
    <w:rsid w:val="00F42CE5"/>
    <w:rsid w:val="00F42D50"/>
    <w:rsid w:val="00F42E2D"/>
    <w:rsid w:val="00F4309C"/>
    <w:rsid w:val="00F430DA"/>
    <w:rsid w:val="00F431F8"/>
    <w:rsid w:val="00F43360"/>
    <w:rsid w:val="00F434AA"/>
    <w:rsid w:val="00F43792"/>
    <w:rsid w:val="00F43832"/>
    <w:rsid w:val="00F438FD"/>
    <w:rsid w:val="00F439BC"/>
    <w:rsid w:val="00F439FB"/>
    <w:rsid w:val="00F43BD6"/>
    <w:rsid w:val="00F43E13"/>
    <w:rsid w:val="00F441B1"/>
    <w:rsid w:val="00F441EE"/>
    <w:rsid w:val="00F44259"/>
    <w:rsid w:val="00F4428E"/>
    <w:rsid w:val="00F4430F"/>
    <w:rsid w:val="00F44450"/>
    <w:rsid w:val="00F4459F"/>
    <w:rsid w:val="00F44620"/>
    <w:rsid w:val="00F4468E"/>
    <w:rsid w:val="00F447C0"/>
    <w:rsid w:val="00F44802"/>
    <w:rsid w:val="00F44913"/>
    <w:rsid w:val="00F449E7"/>
    <w:rsid w:val="00F44A07"/>
    <w:rsid w:val="00F44C6E"/>
    <w:rsid w:val="00F44DF1"/>
    <w:rsid w:val="00F44E48"/>
    <w:rsid w:val="00F44F8C"/>
    <w:rsid w:val="00F450C2"/>
    <w:rsid w:val="00F450DC"/>
    <w:rsid w:val="00F450FC"/>
    <w:rsid w:val="00F4522B"/>
    <w:rsid w:val="00F45295"/>
    <w:rsid w:val="00F4539F"/>
    <w:rsid w:val="00F4541A"/>
    <w:rsid w:val="00F45624"/>
    <w:rsid w:val="00F45732"/>
    <w:rsid w:val="00F45766"/>
    <w:rsid w:val="00F45774"/>
    <w:rsid w:val="00F457AC"/>
    <w:rsid w:val="00F4583E"/>
    <w:rsid w:val="00F45A9B"/>
    <w:rsid w:val="00F45B67"/>
    <w:rsid w:val="00F45C9F"/>
    <w:rsid w:val="00F45F35"/>
    <w:rsid w:val="00F45F3A"/>
    <w:rsid w:val="00F45F48"/>
    <w:rsid w:val="00F45FE9"/>
    <w:rsid w:val="00F46080"/>
    <w:rsid w:val="00F460CA"/>
    <w:rsid w:val="00F4636E"/>
    <w:rsid w:val="00F463DE"/>
    <w:rsid w:val="00F4665C"/>
    <w:rsid w:val="00F466DD"/>
    <w:rsid w:val="00F467C1"/>
    <w:rsid w:val="00F46A8E"/>
    <w:rsid w:val="00F46AD4"/>
    <w:rsid w:val="00F46C0D"/>
    <w:rsid w:val="00F46C32"/>
    <w:rsid w:val="00F46C4D"/>
    <w:rsid w:val="00F46C88"/>
    <w:rsid w:val="00F46CB8"/>
    <w:rsid w:val="00F46FB2"/>
    <w:rsid w:val="00F47098"/>
    <w:rsid w:val="00F4728C"/>
    <w:rsid w:val="00F47307"/>
    <w:rsid w:val="00F4778A"/>
    <w:rsid w:val="00F47888"/>
    <w:rsid w:val="00F478EC"/>
    <w:rsid w:val="00F4793C"/>
    <w:rsid w:val="00F47A89"/>
    <w:rsid w:val="00F47BB8"/>
    <w:rsid w:val="00F47D8E"/>
    <w:rsid w:val="00F47DEC"/>
    <w:rsid w:val="00F47E2B"/>
    <w:rsid w:val="00F47E89"/>
    <w:rsid w:val="00F47F06"/>
    <w:rsid w:val="00F47F8A"/>
    <w:rsid w:val="00F47F8C"/>
    <w:rsid w:val="00F500FE"/>
    <w:rsid w:val="00F5015A"/>
    <w:rsid w:val="00F50265"/>
    <w:rsid w:val="00F502F1"/>
    <w:rsid w:val="00F5038E"/>
    <w:rsid w:val="00F5057B"/>
    <w:rsid w:val="00F50583"/>
    <w:rsid w:val="00F506CA"/>
    <w:rsid w:val="00F507FF"/>
    <w:rsid w:val="00F50A4F"/>
    <w:rsid w:val="00F50AAB"/>
    <w:rsid w:val="00F50AE6"/>
    <w:rsid w:val="00F50AEB"/>
    <w:rsid w:val="00F50B47"/>
    <w:rsid w:val="00F50BBB"/>
    <w:rsid w:val="00F50BF2"/>
    <w:rsid w:val="00F50CC0"/>
    <w:rsid w:val="00F50E25"/>
    <w:rsid w:val="00F50F01"/>
    <w:rsid w:val="00F510AD"/>
    <w:rsid w:val="00F5110D"/>
    <w:rsid w:val="00F5126B"/>
    <w:rsid w:val="00F5128E"/>
    <w:rsid w:val="00F513E8"/>
    <w:rsid w:val="00F5156E"/>
    <w:rsid w:val="00F5157A"/>
    <w:rsid w:val="00F515B9"/>
    <w:rsid w:val="00F51707"/>
    <w:rsid w:val="00F51861"/>
    <w:rsid w:val="00F51862"/>
    <w:rsid w:val="00F518CF"/>
    <w:rsid w:val="00F5193D"/>
    <w:rsid w:val="00F51AEA"/>
    <w:rsid w:val="00F51CE5"/>
    <w:rsid w:val="00F51E11"/>
    <w:rsid w:val="00F51E1F"/>
    <w:rsid w:val="00F51E2A"/>
    <w:rsid w:val="00F51ED9"/>
    <w:rsid w:val="00F51F2C"/>
    <w:rsid w:val="00F51F45"/>
    <w:rsid w:val="00F51F6C"/>
    <w:rsid w:val="00F520BD"/>
    <w:rsid w:val="00F52182"/>
    <w:rsid w:val="00F5237A"/>
    <w:rsid w:val="00F52531"/>
    <w:rsid w:val="00F526C6"/>
    <w:rsid w:val="00F5274F"/>
    <w:rsid w:val="00F527A8"/>
    <w:rsid w:val="00F52871"/>
    <w:rsid w:val="00F52C6B"/>
    <w:rsid w:val="00F52C9B"/>
    <w:rsid w:val="00F52F4E"/>
    <w:rsid w:val="00F5303A"/>
    <w:rsid w:val="00F5306F"/>
    <w:rsid w:val="00F53092"/>
    <w:rsid w:val="00F53169"/>
    <w:rsid w:val="00F53189"/>
    <w:rsid w:val="00F531C9"/>
    <w:rsid w:val="00F5326B"/>
    <w:rsid w:val="00F5335E"/>
    <w:rsid w:val="00F53495"/>
    <w:rsid w:val="00F535B1"/>
    <w:rsid w:val="00F535C8"/>
    <w:rsid w:val="00F536CE"/>
    <w:rsid w:val="00F5378E"/>
    <w:rsid w:val="00F53829"/>
    <w:rsid w:val="00F538DB"/>
    <w:rsid w:val="00F539C3"/>
    <w:rsid w:val="00F53BE2"/>
    <w:rsid w:val="00F53D13"/>
    <w:rsid w:val="00F53D9C"/>
    <w:rsid w:val="00F53DD7"/>
    <w:rsid w:val="00F53E91"/>
    <w:rsid w:val="00F5400B"/>
    <w:rsid w:val="00F54085"/>
    <w:rsid w:val="00F5415A"/>
    <w:rsid w:val="00F542DF"/>
    <w:rsid w:val="00F5439D"/>
    <w:rsid w:val="00F5447A"/>
    <w:rsid w:val="00F544B3"/>
    <w:rsid w:val="00F546F6"/>
    <w:rsid w:val="00F547B8"/>
    <w:rsid w:val="00F549BE"/>
    <w:rsid w:val="00F54A69"/>
    <w:rsid w:val="00F54B0A"/>
    <w:rsid w:val="00F54C0F"/>
    <w:rsid w:val="00F54C34"/>
    <w:rsid w:val="00F54E13"/>
    <w:rsid w:val="00F54F01"/>
    <w:rsid w:val="00F54F03"/>
    <w:rsid w:val="00F54FB6"/>
    <w:rsid w:val="00F5503E"/>
    <w:rsid w:val="00F55070"/>
    <w:rsid w:val="00F552D7"/>
    <w:rsid w:val="00F552DC"/>
    <w:rsid w:val="00F55359"/>
    <w:rsid w:val="00F55528"/>
    <w:rsid w:val="00F55562"/>
    <w:rsid w:val="00F55609"/>
    <w:rsid w:val="00F55619"/>
    <w:rsid w:val="00F55672"/>
    <w:rsid w:val="00F5577E"/>
    <w:rsid w:val="00F55881"/>
    <w:rsid w:val="00F5599B"/>
    <w:rsid w:val="00F559B9"/>
    <w:rsid w:val="00F559BE"/>
    <w:rsid w:val="00F559D8"/>
    <w:rsid w:val="00F55A67"/>
    <w:rsid w:val="00F55BA6"/>
    <w:rsid w:val="00F55BF3"/>
    <w:rsid w:val="00F55E61"/>
    <w:rsid w:val="00F55E7B"/>
    <w:rsid w:val="00F55F09"/>
    <w:rsid w:val="00F55F32"/>
    <w:rsid w:val="00F56045"/>
    <w:rsid w:val="00F5622D"/>
    <w:rsid w:val="00F56272"/>
    <w:rsid w:val="00F5633C"/>
    <w:rsid w:val="00F564F0"/>
    <w:rsid w:val="00F5654E"/>
    <w:rsid w:val="00F565D4"/>
    <w:rsid w:val="00F5679D"/>
    <w:rsid w:val="00F56887"/>
    <w:rsid w:val="00F56904"/>
    <w:rsid w:val="00F56945"/>
    <w:rsid w:val="00F56A50"/>
    <w:rsid w:val="00F56A98"/>
    <w:rsid w:val="00F56B24"/>
    <w:rsid w:val="00F56B46"/>
    <w:rsid w:val="00F56C34"/>
    <w:rsid w:val="00F56C41"/>
    <w:rsid w:val="00F56D13"/>
    <w:rsid w:val="00F56D58"/>
    <w:rsid w:val="00F56F52"/>
    <w:rsid w:val="00F5713B"/>
    <w:rsid w:val="00F572B7"/>
    <w:rsid w:val="00F573FC"/>
    <w:rsid w:val="00F5754C"/>
    <w:rsid w:val="00F5778C"/>
    <w:rsid w:val="00F577B8"/>
    <w:rsid w:val="00F5789F"/>
    <w:rsid w:val="00F579DD"/>
    <w:rsid w:val="00F57A06"/>
    <w:rsid w:val="00F57B96"/>
    <w:rsid w:val="00F57BEE"/>
    <w:rsid w:val="00F57D1B"/>
    <w:rsid w:val="00F57FF5"/>
    <w:rsid w:val="00F600A0"/>
    <w:rsid w:val="00F600DA"/>
    <w:rsid w:val="00F603BB"/>
    <w:rsid w:val="00F60409"/>
    <w:rsid w:val="00F605AF"/>
    <w:rsid w:val="00F60696"/>
    <w:rsid w:val="00F60723"/>
    <w:rsid w:val="00F60784"/>
    <w:rsid w:val="00F607E8"/>
    <w:rsid w:val="00F608D1"/>
    <w:rsid w:val="00F60921"/>
    <w:rsid w:val="00F60993"/>
    <w:rsid w:val="00F609B1"/>
    <w:rsid w:val="00F60A61"/>
    <w:rsid w:val="00F60E15"/>
    <w:rsid w:val="00F61166"/>
    <w:rsid w:val="00F611F5"/>
    <w:rsid w:val="00F611F8"/>
    <w:rsid w:val="00F61250"/>
    <w:rsid w:val="00F6136F"/>
    <w:rsid w:val="00F61448"/>
    <w:rsid w:val="00F61485"/>
    <w:rsid w:val="00F61705"/>
    <w:rsid w:val="00F61829"/>
    <w:rsid w:val="00F61902"/>
    <w:rsid w:val="00F61AE8"/>
    <w:rsid w:val="00F61B43"/>
    <w:rsid w:val="00F61B83"/>
    <w:rsid w:val="00F61CBA"/>
    <w:rsid w:val="00F61E1E"/>
    <w:rsid w:val="00F61E45"/>
    <w:rsid w:val="00F61E56"/>
    <w:rsid w:val="00F61F40"/>
    <w:rsid w:val="00F6218E"/>
    <w:rsid w:val="00F62225"/>
    <w:rsid w:val="00F62581"/>
    <w:rsid w:val="00F62745"/>
    <w:rsid w:val="00F627AD"/>
    <w:rsid w:val="00F627D9"/>
    <w:rsid w:val="00F62B5B"/>
    <w:rsid w:val="00F62E45"/>
    <w:rsid w:val="00F62E70"/>
    <w:rsid w:val="00F630C4"/>
    <w:rsid w:val="00F6319A"/>
    <w:rsid w:val="00F63205"/>
    <w:rsid w:val="00F6327F"/>
    <w:rsid w:val="00F63336"/>
    <w:rsid w:val="00F633E1"/>
    <w:rsid w:val="00F63411"/>
    <w:rsid w:val="00F634FA"/>
    <w:rsid w:val="00F63520"/>
    <w:rsid w:val="00F635AF"/>
    <w:rsid w:val="00F6395C"/>
    <w:rsid w:val="00F63ACA"/>
    <w:rsid w:val="00F63B4B"/>
    <w:rsid w:val="00F63CA5"/>
    <w:rsid w:val="00F63D73"/>
    <w:rsid w:val="00F63E20"/>
    <w:rsid w:val="00F63F31"/>
    <w:rsid w:val="00F64027"/>
    <w:rsid w:val="00F640CB"/>
    <w:rsid w:val="00F64602"/>
    <w:rsid w:val="00F64643"/>
    <w:rsid w:val="00F64658"/>
    <w:rsid w:val="00F64693"/>
    <w:rsid w:val="00F64788"/>
    <w:rsid w:val="00F648B7"/>
    <w:rsid w:val="00F649F8"/>
    <w:rsid w:val="00F64D08"/>
    <w:rsid w:val="00F64D18"/>
    <w:rsid w:val="00F64EC4"/>
    <w:rsid w:val="00F64F2D"/>
    <w:rsid w:val="00F65053"/>
    <w:rsid w:val="00F650E9"/>
    <w:rsid w:val="00F651CA"/>
    <w:rsid w:val="00F651ED"/>
    <w:rsid w:val="00F652C9"/>
    <w:rsid w:val="00F654D7"/>
    <w:rsid w:val="00F65519"/>
    <w:rsid w:val="00F655D0"/>
    <w:rsid w:val="00F6571E"/>
    <w:rsid w:val="00F657DA"/>
    <w:rsid w:val="00F6586A"/>
    <w:rsid w:val="00F658A5"/>
    <w:rsid w:val="00F65B54"/>
    <w:rsid w:val="00F65BDB"/>
    <w:rsid w:val="00F65E05"/>
    <w:rsid w:val="00F65E66"/>
    <w:rsid w:val="00F65F34"/>
    <w:rsid w:val="00F65FDA"/>
    <w:rsid w:val="00F662C5"/>
    <w:rsid w:val="00F66419"/>
    <w:rsid w:val="00F664B3"/>
    <w:rsid w:val="00F6652A"/>
    <w:rsid w:val="00F6660A"/>
    <w:rsid w:val="00F6666B"/>
    <w:rsid w:val="00F66736"/>
    <w:rsid w:val="00F668B0"/>
    <w:rsid w:val="00F66ADA"/>
    <w:rsid w:val="00F66C43"/>
    <w:rsid w:val="00F66C63"/>
    <w:rsid w:val="00F66E5B"/>
    <w:rsid w:val="00F67231"/>
    <w:rsid w:val="00F67356"/>
    <w:rsid w:val="00F67441"/>
    <w:rsid w:val="00F67630"/>
    <w:rsid w:val="00F67817"/>
    <w:rsid w:val="00F678B8"/>
    <w:rsid w:val="00F67945"/>
    <w:rsid w:val="00F67D6B"/>
    <w:rsid w:val="00F67D8F"/>
    <w:rsid w:val="00F67DCA"/>
    <w:rsid w:val="00F67F31"/>
    <w:rsid w:val="00F67FB0"/>
    <w:rsid w:val="00F700FE"/>
    <w:rsid w:val="00F701DB"/>
    <w:rsid w:val="00F7020B"/>
    <w:rsid w:val="00F70287"/>
    <w:rsid w:val="00F702FE"/>
    <w:rsid w:val="00F703C7"/>
    <w:rsid w:val="00F704F5"/>
    <w:rsid w:val="00F705BA"/>
    <w:rsid w:val="00F707D0"/>
    <w:rsid w:val="00F7084C"/>
    <w:rsid w:val="00F709E5"/>
    <w:rsid w:val="00F709F1"/>
    <w:rsid w:val="00F70A57"/>
    <w:rsid w:val="00F70A6A"/>
    <w:rsid w:val="00F70B8C"/>
    <w:rsid w:val="00F70BFE"/>
    <w:rsid w:val="00F70C07"/>
    <w:rsid w:val="00F70C36"/>
    <w:rsid w:val="00F70E6F"/>
    <w:rsid w:val="00F70E8E"/>
    <w:rsid w:val="00F70F62"/>
    <w:rsid w:val="00F710B1"/>
    <w:rsid w:val="00F712AF"/>
    <w:rsid w:val="00F712B2"/>
    <w:rsid w:val="00F7132B"/>
    <w:rsid w:val="00F7146B"/>
    <w:rsid w:val="00F714E1"/>
    <w:rsid w:val="00F715DD"/>
    <w:rsid w:val="00F71672"/>
    <w:rsid w:val="00F71746"/>
    <w:rsid w:val="00F71767"/>
    <w:rsid w:val="00F71918"/>
    <w:rsid w:val="00F71975"/>
    <w:rsid w:val="00F71A6F"/>
    <w:rsid w:val="00F71A9F"/>
    <w:rsid w:val="00F71AB5"/>
    <w:rsid w:val="00F71B4C"/>
    <w:rsid w:val="00F71F57"/>
    <w:rsid w:val="00F71FBF"/>
    <w:rsid w:val="00F722CF"/>
    <w:rsid w:val="00F723E3"/>
    <w:rsid w:val="00F723EC"/>
    <w:rsid w:val="00F7241A"/>
    <w:rsid w:val="00F724E0"/>
    <w:rsid w:val="00F7266A"/>
    <w:rsid w:val="00F72796"/>
    <w:rsid w:val="00F72B07"/>
    <w:rsid w:val="00F72B2C"/>
    <w:rsid w:val="00F72C21"/>
    <w:rsid w:val="00F72CF8"/>
    <w:rsid w:val="00F72D5A"/>
    <w:rsid w:val="00F72E58"/>
    <w:rsid w:val="00F72F2A"/>
    <w:rsid w:val="00F72F46"/>
    <w:rsid w:val="00F72F9C"/>
    <w:rsid w:val="00F7315C"/>
    <w:rsid w:val="00F73295"/>
    <w:rsid w:val="00F7358D"/>
    <w:rsid w:val="00F73726"/>
    <w:rsid w:val="00F7386C"/>
    <w:rsid w:val="00F7392D"/>
    <w:rsid w:val="00F73A89"/>
    <w:rsid w:val="00F73B90"/>
    <w:rsid w:val="00F73CBB"/>
    <w:rsid w:val="00F73DC1"/>
    <w:rsid w:val="00F73DD8"/>
    <w:rsid w:val="00F73F16"/>
    <w:rsid w:val="00F73F92"/>
    <w:rsid w:val="00F74031"/>
    <w:rsid w:val="00F74073"/>
    <w:rsid w:val="00F7417B"/>
    <w:rsid w:val="00F741B4"/>
    <w:rsid w:val="00F74276"/>
    <w:rsid w:val="00F743AF"/>
    <w:rsid w:val="00F74439"/>
    <w:rsid w:val="00F7447D"/>
    <w:rsid w:val="00F74492"/>
    <w:rsid w:val="00F744D6"/>
    <w:rsid w:val="00F74587"/>
    <w:rsid w:val="00F749C3"/>
    <w:rsid w:val="00F74A05"/>
    <w:rsid w:val="00F74C10"/>
    <w:rsid w:val="00F74C55"/>
    <w:rsid w:val="00F74CAE"/>
    <w:rsid w:val="00F74CB9"/>
    <w:rsid w:val="00F74CD4"/>
    <w:rsid w:val="00F74D4B"/>
    <w:rsid w:val="00F7518E"/>
    <w:rsid w:val="00F75200"/>
    <w:rsid w:val="00F75275"/>
    <w:rsid w:val="00F752EC"/>
    <w:rsid w:val="00F7533C"/>
    <w:rsid w:val="00F7535B"/>
    <w:rsid w:val="00F753B4"/>
    <w:rsid w:val="00F753D1"/>
    <w:rsid w:val="00F758CE"/>
    <w:rsid w:val="00F758FC"/>
    <w:rsid w:val="00F75945"/>
    <w:rsid w:val="00F75BBC"/>
    <w:rsid w:val="00F75D2E"/>
    <w:rsid w:val="00F75D71"/>
    <w:rsid w:val="00F75DE3"/>
    <w:rsid w:val="00F75EBD"/>
    <w:rsid w:val="00F75F3B"/>
    <w:rsid w:val="00F76159"/>
    <w:rsid w:val="00F76261"/>
    <w:rsid w:val="00F7650D"/>
    <w:rsid w:val="00F76667"/>
    <w:rsid w:val="00F76787"/>
    <w:rsid w:val="00F76801"/>
    <w:rsid w:val="00F768FF"/>
    <w:rsid w:val="00F76B5A"/>
    <w:rsid w:val="00F76BEE"/>
    <w:rsid w:val="00F77098"/>
    <w:rsid w:val="00F773DB"/>
    <w:rsid w:val="00F77455"/>
    <w:rsid w:val="00F774E1"/>
    <w:rsid w:val="00F77621"/>
    <w:rsid w:val="00F7764A"/>
    <w:rsid w:val="00F77668"/>
    <w:rsid w:val="00F776AB"/>
    <w:rsid w:val="00F7788D"/>
    <w:rsid w:val="00F77931"/>
    <w:rsid w:val="00F77A55"/>
    <w:rsid w:val="00F77C3C"/>
    <w:rsid w:val="00F77C83"/>
    <w:rsid w:val="00F77DCC"/>
    <w:rsid w:val="00F77E0B"/>
    <w:rsid w:val="00F77E7E"/>
    <w:rsid w:val="00F77FCF"/>
    <w:rsid w:val="00F80001"/>
    <w:rsid w:val="00F80023"/>
    <w:rsid w:val="00F8025B"/>
    <w:rsid w:val="00F8037C"/>
    <w:rsid w:val="00F803C4"/>
    <w:rsid w:val="00F804F8"/>
    <w:rsid w:val="00F807FF"/>
    <w:rsid w:val="00F80878"/>
    <w:rsid w:val="00F80999"/>
    <w:rsid w:val="00F809E2"/>
    <w:rsid w:val="00F809F1"/>
    <w:rsid w:val="00F80A0E"/>
    <w:rsid w:val="00F80B8E"/>
    <w:rsid w:val="00F80BFF"/>
    <w:rsid w:val="00F80CFC"/>
    <w:rsid w:val="00F80D4C"/>
    <w:rsid w:val="00F80D78"/>
    <w:rsid w:val="00F80DEA"/>
    <w:rsid w:val="00F80DED"/>
    <w:rsid w:val="00F80E30"/>
    <w:rsid w:val="00F80E5C"/>
    <w:rsid w:val="00F80E7A"/>
    <w:rsid w:val="00F80EF2"/>
    <w:rsid w:val="00F80F3A"/>
    <w:rsid w:val="00F80F44"/>
    <w:rsid w:val="00F80F77"/>
    <w:rsid w:val="00F80F93"/>
    <w:rsid w:val="00F80FB9"/>
    <w:rsid w:val="00F80FDE"/>
    <w:rsid w:val="00F81106"/>
    <w:rsid w:val="00F8115E"/>
    <w:rsid w:val="00F8124D"/>
    <w:rsid w:val="00F812CD"/>
    <w:rsid w:val="00F8152D"/>
    <w:rsid w:val="00F81531"/>
    <w:rsid w:val="00F81543"/>
    <w:rsid w:val="00F81552"/>
    <w:rsid w:val="00F815B7"/>
    <w:rsid w:val="00F815E6"/>
    <w:rsid w:val="00F81720"/>
    <w:rsid w:val="00F8172E"/>
    <w:rsid w:val="00F8183D"/>
    <w:rsid w:val="00F81872"/>
    <w:rsid w:val="00F8195A"/>
    <w:rsid w:val="00F819A3"/>
    <w:rsid w:val="00F81A0E"/>
    <w:rsid w:val="00F81ABF"/>
    <w:rsid w:val="00F81AD1"/>
    <w:rsid w:val="00F81C92"/>
    <w:rsid w:val="00F81CEB"/>
    <w:rsid w:val="00F81D9B"/>
    <w:rsid w:val="00F81E10"/>
    <w:rsid w:val="00F81E16"/>
    <w:rsid w:val="00F81E75"/>
    <w:rsid w:val="00F81F5D"/>
    <w:rsid w:val="00F81F96"/>
    <w:rsid w:val="00F82005"/>
    <w:rsid w:val="00F8200B"/>
    <w:rsid w:val="00F820EC"/>
    <w:rsid w:val="00F82280"/>
    <w:rsid w:val="00F8230F"/>
    <w:rsid w:val="00F823B4"/>
    <w:rsid w:val="00F82422"/>
    <w:rsid w:val="00F82499"/>
    <w:rsid w:val="00F826DC"/>
    <w:rsid w:val="00F826F2"/>
    <w:rsid w:val="00F8279B"/>
    <w:rsid w:val="00F827A3"/>
    <w:rsid w:val="00F8295D"/>
    <w:rsid w:val="00F82A62"/>
    <w:rsid w:val="00F82B52"/>
    <w:rsid w:val="00F82C6C"/>
    <w:rsid w:val="00F82F6F"/>
    <w:rsid w:val="00F83578"/>
    <w:rsid w:val="00F83596"/>
    <w:rsid w:val="00F83692"/>
    <w:rsid w:val="00F838BE"/>
    <w:rsid w:val="00F8394A"/>
    <w:rsid w:val="00F83C07"/>
    <w:rsid w:val="00F83D8A"/>
    <w:rsid w:val="00F83DCB"/>
    <w:rsid w:val="00F83E77"/>
    <w:rsid w:val="00F83F52"/>
    <w:rsid w:val="00F83FBA"/>
    <w:rsid w:val="00F83FF5"/>
    <w:rsid w:val="00F84023"/>
    <w:rsid w:val="00F8432B"/>
    <w:rsid w:val="00F8440F"/>
    <w:rsid w:val="00F8448E"/>
    <w:rsid w:val="00F844DE"/>
    <w:rsid w:val="00F84502"/>
    <w:rsid w:val="00F84552"/>
    <w:rsid w:val="00F84694"/>
    <w:rsid w:val="00F84725"/>
    <w:rsid w:val="00F848F3"/>
    <w:rsid w:val="00F849CF"/>
    <w:rsid w:val="00F84C24"/>
    <w:rsid w:val="00F84C3C"/>
    <w:rsid w:val="00F84C7E"/>
    <w:rsid w:val="00F84E31"/>
    <w:rsid w:val="00F85089"/>
    <w:rsid w:val="00F8521A"/>
    <w:rsid w:val="00F85410"/>
    <w:rsid w:val="00F85430"/>
    <w:rsid w:val="00F854A4"/>
    <w:rsid w:val="00F854CA"/>
    <w:rsid w:val="00F85618"/>
    <w:rsid w:val="00F85673"/>
    <w:rsid w:val="00F858AB"/>
    <w:rsid w:val="00F858E7"/>
    <w:rsid w:val="00F85905"/>
    <w:rsid w:val="00F85AE7"/>
    <w:rsid w:val="00F85CAF"/>
    <w:rsid w:val="00F85FC7"/>
    <w:rsid w:val="00F8602C"/>
    <w:rsid w:val="00F86095"/>
    <w:rsid w:val="00F86390"/>
    <w:rsid w:val="00F86444"/>
    <w:rsid w:val="00F86494"/>
    <w:rsid w:val="00F864AE"/>
    <w:rsid w:val="00F864BE"/>
    <w:rsid w:val="00F865AC"/>
    <w:rsid w:val="00F86701"/>
    <w:rsid w:val="00F8688F"/>
    <w:rsid w:val="00F86911"/>
    <w:rsid w:val="00F86A2E"/>
    <w:rsid w:val="00F86AA8"/>
    <w:rsid w:val="00F86B81"/>
    <w:rsid w:val="00F86C62"/>
    <w:rsid w:val="00F86D26"/>
    <w:rsid w:val="00F86D36"/>
    <w:rsid w:val="00F86FD2"/>
    <w:rsid w:val="00F8700E"/>
    <w:rsid w:val="00F871BC"/>
    <w:rsid w:val="00F8721D"/>
    <w:rsid w:val="00F8725A"/>
    <w:rsid w:val="00F87294"/>
    <w:rsid w:val="00F87338"/>
    <w:rsid w:val="00F8734D"/>
    <w:rsid w:val="00F87423"/>
    <w:rsid w:val="00F874B3"/>
    <w:rsid w:val="00F8755A"/>
    <w:rsid w:val="00F87598"/>
    <w:rsid w:val="00F87752"/>
    <w:rsid w:val="00F877BB"/>
    <w:rsid w:val="00F8781F"/>
    <w:rsid w:val="00F87901"/>
    <w:rsid w:val="00F87A7D"/>
    <w:rsid w:val="00F87C31"/>
    <w:rsid w:val="00F87D06"/>
    <w:rsid w:val="00F87E72"/>
    <w:rsid w:val="00F900AC"/>
    <w:rsid w:val="00F90123"/>
    <w:rsid w:val="00F9021B"/>
    <w:rsid w:val="00F90320"/>
    <w:rsid w:val="00F90402"/>
    <w:rsid w:val="00F9052C"/>
    <w:rsid w:val="00F90570"/>
    <w:rsid w:val="00F905F1"/>
    <w:rsid w:val="00F90666"/>
    <w:rsid w:val="00F90801"/>
    <w:rsid w:val="00F90816"/>
    <w:rsid w:val="00F90A63"/>
    <w:rsid w:val="00F90A74"/>
    <w:rsid w:val="00F90BB7"/>
    <w:rsid w:val="00F90BD9"/>
    <w:rsid w:val="00F90C64"/>
    <w:rsid w:val="00F90CBC"/>
    <w:rsid w:val="00F90D1C"/>
    <w:rsid w:val="00F90DEF"/>
    <w:rsid w:val="00F90F1C"/>
    <w:rsid w:val="00F90F37"/>
    <w:rsid w:val="00F91212"/>
    <w:rsid w:val="00F914B4"/>
    <w:rsid w:val="00F9160D"/>
    <w:rsid w:val="00F916C9"/>
    <w:rsid w:val="00F91715"/>
    <w:rsid w:val="00F91821"/>
    <w:rsid w:val="00F91A86"/>
    <w:rsid w:val="00F91C3D"/>
    <w:rsid w:val="00F91D30"/>
    <w:rsid w:val="00F91D5D"/>
    <w:rsid w:val="00F91D63"/>
    <w:rsid w:val="00F91EC7"/>
    <w:rsid w:val="00F91F22"/>
    <w:rsid w:val="00F9204E"/>
    <w:rsid w:val="00F920DB"/>
    <w:rsid w:val="00F923EB"/>
    <w:rsid w:val="00F92524"/>
    <w:rsid w:val="00F92598"/>
    <w:rsid w:val="00F925D1"/>
    <w:rsid w:val="00F926B6"/>
    <w:rsid w:val="00F926FA"/>
    <w:rsid w:val="00F9271D"/>
    <w:rsid w:val="00F928D7"/>
    <w:rsid w:val="00F929CD"/>
    <w:rsid w:val="00F92A53"/>
    <w:rsid w:val="00F92BEE"/>
    <w:rsid w:val="00F92C1D"/>
    <w:rsid w:val="00F92DA7"/>
    <w:rsid w:val="00F92E18"/>
    <w:rsid w:val="00F92E35"/>
    <w:rsid w:val="00F92F4D"/>
    <w:rsid w:val="00F9313A"/>
    <w:rsid w:val="00F93350"/>
    <w:rsid w:val="00F93497"/>
    <w:rsid w:val="00F9353F"/>
    <w:rsid w:val="00F9375E"/>
    <w:rsid w:val="00F9378B"/>
    <w:rsid w:val="00F93899"/>
    <w:rsid w:val="00F938B8"/>
    <w:rsid w:val="00F93A28"/>
    <w:rsid w:val="00F93AF4"/>
    <w:rsid w:val="00F93B32"/>
    <w:rsid w:val="00F93BBF"/>
    <w:rsid w:val="00F94120"/>
    <w:rsid w:val="00F94251"/>
    <w:rsid w:val="00F94254"/>
    <w:rsid w:val="00F94397"/>
    <w:rsid w:val="00F943DE"/>
    <w:rsid w:val="00F944F9"/>
    <w:rsid w:val="00F94640"/>
    <w:rsid w:val="00F94642"/>
    <w:rsid w:val="00F946EC"/>
    <w:rsid w:val="00F947A7"/>
    <w:rsid w:val="00F9480A"/>
    <w:rsid w:val="00F948FE"/>
    <w:rsid w:val="00F94934"/>
    <w:rsid w:val="00F9497D"/>
    <w:rsid w:val="00F9498E"/>
    <w:rsid w:val="00F94B2D"/>
    <w:rsid w:val="00F94BB9"/>
    <w:rsid w:val="00F94C1C"/>
    <w:rsid w:val="00F94D2E"/>
    <w:rsid w:val="00F94D80"/>
    <w:rsid w:val="00F94F30"/>
    <w:rsid w:val="00F94F7B"/>
    <w:rsid w:val="00F95090"/>
    <w:rsid w:val="00F950CD"/>
    <w:rsid w:val="00F9519D"/>
    <w:rsid w:val="00F951D1"/>
    <w:rsid w:val="00F952C4"/>
    <w:rsid w:val="00F95307"/>
    <w:rsid w:val="00F95353"/>
    <w:rsid w:val="00F95386"/>
    <w:rsid w:val="00F95470"/>
    <w:rsid w:val="00F9548F"/>
    <w:rsid w:val="00F954BC"/>
    <w:rsid w:val="00F9563E"/>
    <w:rsid w:val="00F956F7"/>
    <w:rsid w:val="00F9570B"/>
    <w:rsid w:val="00F95813"/>
    <w:rsid w:val="00F9585D"/>
    <w:rsid w:val="00F958E3"/>
    <w:rsid w:val="00F95902"/>
    <w:rsid w:val="00F959D9"/>
    <w:rsid w:val="00F95AC3"/>
    <w:rsid w:val="00F95B30"/>
    <w:rsid w:val="00F95B48"/>
    <w:rsid w:val="00F95BD6"/>
    <w:rsid w:val="00F95C1A"/>
    <w:rsid w:val="00F95CDD"/>
    <w:rsid w:val="00F95F47"/>
    <w:rsid w:val="00F9601D"/>
    <w:rsid w:val="00F9615D"/>
    <w:rsid w:val="00F9618E"/>
    <w:rsid w:val="00F96218"/>
    <w:rsid w:val="00F96390"/>
    <w:rsid w:val="00F96469"/>
    <w:rsid w:val="00F96558"/>
    <w:rsid w:val="00F96770"/>
    <w:rsid w:val="00F96777"/>
    <w:rsid w:val="00F96820"/>
    <w:rsid w:val="00F968F3"/>
    <w:rsid w:val="00F969E8"/>
    <w:rsid w:val="00F96A5D"/>
    <w:rsid w:val="00F96AB4"/>
    <w:rsid w:val="00F96C94"/>
    <w:rsid w:val="00F96CC5"/>
    <w:rsid w:val="00F96D0C"/>
    <w:rsid w:val="00F96D93"/>
    <w:rsid w:val="00F96E7E"/>
    <w:rsid w:val="00F96EE4"/>
    <w:rsid w:val="00F97314"/>
    <w:rsid w:val="00F9737D"/>
    <w:rsid w:val="00F9758B"/>
    <w:rsid w:val="00F97841"/>
    <w:rsid w:val="00F978D9"/>
    <w:rsid w:val="00F9794B"/>
    <w:rsid w:val="00F979A6"/>
    <w:rsid w:val="00F97A17"/>
    <w:rsid w:val="00F97B0D"/>
    <w:rsid w:val="00F97B4F"/>
    <w:rsid w:val="00F97C66"/>
    <w:rsid w:val="00F97C81"/>
    <w:rsid w:val="00F97D3B"/>
    <w:rsid w:val="00F97E0E"/>
    <w:rsid w:val="00F97F78"/>
    <w:rsid w:val="00FA0130"/>
    <w:rsid w:val="00FA028E"/>
    <w:rsid w:val="00FA032A"/>
    <w:rsid w:val="00FA055C"/>
    <w:rsid w:val="00FA0568"/>
    <w:rsid w:val="00FA0571"/>
    <w:rsid w:val="00FA06AC"/>
    <w:rsid w:val="00FA0796"/>
    <w:rsid w:val="00FA091E"/>
    <w:rsid w:val="00FA09C1"/>
    <w:rsid w:val="00FA0B75"/>
    <w:rsid w:val="00FA0C75"/>
    <w:rsid w:val="00FA0CE0"/>
    <w:rsid w:val="00FA0D08"/>
    <w:rsid w:val="00FA1077"/>
    <w:rsid w:val="00FA11BC"/>
    <w:rsid w:val="00FA13AB"/>
    <w:rsid w:val="00FA148C"/>
    <w:rsid w:val="00FA15F0"/>
    <w:rsid w:val="00FA160E"/>
    <w:rsid w:val="00FA16C6"/>
    <w:rsid w:val="00FA17E2"/>
    <w:rsid w:val="00FA1BB5"/>
    <w:rsid w:val="00FA1BDC"/>
    <w:rsid w:val="00FA1D2A"/>
    <w:rsid w:val="00FA1E4C"/>
    <w:rsid w:val="00FA1E5F"/>
    <w:rsid w:val="00FA1EAA"/>
    <w:rsid w:val="00FA1F5C"/>
    <w:rsid w:val="00FA1FC1"/>
    <w:rsid w:val="00FA2021"/>
    <w:rsid w:val="00FA204A"/>
    <w:rsid w:val="00FA2072"/>
    <w:rsid w:val="00FA20C9"/>
    <w:rsid w:val="00FA218A"/>
    <w:rsid w:val="00FA220B"/>
    <w:rsid w:val="00FA23BE"/>
    <w:rsid w:val="00FA2417"/>
    <w:rsid w:val="00FA250C"/>
    <w:rsid w:val="00FA260B"/>
    <w:rsid w:val="00FA2734"/>
    <w:rsid w:val="00FA2A81"/>
    <w:rsid w:val="00FA2A8D"/>
    <w:rsid w:val="00FA2CA3"/>
    <w:rsid w:val="00FA2DD6"/>
    <w:rsid w:val="00FA2F31"/>
    <w:rsid w:val="00FA32C3"/>
    <w:rsid w:val="00FA33CA"/>
    <w:rsid w:val="00FA3547"/>
    <w:rsid w:val="00FA3991"/>
    <w:rsid w:val="00FA39CE"/>
    <w:rsid w:val="00FA3A5C"/>
    <w:rsid w:val="00FA3ACB"/>
    <w:rsid w:val="00FA3BEF"/>
    <w:rsid w:val="00FA3D25"/>
    <w:rsid w:val="00FA3D4A"/>
    <w:rsid w:val="00FA3EDC"/>
    <w:rsid w:val="00FA3F15"/>
    <w:rsid w:val="00FA415E"/>
    <w:rsid w:val="00FA4179"/>
    <w:rsid w:val="00FA43A2"/>
    <w:rsid w:val="00FA445D"/>
    <w:rsid w:val="00FA4485"/>
    <w:rsid w:val="00FA45B4"/>
    <w:rsid w:val="00FA465F"/>
    <w:rsid w:val="00FA4711"/>
    <w:rsid w:val="00FA4766"/>
    <w:rsid w:val="00FA478D"/>
    <w:rsid w:val="00FA49E6"/>
    <w:rsid w:val="00FA49FE"/>
    <w:rsid w:val="00FA4A31"/>
    <w:rsid w:val="00FA4AEF"/>
    <w:rsid w:val="00FA4B2B"/>
    <w:rsid w:val="00FA4B9D"/>
    <w:rsid w:val="00FA4ED7"/>
    <w:rsid w:val="00FA4F05"/>
    <w:rsid w:val="00FA4F4C"/>
    <w:rsid w:val="00FA5043"/>
    <w:rsid w:val="00FA53A1"/>
    <w:rsid w:val="00FA543C"/>
    <w:rsid w:val="00FA550A"/>
    <w:rsid w:val="00FA550C"/>
    <w:rsid w:val="00FA572B"/>
    <w:rsid w:val="00FA593D"/>
    <w:rsid w:val="00FA594A"/>
    <w:rsid w:val="00FA596D"/>
    <w:rsid w:val="00FA5AC7"/>
    <w:rsid w:val="00FA5B3B"/>
    <w:rsid w:val="00FA5F4A"/>
    <w:rsid w:val="00FA6121"/>
    <w:rsid w:val="00FA616A"/>
    <w:rsid w:val="00FA6345"/>
    <w:rsid w:val="00FA65A6"/>
    <w:rsid w:val="00FA6682"/>
    <w:rsid w:val="00FA66E5"/>
    <w:rsid w:val="00FA6706"/>
    <w:rsid w:val="00FA6920"/>
    <w:rsid w:val="00FA6A5D"/>
    <w:rsid w:val="00FA6BB5"/>
    <w:rsid w:val="00FA7009"/>
    <w:rsid w:val="00FA7013"/>
    <w:rsid w:val="00FA7069"/>
    <w:rsid w:val="00FA7087"/>
    <w:rsid w:val="00FA70B4"/>
    <w:rsid w:val="00FA71D1"/>
    <w:rsid w:val="00FA72FF"/>
    <w:rsid w:val="00FA74EE"/>
    <w:rsid w:val="00FA76DE"/>
    <w:rsid w:val="00FA778D"/>
    <w:rsid w:val="00FA779A"/>
    <w:rsid w:val="00FA77A1"/>
    <w:rsid w:val="00FA7870"/>
    <w:rsid w:val="00FA787E"/>
    <w:rsid w:val="00FA7904"/>
    <w:rsid w:val="00FA7B96"/>
    <w:rsid w:val="00FA7BEA"/>
    <w:rsid w:val="00FA7DA1"/>
    <w:rsid w:val="00FA7FB4"/>
    <w:rsid w:val="00FA7FD0"/>
    <w:rsid w:val="00FB007A"/>
    <w:rsid w:val="00FB01AD"/>
    <w:rsid w:val="00FB02AF"/>
    <w:rsid w:val="00FB030E"/>
    <w:rsid w:val="00FB0336"/>
    <w:rsid w:val="00FB03BA"/>
    <w:rsid w:val="00FB0569"/>
    <w:rsid w:val="00FB05A0"/>
    <w:rsid w:val="00FB0676"/>
    <w:rsid w:val="00FB0918"/>
    <w:rsid w:val="00FB0A17"/>
    <w:rsid w:val="00FB0C45"/>
    <w:rsid w:val="00FB0DE3"/>
    <w:rsid w:val="00FB0E6D"/>
    <w:rsid w:val="00FB127D"/>
    <w:rsid w:val="00FB12D1"/>
    <w:rsid w:val="00FB12D3"/>
    <w:rsid w:val="00FB13B2"/>
    <w:rsid w:val="00FB1675"/>
    <w:rsid w:val="00FB16EF"/>
    <w:rsid w:val="00FB17B0"/>
    <w:rsid w:val="00FB17BC"/>
    <w:rsid w:val="00FB1932"/>
    <w:rsid w:val="00FB196B"/>
    <w:rsid w:val="00FB1A04"/>
    <w:rsid w:val="00FB1C46"/>
    <w:rsid w:val="00FB1D53"/>
    <w:rsid w:val="00FB1D8C"/>
    <w:rsid w:val="00FB1E7B"/>
    <w:rsid w:val="00FB1E7D"/>
    <w:rsid w:val="00FB1E83"/>
    <w:rsid w:val="00FB1EA7"/>
    <w:rsid w:val="00FB1F4A"/>
    <w:rsid w:val="00FB2011"/>
    <w:rsid w:val="00FB2127"/>
    <w:rsid w:val="00FB21EF"/>
    <w:rsid w:val="00FB22F0"/>
    <w:rsid w:val="00FB2374"/>
    <w:rsid w:val="00FB246F"/>
    <w:rsid w:val="00FB24BD"/>
    <w:rsid w:val="00FB2611"/>
    <w:rsid w:val="00FB26BE"/>
    <w:rsid w:val="00FB279A"/>
    <w:rsid w:val="00FB27BD"/>
    <w:rsid w:val="00FB294C"/>
    <w:rsid w:val="00FB2C6A"/>
    <w:rsid w:val="00FB2ED7"/>
    <w:rsid w:val="00FB2FA1"/>
    <w:rsid w:val="00FB3074"/>
    <w:rsid w:val="00FB3137"/>
    <w:rsid w:val="00FB3192"/>
    <w:rsid w:val="00FB33CD"/>
    <w:rsid w:val="00FB33E9"/>
    <w:rsid w:val="00FB3533"/>
    <w:rsid w:val="00FB3834"/>
    <w:rsid w:val="00FB38FE"/>
    <w:rsid w:val="00FB392A"/>
    <w:rsid w:val="00FB3945"/>
    <w:rsid w:val="00FB3A04"/>
    <w:rsid w:val="00FB3B4C"/>
    <w:rsid w:val="00FB3C4E"/>
    <w:rsid w:val="00FB3C65"/>
    <w:rsid w:val="00FB3E99"/>
    <w:rsid w:val="00FB41BD"/>
    <w:rsid w:val="00FB41E0"/>
    <w:rsid w:val="00FB42B0"/>
    <w:rsid w:val="00FB44E0"/>
    <w:rsid w:val="00FB45FA"/>
    <w:rsid w:val="00FB4702"/>
    <w:rsid w:val="00FB4705"/>
    <w:rsid w:val="00FB482E"/>
    <w:rsid w:val="00FB4925"/>
    <w:rsid w:val="00FB4947"/>
    <w:rsid w:val="00FB4A94"/>
    <w:rsid w:val="00FB4B6E"/>
    <w:rsid w:val="00FB4B83"/>
    <w:rsid w:val="00FB4C04"/>
    <w:rsid w:val="00FB4DB3"/>
    <w:rsid w:val="00FB4F68"/>
    <w:rsid w:val="00FB50C8"/>
    <w:rsid w:val="00FB50F7"/>
    <w:rsid w:val="00FB5209"/>
    <w:rsid w:val="00FB5217"/>
    <w:rsid w:val="00FB52A1"/>
    <w:rsid w:val="00FB53EB"/>
    <w:rsid w:val="00FB53EF"/>
    <w:rsid w:val="00FB5431"/>
    <w:rsid w:val="00FB54B3"/>
    <w:rsid w:val="00FB54BC"/>
    <w:rsid w:val="00FB56B2"/>
    <w:rsid w:val="00FB57DC"/>
    <w:rsid w:val="00FB57F9"/>
    <w:rsid w:val="00FB5848"/>
    <w:rsid w:val="00FB59E0"/>
    <w:rsid w:val="00FB5B02"/>
    <w:rsid w:val="00FB5B42"/>
    <w:rsid w:val="00FB5C31"/>
    <w:rsid w:val="00FB5D12"/>
    <w:rsid w:val="00FB5D6C"/>
    <w:rsid w:val="00FB5E8B"/>
    <w:rsid w:val="00FB602B"/>
    <w:rsid w:val="00FB6037"/>
    <w:rsid w:val="00FB6058"/>
    <w:rsid w:val="00FB60D2"/>
    <w:rsid w:val="00FB60E9"/>
    <w:rsid w:val="00FB64D5"/>
    <w:rsid w:val="00FB650B"/>
    <w:rsid w:val="00FB6698"/>
    <w:rsid w:val="00FB6761"/>
    <w:rsid w:val="00FB6762"/>
    <w:rsid w:val="00FB6793"/>
    <w:rsid w:val="00FB68AB"/>
    <w:rsid w:val="00FB6931"/>
    <w:rsid w:val="00FB693E"/>
    <w:rsid w:val="00FB6A38"/>
    <w:rsid w:val="00FB6A71"/>
    <w:rsid w:val="00FB6A7C"/>
    <w:rsid w:val="00FB6CF2"/>
    <w:rsid w:val="00FB6D36"/>
    <w:rsid w:val="00FB6E2A"/>
    <w:rsid w:val="00FB6F24"/>
    <w:rsid w:val="00FB6F8E"/>
    <w:rsid w:val="00FB72C5"/>
    <w:rsid w:val="00FB7439"/>
    <w:rsid w:val="00FB7453"/>
    <w:rsid w:val="00FB7526"/>
    <w:rsid w:val="00FB755B"/>
    <w:rsid w:val="00FB75BD"/>
    <w:rsid w:val="00FB7640"/>
    <w:rsid w:val="00FB76F6"/>
    <w:rsid w:val="00FB7720"/>
    <w:rsid w:val="00FB7742"/>
    <w:rsid w:val="00FB777E"/>
    <w:rsid w:val="00FB778C"/>
    <w:rsid w:val="00FB7894"/>
    <w:rsid w:val="00FB78FE"/>
    <w:rsid w:val="00FB79A4"/>
    <w:rsid w:val="00FB7A8D"/>
    <w:rsid w:val="00FB7AEB"/>
    <w:rsid w:val="00FB7C83"/>
    <w:rsid w:val="00FB7DB5"/>
    <w:rsid w:val="00FB7EAC"/>
    <w:rsid w:val="00FC00CC"/>
    <w:rsid w:val="00FC018A"/>
    <w:rsid w:val="00FC029B"/>
    <w:rsid w:val="00FC02E3"/>
    <w:rsid w:val="00FC0358"/>
    <w:rsid w:val="00FC0396"/>
    <w:rsid w:val="00FC03F3"/>
    <w:rsid w:val="00FC04B8"/>
    <w:rsid w:val="00FC0705"/>
    <w:rsid w:val="00FC0978"/>
    <w:rsid w:val="00FC0A3E"/>
    <w:rsid w:val="00FC0ABE"/>
    <w:rsid w:val="00FC0B4B"/>
    <w:rsid w:val="00FC0C7E"/>
    <w:rsid w:val="00FC0EA6"/>
    <w:rsid w:val="00FC1100"/>
    <w:rsid w:val="00FC1195"/>
    <w:rsid w:val="00FC1245"/>
    <w:rsid w:val="00FC12A3"/>
    <w:rsid w:val="00FC12A7"/>
    <w:rsid w:val="00FC12F7"/>
    <w:rsid w:val="00FC1500"/>
    <w:rsid w:val="00FC15E0"/>
    <w:rsid w:val="00FC198B"/>
    <w:rsid w:val="00FC1A2D"/>
    <w:rsid w:val="00FC1A78"/>
    <w:rsid w:val="00FC1A7A"/>
    <w:rsid w:val="00FC1AA8"/>
    <w:rsid w:val="00FC1AB9"/>
    <w:rsid w:val="00FC1ABC"/>
    <w:rsid w:val="00FC1B8D"/>
    <w:rsid w:val="00FC1D8C"/>
    <w:rsid w:val="00FC1FE9"/>
    <w:rsid w:val="00FC23AB"/>
    <w:rsid w:val="00FC2846"/>
    <w:rsid w:val="00FC2884"/>
    <w:rsid w:val="00FC2885"/>
    <w:rsid w:val="00FC288B"/>
    <w:rsid w:val="00FC2B3E"/>
    <w:rsid w:val="00FC2B9F"/>
    <w:rsid w:val="00FC2C0D"/>
    <w:rsid w:val="00FC2C7E"/>
    <w:rsid w:val="00FC2D52"/>
    <w:rsid w:val="00FC2DCF"/>
    <w:rsid w:val="00FC2DE7"/>
    <w:rsid w:val="00FC2DE9"/>
    <w:rsid w:val="00FC2E13"/>
    <w:rsid w:val="00FC2E52"/>
    <w:rsid w:val="00FC2E6E"/>
    <w:rsid w:val="00FC2F49"/>
    <w:rsid w:val="00FC31EC"/>
    <w:rsid w:val="00FC33F2"/>
    <w:rsid w:val="00FC3561"/>
    <w:rsid w:val="00FC35C6"/>
    <w:rsid w:val="00FC3720"/>
    <w:rsid w:val="00FC3747"/>
    <w:rsid w:val="00FC39DC"/>
    <w:rsid w:val="00FC3AB5"/>
    <w:rsid w:val="00FC3B12"/>
    <w:rsid w:val="00FC3B28"/>
    <w:rsid w:val="00FC3F43"/>
    <w:rsid w:val="00FC40CA"/>
    <w:rsid w:val="00FC40D9"/>
    <w:rsid w:val="00FC40FC"/>
    <w:rsid w:val="00FC4130"/>
    <w:rsid w:val="00FC41D7"/>
    <w:rsid w:val="00FC42E0"/>
    <w:rsid w:val="00FC4388"/>
    <w:rsid w:val="00FC439D"/>
    <w:rsid w:val="00FC43B2"/>
    <w:rsid w:val="00FC4401"/>
    <w:rsid w:val="00FC4448"/>
    <w:rsid w:val="00FC45BE"/>
    <w:rsid w:val="00FC45C1"/>
    <w:rsid w:val="00FC45C2"/>
    <w:rsid w:val="00FC46A8"/>
    <w:rsid w:val="00FC46B7"/>
    <w:rsid w:val="00FC47A3"/>
    <w:rsid w:val="00FC47DC"/>
    <w:rsid w:val="00FC49AF"/>
    <w:rsid w:val="00FC4B20"/>
    <w:rsid w:val="00FC4B82"/>
    <w:rsid w:val="00FC4C97"/>
    <w:rsid w:val="00FC4CC7"/>
    <w:rsid w:val="00FC4D55"/>
    <w:rsid w:val="00FC4ECD"/>
    <w:rsid w:val="00FC4F1A"/>
    <w:rsid w:val="00FC50D0"/>
    <w:rsid w:val="00FC5184"/>
    <w:rsid w:val="00FC546D"/>
    <w:rsid w:val="00FC548B"/>
    <w:rsid w:val="00FC557B"/>
    <w:rsid w:val="00FC5669"/>
    <w:rsid w:val="00FC56E2"/>
    <w:rsid w:val="00FC5770"/>
    <w:rsid w:val="00FC577E"/>
    <w:rsid w:val="00FC578D"/>
    <w:rsid w:val="00FC588E"/>
    <w:rsid w:val="00FC5A83"/>
    <w:rsid w:val="00FC5B1F"/>
    <w:rsid w:val="00FC5B69"/>
    <w:rsid w:val="00FC5BE5"/>
    <w:rsid w:val="00FC5C39"/>
    <w:rsid w:val="00FC5E28"/>
    <w:rsid w:val="00FC5E82"/>
    <w:rsid w:val="00FC6010"/>
    <w:rsid w:val="00FC61AA"/>
    <w:rsid w:val="00FC61F8"/>
    <w:rsid w:val="00FC6292"/>
    <w:rsid w:val="00FC629C"/>
    <w:rsid w:val="00FC62EE"/>
    <w:rsid w:val="00FC638E"/>
    <w:rsid w:val="00FC64DF"/>
    <w:rsid w:val="00FC6545"/>
    <w:rsid w:val="00FC6549"/>
    <w:rsid w:val="00FC65AF"/>
    <w:rsid w:val="00FC65CC"/>
    <w:rsid w:val="00FC66C6"/>
    <w:rsid w:val="00FC67BD"/>
    <w:rsid w:val="00FC67C4"/>
    <w:rsid w:val="00FC680F"/>
    <w:rsid w:val="00FC6883"/>
    <w:rsid w:val="00FC698B"/>
    <w:rsid w:val="00FC6A17"/>
    <w:rsid w:val="00FC6B89"/>
    <w:rsid w:val="00FC6DC4"/>
    <w:rsid w:val="00FC6DD5"/>
    <w:rsid w:val="00FC716A"/>
    <w:rsid w:val="00FC71A3"/>
    <w:rsid w:val="00FC71AD"/>
    <w:rsid w:val="00FC71E1"/>
    <w:rsid w:val="00FC7205"/>
    <w:rsid w:val="00FC75B3"/>
    <w:rsid w:val="00FC7656"/>
    <w:rsid w:val="00FC78B1"/>
    <w:rsid w:val="00FC78D7"/>
    <w:rsid w:val="00FC79D6"/>
    <w:rsid w:val="00FC7AA2"/>
    <w:rsid w:val="00FC7AE4"/>
    <w:rsid w:val="00FC7B2D"/>
    <w:rsid w:val="00FC7C7E"/>
    <w:rsid w:val="00FC7EDA"/>
    <w:rsid w:val="00FC7EFC"/>
    <w:rsid w:val="00FD00C8"/>
    <w:rsid w:val="00FD0372"/>
    <w:rsid w:val="00FD05D5"/>
    <w:rsid w:val="00FD0691"/>
    <w:rsid w:val="00FD08FF"/>
    <w:rsid w:val="00FD091A"/>
    <w:rsid w:val="00FD0AB0"/>
    <w:rsid w:val="00FD0E9B"/>
    <w:rsid w:val="00FD0F0F"/>
    <w:rsid w:val="00FD0F93"/>
    <w:rsid w:val="00FD0FDB"/>
    <w:rsid w:val="00FD10C9"/>
    <w:rsid w:val="00FD120B"/>
    <w:rsid w:val="00FD12EA"/>
    <w:rsid w:val="00FD12FE"/>
    <w:rsid w:val="00FD136F"/>
    <w:rsid w:val="00FD13B3"/>
    <w:rsid w:val="00FD165B"/>
    <w:rsid w:val="00FD177D"/>
    <w:rsid w:val="00FD1833"/>
    <w:rsid w:val="00FD1BAE"/>
    <w:rsid w:val="00FD1F95"/>
    <w:rsid w:val="00FD202F"/>
    <w:rsid w:val="00FD207E"/>
    <w:rsid w:val="00FD207F"/>
    <w:rsid w:val="00FD20CA"/>
    <w:rsid w:val="00FD219C"/>
    <w:rsid w:val="00FD22C1"/>
    <w:rsid w:val="00FD231D"/>
    <w:rsid w:val="00FD232C"/>
    <w:rsid w:val="00FD236C"/>
    <w:rsid w:val="00FD23D5"/>
    <w:rsid w:val="00FD2496"/>
    <w:rsid w:val="00FD24E4"/>
    <w:rsid w:val="00FD257C"/>
    <w:rsid w:val="00FD2684"/>
    <w:rsid w:val="00FD269B"/>
    <w:rsid w:val="00FD2720"/>
    <w:rsid w:val="00FD27A6"/>
    <w:rsid w:val="00FD29BD"/>
    <w:rsid w:val="00FD2AE7"/>
    <w:rsid w:val="00FD2B2B"/>
    <w:rsid w:val="00FD2B6B"/>
    <w:rsid w:val="00FD2ED4"/>
    <w:rsid w:val="00FD2EF7"/>
    <w:rsid w:val="00FD3010"/>
    <w:rsid w:val="00FD31B8"/>
    <w:rsid w:val="00FD31BD"/>
    <w:rsid w:val="00FD34E1"/>
    <w:rsid w:val="00FD35BE"/>
    <w:rsid w:val="00FD36BF"/>
    <w:rsid w:val="00FD3711"/>
    <w:rsid w:val="00FD3824"/>
    <w:rsid w:val="00FD3949"/>
    <w:rsid w:val="00FD3A00"/>
    <w:rsid w:val="00FD3B6B"/>
    <w:rsid w:val="00FD3BD1"/>
    <w:rsid w:val="00FD3C47"/>
    <w:rsid w:val="00FD3CFC"/>
    <w:rsid w:val="00FD3DB2"/>
    <w:rsid w:val="00FD41AA"/>
    <w:rsid w:val="00FD41B8"/>
    <w:rsid w:val="00FD41DF"/>
    <w:rsid w:val="00FD42F2"/>
    <w:rsid w:val="00FD42F5"/>
    <w:rsid w:val="00FD438F"/>
    <w:rsid w:val="00FD44C9"/>
    <w:rsid w:val="00FD45AB"/>
    <w:rsid w:val="00FD45B6"/>
    <w:rsid w:val="00FD464C"/>
    <w:rsid w:val="00FD46B2"/>
    <w:rsid w:val="00FD474D"/>
    <w:rsid w:val="00FD4781"/>
    <w:rsid w:val="00FD4794"/>
    <w:rsid w:val="00FD479A"/>
    <w:rsid w:val="00FD4845"/>
    <w:rsid w:val="00FD4847"/>
    <w:rsid w:val="00FD492C"/>
    <w:rsid w:val="00FD495F"/>
    <w:rsid w:val="00FD4A60"/>
    <w:rsid w:val="00FD4A98"/>
    <w:rsid w:val="00FD4BBE"/>
    <w:rsid w:val="00FD4CBE"/>
    <w:rsid w:val="00FD4CE0"/>
    <w:rsid w:val="00FD4DCB"/>
    <w:rsid w:val="00FD4DDC"/>
    <w:rsid w:val="00FD4E4B"/>
    <w:rsid w:val="00FD4FDD"/>
    <w:rsid w:val="00FD5024"/>
    <w:rsid w:val="00FD50D0"/>
    <w:rsid w:val="00FD5128"/>
    <w:rsid w:val="00FD51DA"/>
    <w:rsid w:val="00FD523A"/>
    <w:rsid w:val="00FD5256"/>
    <w:rsid w:val="00FD52C7"/>
    <w:rsid w:val="00FD554D"/>
    <w:rsid w:val="00FD5575"/>
    <w:rsid w:val="00FD58CB"/>
    <w:rsid w:val="00FD5A43"/>
    <w:rsid w:val="00FD5B92"/>
    <w:rsid w:val="00FD5C47"/>
    <w:rsid w:val="00FD5CBB"/>
    <w:rsid w:val="00FD5D17"/>
    <w:rsid w:val="00FD5D25"/>
    <w:rsid w:val="00FD5D41"/>
    <w:rsid w:val="00FD5D46"/>
    <w:rsid w:val="00FD5DA5"/>
    <w:rsid w:val="00FD5E20"/>
    <w:rsid w:val="00FD5EDC"/>
    <w:rsid w:val="00FD5EE1"/>
    <w:rsid w:val="00FD5FC4"/>
    <w:rsid w:val="00FD604B"/>
    <w:rsid w:val="00FD60B0"/>
    <w:rsid w:val="00FD60B3"/>
    <w:rsid w:val="00FD62DB"/>
    <w:rsid w:val="00FD6333"/>
    <w:rsid w:val="00FD633E"/>
    <w:rsid w:val="00FD6489"/>
    <w:rsid w:val="00FD64B9"/>
    <w:rsid w:val="00FD662E"/>
    <w:rsid w:val="00FD6638"/>
    <w:rsid w:val="00FD66B0"/>
    <w:rsid w:val="00FD69EB"/>
    <w:rsid w:val="00FD6C57"/>
    <w:rsid w:val="00FD6D6E"/>
    <w:rsid w:val="00FD6EF7"/>
    <w:rsid w:val="00FD6FBA"/>
    <w:rsid w:val="00FD6FEB"/>
    <w:rsid w:val="00FD7000"/>
    <w:rsid w:val="00FD70F0"/>
    <w:rsid w:val="00FD71B9"/>
    <w:rsid w:val="00FD72B2"/>
    <w:rsid w:val="00FD7595"/>
    <w:rsid w:val="00FD769C"/>
    <w:rsid w:val="00FD76D6"/>
    <w:rsid w:val="00FD77DB"/>
    <w:rsid w:val="00FD77E1"/>
    <w:rsid w:val="00FD77F1"/>
    <w:rsid w:val="00FD7924"/>
    <w:rsid w:val="00FD7A02"/>
    <w:rsid w:val="00FD7A49"/>
    <w:rsid w:val="00FD7A61"/>
    <w:rsid w:val="00FD7AC8"/>
    <w:rsid w:val="00FD7B24"/>
    <w:rsid w:val="00FD7B54"/>
    <w:rsid w:val="00FD7B9F"/>
    <w:rsid w:val="00FD7BBD"/>
    <w:rsid w:val="00FD7C00"/>
    <w:rsid w:val="00FD7C27"/>
    <w:rsid w:val="00FD7DC0"/>
    <w:rsid w:val="00FD7F6A"/>
    <w:rsid w:val="00FE003E"/>
    <w:rsid w:val="00FE00F9"/>
    <w:rsid w:val="00FE02BF"/>
    <w:rsid w:val="00FE036E"/>
    <w:rsid w:val="00FE042A"/>
    <w:rsid w:val="00FE04AB"/>
    <w:rsid w:val="00FE051A"/>
    <w:rsid w:val="00FE053A"/>
    <w:rsid w:val="00FE055C"/>
    <w:rsid w:val="00FE0685"/>
    <w:rsid w:val="00FE06A1"/>
    <w:rsid w:val="00FE0886"/>
    <w:rsid w:val="00FE0B3F"/>
    <w:rsid w:val="00FE0F04"/>
    <w:rsid w:val="00FE0FAA"/>
    <w:rsid w:val="00FE1130"/>
    <w:rsid w:val="00FE1188"/>
    <w:rsid w:val="00FE118B"/>
    <w:rsid w:val="00FE122E"/>
    <w:rsid w:val="00FE1405"/>
    <w:rsid w:val="00FE1548"/>
    <w:rsid w:val="00FE158B"/>
    <w:rsid w:val="00FE1624"/>
    <w:rsid w:val="00FE172B"/>
    <w:rsid w:val="00FE1922"/>
    <w:rsid w:val="00FE19FE"/>
    <w:rsid w:val="00FE1ACD"/>
    <w:rsid w:val="00FE1C6C"/>
    <w:rsid w:val="00FE1D3D"/>
    <w:rsid w:val="00FE1DBB"/>
    <w:rsid w:val="00FE1DF9"/>
    <w:rsid w:val="00FE201C"/>
    <w:rsid w:val="00FE206C"/>
    <w:rsid w:val="00FE245A"/>
    <w:rsid w:val="00FE2487"/>
    <w:rsid w:val="00FE24F1"/>
    <w:rsid w:val="00FE2548"/>
    <w:rsid w:val="00FE263E"/>
    <w:rsid w:val="00FE279F"/>
    <w:rsid w:val="00FE27A0"/>
    <w:rsid w:val="00FE297F"/>
    <w:rsid w:val="00FE2AE7"/>
    <w:rsid w:val="00FE2B3F"/>
    <w:rsid w:val="00FE2B68"/>
    <w:rsid w:val="00FE2D33"/>
    <w:rsid w:val="00FE2E99"/>
    <w:rsid w:val="00FE2F84"/>
    <w:rsid w:val="00FE3044"/>
    <w:rsid w:val="00FE32FA"/>
    <w:rsid w:val="00FE330C"/>
    <w:rsid w:val="00FE3390"/>
    <w:rsid w:val="00FE350B"/>
    <w:rsid w:val="00FE35FE"/>
    <w:rsid w:val="00FE3B3A"/>
    <w:rsid w:val="00FE3C6D"/>
    <w:rsid w:val="00FE3CA4"/>
    <w:rsid w:val="00FE3CB5"/>
    <w:rsid w:val="00FE3D79"/>
    <w:rsid w:val="00FE3D93"/>
    <w:rsid w:val="00FE3ECD"/>
    <w:rsid w:val="00FE3ECF"/>
    <w:rsid w:val="00FE3F7C"/>
    <w:rsid w:val="00FE40C6"/>
    <w:rsid w:val="00FE4118"/>
    <w:rsid w:val="00FE424A"/>
    <w:rsid w:val="00FE4269"/>
    <w:rsid w:val="00FE459F"/>
    <w:rsid w:val="00FE45DF"/>
    <w:rsid w:val="00FE4607"/>
    <w:rsid w:val="00FE4697"/>
    <w:rsid w:val="00FE49D3"/>
    <w:rsid w:val="00FE49EB"/>
    <w:rsid w:val="00FE4AF6"/>
    <w:rsid w:val="00FE4B5D"/>
    <w:rsid w:val="00FE4B96"/>
    <w:rsid w:val="00FE4C3F"/>
    <w:rsid w:val="00FE4C57"/>
    <w:rsid w:val="00FE4CA8"/>
    <w:rsid w:val="00FE4DAD"/>
    <w:rsid w:val="00FE4DFB"/>
    <w:rsid w:val="00FE4F17"/>
    <w:rsid w:val="00FE5022"/>
    <w:rsid w:val="00FE50E1"/>
    <w:rsid w:val="00FE528B"/>
    <w:rsid w:val="00FE53C1"/>
    <w:rsid w:val="00FE53EA"/>
    <w:rsid w:val="00FE5622"/>
    <w:rsid w:val="00FE5779"/>
    <w:rsid w:val="00FE580F"/>
    <w:rsid w:val="00FE5833"/>
    <w:rsid w:val="00FE58AE"/>
    <w:rsid w:val="00FE5998"/>
    <w:rsid w:val="00FE5A7C"/>
    <w:rsid w:val="00FE5BD4"/>
    <w:rsid w:val="00FE5BE8"/>
    <w:rsid w:val="00FE5BFE"/>
    <w:rsid w:val="00FE5E34"/>
    <w:rsid w:val="00FE6346"/>
    <w:rsid w:val="00FE6383"/>
    <w:rsid w:val="00FE63EF"/>
    <w:rsid w:val="00FE6413"/>
    <w:rsid w:val="00FE6518"/>
    <w:rsid w:val="00FE655F"/>
    <w:rsid w:val="00FE65C1"/>
    <w:rsid w:val="00FE66B9"/>
    <w:rsid w:val="00FE6784"/>
    <w:rsid w:val="00FE6A13"/>
    <w:rsid w:val="00FE6A66"/>
    <w:rsid w:val="00FE6B60"/>
    <w:rsid w:val="00FE6D1A"/>
    <w:rsid w:val="00FE6EA9"/>
    <w:rsid w:val="00FE6F3B"/>
    <w:rsid w:val="00FE7069"/>
    <w:rsid w:val="00FE70BD"/>
    <w:rsid w:val="00FE7154"/>
    <w:rsid w:val="00FE7165"/>
    <w:rsid w:val="00FE71B4"/>
    <w:rsid w:val="00FE721D"/>
    <w:rsid w:val="00FE7259"/>
    <w:rsid w:val="00FE7272"/>
    <w:rsid w:val="00FE7493"/>
    <w:rsid w:val="00FE7594"/>
    <w:rsid w:val="00FE75F9"/>
    <w:rsid w:val="00FE7659"/>
    <w:rsid w:val="00FE7669"/>
    <w:rsid w:val="00FE771C"/>
    <w:rsid w:val="00FE7773"/>
    <w:rsid w:val="00FE7896"/>
    <w:rsid w:val="00FE78E6"/>
    <w:rsid w:val="00FE7A01"/>
    <w:rsid w:val="00FE7A15"/>
    <w:rsid w:val="00FE7AA1"/>
    <w:rsid w:val="00FE7B3B"/>
    <w:rsid w:val="00FE7B6F"/>
    <w:rsid w:val="00FE7FB1"/>
    <w:rsid w:val="00FF019D"/>
    <w:rsid w:val="00FF0210"/>
    <w:rsid w:val="00FF03C6"/>
    <w:rsid w:val="00FF03F0"/>
    <w:rsid w:val="00FF04D5"/>
    <w:rsid w:val="00FF0562"/>
    <w:rsid w:val="00FF071F"/>
    <w:rsid w:val="00FF0813"/>
    <w:rsid w:val="00FF0849"/>
    <w:rsid w:val="00FF0A9D"/>
    <w:rsid w:val="00FF0CE7"/>
    <w:rsid w:val="00FF0E31"/>
    <w:rsid w:val="00FF0E94"/>
    <w:rsid w:val="00FF0FC7"/>
    <w:rsid w:val="00FF0FEA"/>
    <w:rsid w:val="00FF10A9"/>
    <w:rsid w:val="00FF11E2"/>
    <w:rsid w:val="00FF1409"/>
    <w:rsid w:val="00FF1478"/>
    <w:rsid w:val="00FF16A8"/>
    <w:rsid w:val="00FF178F"/>
    <w:rsid w:val="00FF17AF"/>
    <w:rsid w:val="00FF184A"/>
    <w:rsid w:val="00FF18C4"/>
    <w:rsid w:val="00FF18C6"/>
    <w:rsid w:val="00FF1936"/>
    <w:rsid w:val="00FF199A"/>
    <w:rsid w:val="00FF1AF6"/>
    <w:rsid w:val="00FF1B87"/>
    <w:rsid w:val="00FF1CF5"/>
    <w:rsid w:val="00FF1DA7"/>
    <w:rsid w:val="00FF1F70"/>
    <w:rsid w:val="00FF21EE"/>
    <w:rsid w:val="00FF2457"/>
    <w:rsid w:val="00FF25DE"/>
    <w:rsid w:val="00FF268B"/>
    <w:rsid w:val="00FF271F"/>
    <w:rsid w:val="00FF2A60"/>
    <w:rsid w:val="00FF2A7B"/>
    <w:rsid w:val="00FF2B44"/>
    <w:rsid w:val="00FF2BE2"/>
    <w:rsid w:val="00FF2C19"/>
    <w:rsid w:val="00FF2C77"/>
    <w:rsid w:val="00FF2CC0"/>
    <w:rsid w:val="00FF2D3D"/>
    <w:rsid w:val="00FF2E47"/>
    <w:rsid w:val="00FF3060"/>
    <w:rsid w:val="00FF309E"/>
    <w:rsid w:val="00FF30DD"/>
    <w:rsid w:val="00FF317F"/>
    <w:rsid w:val="00FF3213"/>
    <w:rsid w:val="00FF324E"/>
    <w:rsid w:val="00FF331C"/>
    <w:rsid w:val="00FF331E"/>
    <w:rsid w:val="00FF338D"/>
    <w:rsid w:val="00FF3505"/>
    <w:rsid w:val="00FF3527"/>
    <w:rsid w:val="00FF3635"/>
    <w:rsid w:val="00FF3716"/>
    <w:rsid w:val="00FF3739"/>
    <w:rsid w:val="00FF3744"/>
    <w:rsid w:val="00FF395D"/>
    <w:rsid w:val="00FF3ACB"/>
    <w:rsid w:val="00FF3BD2"/>
    <w:rsid w:val="00FF3BE9"/>
    <w:rsid w:val="00FF3D6B"/>
    <w:rsid w:val="00FF3D86"/>
    <w:rsid w:val="00FF3E2E"/>
    <w:rsid w:val="00FF4030"/>
    <w:rsid w:val="00FF40C5"/>
    <w:rsid w:val="00FF40DC"/>
    <w:rsid w:val="00FF4221"/>
    <w:rsid w:val="00FF4289"/>
    <w:rsid w:val="00FF42E5"/>
    <w:rsid w:val="00FF43B2"/>
    <w:rsid w:val="00FF43CD"/>
    <w:rsid w:val="00FF452D"/>
    <w:rsid w:val="00FF465B"/>
    <w:rsid w:val="00FF4941"/>
    <w:rsid w:val="00FF4A03"/>
    <w:rsid w:val="00FF4AFF"/>
    <w:rsid w:val="00FF4BB5"/>
    <w:rsid w:val="00FF4F69"/>
    <w:rsid w:val="00FF50EE"/>
    <w:rsid w:val="00FF517A"/>
    <w:rsid w:val="00FF519F"/>
    <w:rsid w:val="00FF5250"/>
    <w:rsid w:val="00FF52AD"/>
    <w:rsid w:val="00FF5436"/>
    <w:rsid w:val="00FF5524"/>
    <w:rsid w:val="00FF5532"/>
    <w:rsid w:val="00FF5632"/>
    <w:rsid w:val="00FF56AC"/>
    <w:rsid w:val="00FF57B0"/>
    <w:rsid w:val="00FF57FD"/>
    <w:rsid w:val="00FF5913"/>
    <w:rsid w:val="00FF59FE"/>
    <w:rsid w:val="00FF5B0E"/>
    <w:rsid w:val="00FF5C35"/>
    <w:rsid w:val="00FF5D18"/>
    <w:rsid w:val="00FF5D4A"/>
    <w:rsid w:val="00FF5DC7"/>
    <w:rsid w:val="00FF5E43"/>
    <w:rsid w:val="00FF5ECF"/>
    <w:rsid w:val="00FF5FA4"/>
    <w:rsid w:val="00FF616F"/>
    <w:rsid w:val="00FF61D7"/>
    <w:rsid w:val="00FF61FA"/>
    <w:rsid w:val="00FF6307"/>
    <w:rsid w:val="00FF63C8"/>
    <w:rsid w:val="00FF65CC"/>
    <w:rsid w:val="00FF6765"/>
    <w:rsid w:val="00FF688E"/>
    <w:rsid w:val="00FF69BE"/>
    <w:rsid w:val="00FF69CF"/>
    <w:rsid w:val="00FF69EC"/>
    <w:rsid w:val="00FF6A73"/>
    <w:rsid w:val="00FF6B20"/>
    <w:rsid w:val="00FF6BFF"/>
    <w:rsid w:val="00FF6CED"/>
    <w:rsid w:val="00FF6DA1"/>
    <w:rsid w:val="00FF6DB0"/>
    <w:rsid w:val="00FF6DCB"/>
    <w:rsid w:val="00FF6F5E"/>
    <w:rsid w:val="00FF70A8"/>
    <w:rsid w:val="00FF70B5"/>
    <w:rsid w:val="00FF70D1"/>
    <w:rsid w:val="00FF733E"/>
    <w:rsid w:val="00FF7341"/>
    <w:rsid w:val="00FF7344"/>
    <w:rsid w:val="00FF7407"/>
    <w:rsid w:val="00FF75CE"/>
    <w:rsid w:val="00FF7C68"/>
    <w:rsid w:val="00FF7C97"/>
    <w:rsid w:val="00FF7E08"/>
    <w:rsid w:val="00FF7EA1"/>
    <w:rsid w:val="00FF7ED6"/>
    <w:rsid w:val="0141FCF4"/>
    <w:rsid w:val="015840C3"/>
    <w:rsid w:val="015D103D"/>
    <w:rsid w:val="0162265E"/>
    <w:rsid w:val="0190C5ED"/>
    <w:rsid w:val="019C60F7"/>
    <w:rsid w:val="01A1AD38"/>
    <w:rsid w:val="01ACDD9F"/>
    <w:rsid w:val="01C09A61"/>
    <w:rsid w:val="01D70BC4"/>
    <w:rsid w:val="01F612A1"/>
    <w:rsid w:val="0209920B"/>
    <w:rsid w:val="0242ED3D"/>
    <w:rsid w:val="0251C3F8"/>
    <w:rsid w:val="0256F5F8"/>
    <w:rsid w:val="02761866"/>
    <w:rsid w:val="0280B54A"/>
    <w:rsid w:val="02A80670"/>
    <w:rsid w:val="02CD3286"/>
    <w:rsid w:val="02EECE52"/>
    <w:rsid w:val="03481069"/>
    <w:rsid w:val="03B78DF2"/>
    <w:rsid w:val="03D2CDFF"/>
    <w:rsid w:val="03E094B0"/>
    <w:rsid w:val="0437B39A"/>
    <w:rsid w:val="044163BD"/>
    <w:rsid w:val="0442E246"/>
    <w:rsid w:val="0448993D"/>
    <w:rsid w:val="044FE078"/>
    <w:rsid w:val="0453253F"/>
    <w:rsid w:val="04852FE0"/>
    <w:rsid w:val="0488A3B6"/>
    <w:rsid w:val="048AC35B"/>
    <w:rsid w:val="04ADCCA6"/>
    <w:rsid w:val="04D565E7"/>
    <w:rsid w:val="04E0CEF3"/>
    <w:rsid w:val="04FB376F"/>
    <w:rsid w:val="05688CFA"/>
    <w:rsid w:val="058EB8D3"/>
    <w:rsid w:val="05C0FB1A"/>
    <w:rsid w:val="05C26255"/>
    <w:rsid w:val="0637B37B"/>
    <w:rsid w:val="0652C283"/>
    <w:rsid w:val="0674248C"/>
    <w:rsid w:val="067A8F0D"/>
    <w:rsid w:val="06866C3C"/>
    <w:rsid w:val="0697E30E"/>
    <w:rsid w:val="06A18DF2"/>
    <w:rsid w:val="06AEA01B"/>
    <w:rsid w:val="06BA01F8"/>
    <w:rsid w:val="06FB87CA"/>
    <w:rsid w:val="071A4AC3"/>
    <w:rsid w:val="072749E8"/>
    <w:rsid w:val="075EC25F"/>
    <w:rsid w:val="0787D69F"/>
    <w:rsid w:val="0788BAE7"/>
    <w:rsid w:val="078CC054"/>
    <w:rsid w:val="078FA700"/>
    <w:rsid w:val="07AB88DE"/>
    <w:rsid w:val="07C3C269"/>
    <w:rsid w:val="07C5B24F"/>
    <w:rsid w:val="07E609CA"/>
    <w:rsid w:val="07EB20D9"/>
    <w:rsid w:val="082923B7"/>
    <w:rsid w:val="08AFD2F3"/>
    <w:rsid w:val="08D853B5"/>
    <w:rsid w:val="08DB3D57"/>
    <w:rsid w:val="0934BE9E"/>
    <w:rsid w:val="0952629D"/>
    <w:rsid w:val="0978348A"/>
    <w:rsid w:val="09C50FD6"/>
    <w:rsid w:val="09C67498"/>
    <w:rsid w:val="0A2868FA"/>
    <w:rsid w:val="0A605DE9"/>
    <w:rsid w:val="0A607B8B"/>
    <w:rsid w:val="0A865C31"/>
    <w:rsid w:val="0A8E55E7"/>
    <w:rsid w:val="0AD83F47"/>
    <w:rsid w:val="0B114882"/>
    <w:rsid w:val="0B1FF632"/>
    <w:rsid w:val="0B25B35E"/>
    <w:rsid w:val="0B274470"/>
    <w:rsid w:val="0B83AF0C"/>
    <w:rsid w:val="0BA0B65B"/>
    <w:rsid w:val="0BB0F308"/>
    <w:rsid w:val="0BB7F47F"/>
    <w:rsid w:val="0BBC0241"/>
    <w:rsid w:val="0BD2E9FB"/>
    <w:rsid w:val="0C21A887"/>
    <w:rsid w:val="0C2677A7"/>
    <w:rsid w:val="0C5E7B4A"/>
    <w:rsid w:val="0C71E322"/>
    <w:rsid w:val="0C80E22A"/>
    <w:rsid w:val="0C8D4082"/>
    <w:rsid w:val="0C8E3E91"/>
    <w:rsid w:val="0C92E2A9"/>
    <w:rsid w:val="0CA390B6"/>
    <w:rsid w:val="0CB0B847"/>
    <w:rsid w:val="0CBA23D1"/>
    <w:rsid w:val="0CE36F69"/>
    <w:rsid w:val="0CF0F9BB"/>
    <w:rsid w:val="0CF18BDB"/>
    <w:rsid w:val="0D2BCC07"/>
    <w:rsid w:val="0D33FB23"/>
    <w:rsid w:val="0D6A91E2"/>
    <w:rsid w:val="0D9EC471"/>
    <w:rsid w:val="0DEA3CB3"/>
    <w:rsid w:val="0DF84F4D"/>
    <w:rsid w:val="0E256FA9"/>
    <w:rsid w:val="0E79DBE9"/>
    <w:rsid w:val="0EB00A2E"/>
    <w:rsid w:val="0EBDEBED"/>
    <w:rsid w:val="0ECF2466"/>
    <w:rsid w:val="0ED49257"/>
    <w:rsid w:val="0EF502DB"/>
    <w:rsid w:val="0F0BC603"/>
    <w:rsid w:val="0F191398"/>
    <w:rsid w:val="0F37DB65"/>
    <w:rsid w:val="0FABC989"/>
    <w:rsid w:val="0FB06478"/>
    <w:rsid w:val="0FBC474A"/>
    <w:rsid w:val="0FBEDDEF"/>
    <w:rsid w:val="0FCAC0B1"/>
    <w:rsid w:val="0FE30F1C"/>
    <w:rsid w:val="0FEABF67"/>
    <w:rsid w:val="0FF2F09E"/>
    <w:rsid w:val="102D48BA"/>
    <w:rsid w:val="1033DA05"/>
    <w:rsid w:val="105F3F5A"/>
    <w:rsid w:val="108202D2"/>
    <w:rsid w:val="1087D6D6"/>
    <w:rsid w:val="10A31772"/>
    <w:rsid w:val="10BDB713"/>
    <w:rsid w:val="10D4644D"/>
    <w:rsid w:val="10E0686F"/>
    <w:rsid w:val="10F19514"/>
    <w:rsid w:val="10F4A5C0"/>
    <w:rsid w:val="10FCE1C3"/>
    <w:rsid w:val="11117A2C"/>
    <w:rsid w:val="112FF471"/>
    <w:rsid w:val="114E7FD4"/>
    <w:rsid w:val="11512C96"/>
    <w:rsid w:val="11BD17FF"/>
    <w:rsid w:val="11C70B33"/>
    <w:rsid w:val="11C781B1"/>
    <w:rsid w:val="11CA061E"/>
    <w:rsid w:val="1202D5A3"/>
    <w:rsid w:val="126DC355"/>
    <w:rsid w:val="129E2E8E"/>
    <w:rsid w:val="12C1F6D5"/>
    <w:rsid w:val="12E1F5EE"/>
    <w:rsid w:val="12E84B25"/>
    <w:rsid w:val="12FB987A"/>
    <w:rsid w:val="13B46615"/>
    <w:rsid w:val="13DAC911"/>
    <w:rsid w:val="1400CE92"/>
    <w:rsid w:val="1406C803"/>
    <w:rsid w:val="1429552F"/>
    <w:rsid w:val="14350A33"/>
    <w:rsid w:val="14355854"/>
    <w:rsid w:val="14533974"/>
    <w:rsid w:val="147A542E"/>
    <w:rsid w:val="14932C2C"/>
    <w:rsid w:val="14A48315"/>
    <w:rsid w:val="14A5E6CE"/>
    <w:rsid w:val="14B10969"/>
    <w:rsid w:val="151ADEC5"/>
    <w:rsid w:val="15293139"/>
    <w:rsid w:val="154360DB"/>
    <w:rsid w:val="155CC951"/>
    <w:rsid w:val="156A9DBD"/>
    <w:rsid w:val="158C28B5"/>
    <w:rsid w:val="15C1FDC2"/>
    <w:rsid w:val="15CDD54C"/>
    <w:rsid w:val="15CE2A4A"/>
    <w:rsid w:val="15D6516F"/>
    <w:rsid w:val="16079EB4"/>
    <w:rsid w:val="16112B64"/>
    <w:rsid w:val="1646E5E9"/>
    <w:rsid w:val="1666D69A"/>
    <w:rsid w:val="168CF969"/>
    <w:rsid w:val="16B38A67"/>
    <w:rsid w:val="16B6B945"/>
    <w:rsid w:val="16E556FA"/>
    <w:rsid w:val="16FB0DF9"/>
    <w:rsid w:val="172B55D7"/>
    <w:rsid w:val="17467A7E"/>
    <w:rsid w:val="175CB216"/>
    <w:rsid w:val="17671564"/>
    <w:rsid w:val="1767C7CC"/>
    <w:rsid w:val="177682CA"/>
    <w:rsid w:val="178F40F5"/>
    <w:rsid w:val="17A6668B"/>
    <w:rsid w:val="17E7DB66"/>
    <w:rsid w:val="17F4ED87"/>
    <w:rsid w:val="18001A46"/>
    <w:rsid w:val="1853EA1D"/>
    <w:rsid w:val="185A15BB"/>
    <w:rsid w:val="186D3D3C"/>
    <w:rsid w:val="186DF8D8"/>
    <w:rsid w:val="187358A9"/>
    <w:rsid w:val="187FC3EB"/>
    <w:rsid w:val="1888D0E5"/>
    <w:rsid w:val="189054D0"/>
    <w:rsid w:val="18A05157"/>
    <w:rsid w:val="18A6ECEA"/>
    <w:rsid w:val="18FEEC8B"/>
    <w:rsid w:val="1900278F"/>
    <w:rsid w:val="1911F493"/>
    <w:rsid w:val="191CBE3C"/>
    <w:rsid w:val="1926C625"/>
    <w:rsid w:val="1930E793"/>
    <w:rsid w:val="193659B0"/>
    <w:rsid w:val="193CEC61"/>
    <w:rsid w:val="1944947F"/>
    <w:rsid w:val="196A023B"/>
    <w:rsid w:val="19A0E05D"/>
    <w:rsid w:val="1A0715E0"/>
    <w:rsid w:val="1A0D9973"/>
    <w:rsid w:val="1A18AE29"/>
    <w:rsid w:val="1A341A25"/>
    <w:rsid w:val="1A5F7F30"/>
    <w:rsid w:val="1AA7A746"/>
    <w:rsid w:val="1AD77BE3"/>
    <w:rsid w:val="1AF9E028"/>
    <w:rsid w:val="1B096206"/>
    <w:rsid w:val="1B09BCD7"/>
    <w:rsid w:val="1B239884"/>
    <w:rsid w:val="1B2CC1B4"/>
    <w:rsid w:val="1B33D335"/>
    <w:rsid w:val="1B4C39B7"/>
    <w:rsid w:val="1B6D695F"/>
    <w:rsid w:val="1BA8E01B"/>
    <w:rsid w:val="1BB020E5"/>
    <w:rsid w:val="1BBAC663"/>
    <w:rsid w:val="1BE39842"/>
    <w:rsid w:val="1C0F0143"/>
    <w:rsid w:val="1C15065D"/>
    <w:rsid w:val="1C19101A"/>
    <w:rsid w:val="1C1F9D67"/>
    <w:rsid w:val="1C208783"/>
    <w:rsid w:val="1C57BD38"/>
    <w:rsid w:val="1C6C9418"/>
    <w:rsid w:val="1C9A9400"/>
    <w:rsid w:val="1CCE12B4"/>
    <w:rsid w:val="1D415315"/>
    <w:rsid w:val="1D62B8B4"/>
    <w:rsid w:val="1D6B8F2F"/>
    <w:rsid w:val="1D9141CF"/>
    <w:rsid w:val="1D97E08E"/>
    <w:rsid w:val="1DB27F8D"/>
    <w:rsid w:val="1DD18954"/>
    <w:rsid w:val="1DE055ED"/>
    <w:rsid w:val="1DEA2AFA"/>
    <w:rsid w:val="1E08B8F3"/>
    <w:rsid w:val="1E08F271"/>
    <w:rsid w:val="1E1EF6DF"/>
    <w:rsid w:val="1E24AE69"/>
    <w:rsid w:val="1E26864A"/>
    <w:rsid w:val="1E478889"/>
    <w:rsid w:val="1E50CD8D"/>
    <w:rsid w:val="1E75A8D8"/>
    <w:rsid w:val="1E7D0425"/>
    <w:rsid w:val="1E896BEA"/>
    <w:rsid w:val="1EAD594C"/>
    <w:rsid w:val="1F068E13"/>
    <w:rsid w:val="1F0E3146"/>
    <w:rsid w:val="1F24D043"/>
    <w:rsid w:val="1F4611CC"/>
    <w:rsid w:val="1F60F0C9"/>
    <w:rsid w:val="1F817DC2"/>
    <w:rsid w:val="1F8C339A"/>
    <w:rsid w:val="1FB7D2C1"/>
    <w:rsid w:val="1FBEFDEC"/>
    <w:rsid w:val="1FCBC76A"/>
    <w:rsid w:val="1FD3F270"/>
    <w:rsid w:val="1FFC869D"/>
    <w:rsid w:val="20135476"/>
    <w:rsid w:val="204D59E0"/>
    <w:rsid w:val="20717D73"/>
    <w:rsid w:val="20758516"/>
    <w:rsid w:val="2086D26C"/>
    <w:rsid w:val="2096C4FF"/>
    <w:rsid w:val="20C9FC48"/>
    <w:rsid w:val="20DA3426"/>
    <w:rsid w:val="21136870"/>
    <w:rsid w:val="2128BF8B"/>
    <w:rsid w:val="2131DAD1"/>
    <w:rsid w:val="213B85C7"/>
    <w:rsid w:val="21594005"/>
    <w:rsid w:val="215A1C4A"/>
    <w:rsid w:val="2177DAB4"/>
    <w:rsid w:val="21978541"/>
    <w:rsid w:val="21B19FB1"/>
    <w:rsid w:val="21B5A439"/>
    <w:rsid w:val="21B93123"/>
    <w:rsid w:val="21C4D164"/>
    <w:rsid w:val="21C7AD65"/>
    <w:rsid w:val="21D5C341"/>
    <w:rsid w:val="21EE7A1C"/>
    <w:rsid w:val="22197221"/>
    <w:rsid w:val="221E2458"/>
    <w:rsid w:val="22318C79"/>
    <w:rsid w:val="226B1ACF"/>
    <w:rsid w:val="228A2E23"/>
    <w:rsid w:val="22A0E70E"/>
    <w:rsid w:val="22B6DFE2"/>
    <w:rsid w:val="22BA9767"/>
    <w:rsid w:val="22ECD3A2"/>
    <w:rsid w:val="22F2EF65"/>
    <w:rsid w:val="22F6DF7E"/>
    <w:rsid w:val="231C44D8"/>
    <w:rsid w:val="23319361"/>
    <w:rsid w:val="23440358"/>
    <w:rsid w:val="23693D6A"/>
    <w:rsid w:val="236B5DE5"/>
    <w:rsid w:val="239FD8F5"/>
    <w:rsid w:val="23A5197B"/>
    <w:rsid w:val="23A7381D"/>
    <w:rsid w:val="23BB13B3"/>
    <w:rsid w:val="23DE7280"/>
    <w:rsid w:val="24347FE0"/>
    <w:rsid w:val="24499545"/>
    <w:rsid w:val="24AA80DE"/>
    <w:rsid w:val="24B0A41E"/>
    <w:rsid w:val="25024E31"/>
    <w:rsid w:val="250BBE10"/>
    <w:rsid w:val="251DF2E4"/>
    <w:rsid w:val="2549204D"/>
    <w:rsid w:val="25553772"/>
    <w:rsid w:val="258223CE"/>
    <w:rsid w:val="25826987"/>
    <w:rsid w:val="25939129"/>
    <w:rsid w:val="25D85EFB"/>
    <w:rsid w:val="26021DDB"/>
    <w:rsid w:val="2646D88C"/>
    <w:rsid w:val="264DE500"/>
    <w:rsid w:val="266531EC"/>
    <w:rsid w:val="267E6B17"/>
    <w:rsid w:val="26AF6128"/>
    <w:rsid w:val="26BFE531"/>
    <w:rsid w:val="26D4FFB3"/>
    <w:rsid w:val="26E166C9"/>
    <w:rsid w:val="26E90152"/>
    <w:rsid w:val="2720E3AB"/>
    <w:rsid w:val="272ABB80"/>
    <w:rsid w:val="274FDD8A"/>
    <w:rsid w:val="27745831"/>
    <w:rsid w:val="2814FAFF"/>
    <w:rsid w:val="28176F4B"/>
    <w:rsid w:val="2843ED75"/>
    <w:rsid w:val="28561E01"/>
    <w:rsid w:val="287A29AA"/>
    <w:rsid w:val="2882A015"/>
    <w:rsid w:val="28833103"/>
    <w:rsid w:val="288835E8"/>
    <w:rsid w:val="2889D0C7"/>
    <w:rsid w:val="289D26B2"/>
    <w:rsid w:val="28CF1D1D"/>
    <w:rsid w:val="28D0DC0A"/>
    <w:rsid w:val="29159C28"/>
    <w:rsid w:val="291B6560"/>
    <w:rsid w:val="294C5B4D"/>
    <w:rsid w:val="2959A4CD"/>
    <w:rsid w:val="29845BD4"/>
    <w:rsid w:val="29B3D3EA"/>
    <w:rsid w:val="29D9D451"/>
    <w:rsid w:val="29E9702F"/>
    <w:rsid w:val="2A572A83"/>
    <w:rsid w:val="2AB67A4F"/>
    <w:rsid w:val="2ADFB3BE"/>
    <w:rsid w:val="2AE16106"/>
    <w:rsid w:val="2B1FC8EB"/>
    <w:rsid w:val="2B32EB11"/>
    <w:rsid w:val="2B711DA6"/>
    <w:rsid w:val="2BB4BC79"/>
    <w:rsid w:val="2BBFA534"/>
    <w:rsid w:val="2BC30ECB"/>
    <w:rsid w:val="2BD3BC7C"/>
    <w:rsid w:val="2BDE088D"/>
    <w:rsid w:val="2BE0BFCC"/>
    <w:rsid w:val="2C03DCE3"/>
    <w:rsid w:val="2C0C2C96"/>
    <w:rsid w:val="2C1D82EA"/>
    <w:rsid w:val="2C33C9B0"/>
    <w:rsid w:val="2C4F5BD0"/>
    <w:rsid w:val="2CED7E35"/>
    <w:rsid w:val="2D1FDC2B"/>
    <w:rsid w:val="2D244C6B"/>
    <w:rsid w:val="2D452F62"/>
    <w:rsid w:val="2D482084"/>
    <w:rsid w:val="2D519713"/>
    <w:rsid w:val="2D6EE454"/>
    <w:rsid w:val="2D8C38E8"/>
    <w:rsid w:val="2DA26DBA"/>
    <w:rsid w:val="2DC04A1C"/>
    <w:rsid w:val="2DDCE138"/>
    <w:rsid w:val="2DF9BDEF"/>
    <w:rsid w:val="2DFC4B20"/>
    <w:rsid w:val="2E531ED3"/>
    <w:rsid w:val="2E6A7D37"/>
    <w:rsid w:val="2EA78F06"/>
    <w:rsid w:val="2EBE5C8C"/>
    <w:rsid w:val="2EC45A61"/>
    <w:rsid w:val="2EDAA0D8"/>
    <w:rsid w:val="2EDD914C"/>
    <w:rsid w:val="2EE6D0D0"/>
    <w:rsid w:val="2EEAB60C"/>
    <w:rsid w:val="2F094BC3"/>
    <w:rsid w:val="2F0FB87F"/>
    <w:rsid w:val="2F318079"/>
    <w:rsid w:val="2F48278E"/>
    <w:rsid w:val="2F53752C"/>
    <w:rsid w:val="2F8A04FB"/>
    <w:rsid w:val="2F8E53E4"/>
    <w:rsid w:val="2FB5A2FE"/>
    <w:rsid w:val="2FBAF144"/>
    <w:rsid w:val="2FD69CD0"/>
    <w:rsid w:val="2FFCBCAF"/>
    <w:rsid w:val="30119A86"/>
    <w:rsid w:val="30229620"/>
    <w:rsid w:val="305454C3"/>
    <w:rsid w:val="3074068B"/>
    <w:rsid w:val="308E7672"/>
    <w:rsid w:val="30A70025"/>
    <w:rsid w:val="31002B6D"/>
    <w:rsid w:val="3102121A"/>
    <w:rsid w:val="31663D62"/>
    <w:rsid w:val="31762D31"/>
    <w:rsid w:val="3189A9C4"/>
    <w:rsid w:val="31914EF6"/>
    <w:rsid w:val="31969A7E"/>
    <w:rsid w:val="3198FC71"/>
    <w:rsid w:val="31A492B8"/>
    <w:rsid w:val="31C8FBA7"/>
    <w:rsid w:val="31D11D69"/>
    <w:rsid w:val="31D9F072"/>
    <w:rsid w:val="3230A205"/>
    <w:rsid w:val="324EAABE"/>
    <w:rsid w:val="3263B131"/>
    <w:rsid w:val="3269BD6C"/>
    <w:rsid w:val="32AC117D"/>
    <w:rsid w:val="32D15E82"/>
    <w:rsid w:val="33021967"/>
    <w:rsid w:val="33068E5D"/>
    <w:rsid w:val="331EDAC3"/>
    <w:rsid w:val="3320F787"/>
    <w:rsid w:val="33217A78"/>
    <w:rsid w:val="33809E85"/>
    <w:rsid w:val="3384710F"/>
    <w:rsid w:val="33A1B155"/>
    <w:rsid w:val="33F87CD2"/>
    <w:rsid w:val="33FE8949"/>
    <w:rsid w:val="34030B31"/>
    <w:rsid w:val="3418D51D"/>
    <w:rsid w:val="3432C6B7"/>
    <w:rsid w:val="3439B2DC"/>
    <w:rsid w:val="3440355D"/>
    <w:rsid w:val="3445A882"/>
    <w:rsid w:val="3453E4D6"/>
    <w:rsid w:val="345C7E89"/>
    <w:rsid w:val="346CCEC6"/>
    <w:rsid w:val="3481033C"/>
    <w:rsid w:val="34997E1B"/>
    <w:rsid w:val="34BD3E3C"/>
    <w:rsid w:val="350CDA85"/>
    <w:rsid w:val="352E702E"/>
    <w:rsid w:val="35472C25"/>
    <w:rsid w:val="3597DBF0"/>
    <w:rsid w:val="359D5C19"/>
    <w:rsid w:val="35A6A145"/>
    <w:rsid w:val="35AE04B4"/>
    <w:rsid w:val="35CE8539"/>
    <w:rsid w:val="363FBC56"/>
    <w:rsid w:val="36B67B11"/>
    <w:rsid w:val="36BA787F"/>
    <w:rsid w:val="36BEE3B2"/>
    <w:rsid w:val="36E1D7D2"/>
    <w:rsid w:val="36FF3CB9"/>
    <w:rsid w:val="371E6CEF"/>
    <w:rsid w:val="372E7FE9"/>
    <w:rsid w:val="373BE576"/>
    <w:rsid w:val="376251D6"/>
    <w:rsid w:val="377BC52D"/>
    <w:rsid w:val="377CFF0D"/>
    <w:rsid w:val="37977014"/>
    <w:rsid w:val="37A89619"/>
    <w:rsid w:val="37AB865B"/>
    <w:rsid w:val="37C2B0A8"/>
    <w:rsid w:val="37DA9EF2"/>
    <w:rsid w:val="37F4F2CD"/>
    <w:rsid w:val="3801CEC3"/>
    <w:rsid w:val="3840ADB9"/>
    <w:rsid w:val="387FD9D5"/>
    <w:rsid w:val="3881CBA0"/>
    <w:rsid w:val="38D519C0"/>
    <w:rsid w:val="391B7D4E"/>
    <w:rsid w:val="3977CB3C"/>
    <w:rsid w:val="397BFD4C"/>
    <w:rsid w:val="39B5522D"/>
    <w:rsid w:val="3A06DF28"/>
    <w:rsid w:val="3A09F73E"/>
    <w:rsid w:val="3A0F5DBB"/>
    <w:rsid w:val="3A18E8AB"/>
    <w:rsid w:val="3A1938E0"/>
    <w:rsid w:val="3A36B88A"/>
    <w:rsid w:val="3A414285"/>
    <w:rsid w:val="3A8E3967"/>
    <w:rsid w:val="3AA3C5FA"/>
    <w:rsid w:val="3AA770EA"/>
    <w:rsid w:val="3AB1DF23"/>
    <w:rsid w:val="3ABF6323"/>
    <w:rsid w:val="3AECA386"/>
    <w:rsid w:val="3B3166E6"/>
    <w:rsid w:val="3B3D13E8"/>
    <w:rsid w:val="3B719F2E"/>
    <w:rsid w:val="3BC195FC"/>
    <w:rsid w:val="3BCA3184"/>
    <w:rsid w:val="3BCA6F1C"/>
    <w:rsid w:val="3BFE504C"/>
    <w:rsid w:val="3C104184"/>
    <w:rsid w:val="3C39ED31"/>
    <w:rsid w:val="3C8448B2"/>
    <w:rsid w:val="3C910884"/>
    <w:rsid w:val="3C97E5FF"/>
    <w:rsid w:val="3CC88F03"/>
    <w:rsid w:val="3CC9B945"/>
    <w:rsid w:val="3CCFE1B7"/>
    <w:rsid w:val="3CE4EAC2"/>
    <w:rsid w:val="3D2CDCA9"/>
    <w:rsid w:val="3D32392E"/>
    <w:rsid w:val="3D53F719"/>
    <w:rsid w:val="3D5EAFD6"/>
    <w:rsid w:val="3D75F80A"/>
    <w:rsid w:val="3D7C3683"/>
    <w:rsid w:val="3D9B699E"/>
    <w:rsid w:val="3DC224C3"/>
    <w:rsid w:val="3DE4BAF1"/>
    <w:rsid w:val="3DEF6DF6"/>
    <w:rsid w:val="3DFDC2EB"/>
    <w:rsid w:val="3E093DDE"/>
    <w:rsid w:val="3E0E9A56"/>
    <w:rsid w:val="3E1E980C"/>
    <w:rsid w:val="3E2A918C"/>
    <w:rsid w:val="3E2D9075"/>
    <w:rsid w:val="3EE98B86"/>
    <w:rsid w:val="3EEB5F20"/>
    <w:rsid w:val="3EEDAB3A"/>
    <w:rsid w:val="3EEFC168"/>
    <w:rsid w:val="3EFF2975"/>
    <w:rsid w:val="3F092797"/>
    <w:rsid w:val="3F15E461"/>
    <w:rsid w:val="3F4FD6BB"/>
    <w:rsid w:val="3F5E8926"/>
    <w:rsid w:val="3FCE7B70"/>
    <w:rsid w:val="3FE74E4D"/>
    <w:rsid w:val="3FFDE66C"/>
    <w:rsid w:val="4032864F"/>
    <w:rsid w:val="406BF468"/>
    <w:rsid w:val="406DDA0B"/>
    <w:rsid w:val="40B890F7"/>
    <w:rsid w:val="40CEE27B"/>
    <w:rsid w:val="40ECB2BF"/>
    <w:rsid w:val="40F5985A"/>
    <w:rsid w:val="410C92BA"/>
    <w:rsid w:val="410F9B47"/>
    <w:rsid w:val="411D6897"/>
    <w:rsid w:val="412FA71E"/>
    <w:rsid w:val="4140D629"/>
    <w:rsid w:val="415BC0EF"/>
    <w:rsid w:val="416E607F"/>
    <w:rsid w:val="41A736F1"/>
    <w:rsid w:val="41B23AA4"/>
    <w:rsid w:val="41E0AB86"/>
    <w:rsid w:val="42105DBD"/>
    <w:rsid w:val="4215C6F7"/>
    <w:rsid w:val="42446996"/>
    <w:rsid w:val="4264AB8A"/>
    <w:rsid w:val="42714640"/>
    <w:rsid w:val="42734267"/>
    <w:rsid w:val="428146FC"/>
    <w:rsid w:val="429952A8"/>
    <w:rsid w:val="42BADF01"/>
    <w:rsid w:val="42C20E8E"/>
    <w:rsid w:val="42E5E7C1"/>
    <w:rsid w:val="42FF59AF"/>
    <w:rsid w:val="4320277F"/>
    <w:rsid w:val="4322542C"/>
    <w:rsid w:val="433AC532"/>
    <w:rsid w:val="43741142"/>
    <w:rsid w:val="43823220"/>
    <w:rsid w:val="438431E1"/>
    <w:rsid w:val="4392CEB8"/>
    <w:rsid w:val="439A1B0B"/>
    <w:rsid w:val="43D33FFF"/>
    <w:rsid w:val="4410A046"/>
    <w:rsid w:val="4493F21D"/>
    <w:rsid w:val="44A629D1"/>
    <w:rsid w:val="44A98C7D"/>
    <w:rsid w:val="44D6AAAE"/>
    <w:rsid w:val="44DCE7B7"/>
    <w:rsid w:val="44E52A7D"/>
    <w:rsid w:val="45028540"/>
    <w:rsid w:val="453884E5"/>
    <w:rsid w:val="4565CC62"/>
    <w:rsid w:val="45789F12"/>
    <w:rsid w:val="45791813"/>
    <w:rsid w:val="4587A815"/>
    <w:rsid w:val="45B2F765"/>
    <w:rsid w:val="45CD6050"/>
    <w:rsid w:val="461ABFDC"/>
    <w:rsid w:val="4622B843"/>
    <w:rsid w:val="469F7302"/>
    <w:rsid w:val="46C95403"/>
    <w:rsid w:val="46D48CD0"/>
    <w:rsid w:val="47314B85"/>
    <w:rsid w:val="475023A7"/>
    <w:rsid w:val="4753DFBA"/>
    <w:rsid w:val="4792F938"/>
    <w:rsid w:val="47A40EF4"/>
    <w:rsid w:val="47A8ABA3"/>
    <w:rsid w:val="47AD0E44"/>
    <w:rsid w:val="47B66F90"/>
    <w:rsid w:val="47C8442B"/>
    <w:rsid w:val="47D04D6D"/>
    <w:rsid w:val="47D0F730"/>
    <w:rsid w:val="47F6A118"/>
    <w:rsid w:val="4801B8CD"/>
    <w:rsid w:val="4808BB61"/>
    <w:rsid w:val="48167C2F"/>
    <w:rsid w:val="484AE745"/>
    <w:rsid w:val="4872BF44"/>
    <w:rsid w:val="4882CCD7"/>
    <w:rsid w:val="4889194C"/>
    <w:rsid w:val="489F2628"/>
    <w:rsid w:val="48B3C46F"/>
    <w:rsid w:val="48C6CF46"/>
    <w:rsid w:val="48D24362"/>
    <w:rsid w:val="48D880CA"/>
    <w:rsid w:val="48E09473"/>
    <w:rsid w:val="48F17FD2"/>
    <w:rsid w:val="48FE30CB"/>
    <w:rsid w:val="494B9A34"/>
    <w:rsid w:val="496BFB3F"/>
    <w:rsid w:val="497244B8"/>
    <w:rsid w:val="49784515"/>
    <w:rsid w:val="4989BE0F"/>
    <w:rsid w:val="49BC6D27"/>
    <w:rsid w:val="49C22ADF"/>
    <w:rsid w:val="49DD1C85"/>
    <w:rsid w:val="49DDD702"/>
    <w:rsid w:val="49E01F5D"/>
    <w:rsid w:val="4A0B35CF"/>
    <w:rsid w:val="4A2760B6"/>
    <w:rsid w:val="4A282CFD"/>
    <w:rsid w:val="4A3404E6"/>
    <w:rsid w:val="4A4F14B9"/>
    <w:rsid w:val="4A5475EF"/>
    <w:rsid w:val="4A5DC7F3"/>
    <w:rsid w:val="4A653050"/>
    <w:rsid w:val="4A792125"/>
    <w:rsid w:val="4A7C167C"/>
    <w:rsid w:val="4A7C5FC3"/>
    <w:rsid w:val="4AA4B161"/>
    <w:rsid w:val="4B2AE360"/>
    <w:rsid w:val="4B2E5C66"/>
    <w:rsid w:val="4B30A2E2"/>
    <w:rsid w:val="4B424014"/>
    <w:rsid w:val="4BA7B63A"/>
    <w:rsid w:val="4BA90430"/>
    <w:rsid w:val="4BE50018"/>
    <w:rsid w:val="4BEC6957"/>
    <w:rsid w:val="4BF5ADF3"/>
    <w:rsid w:val="4BF84CA0"/>
    <w:rsid w:val="4C08375D"/>
    <w:rsid w:val="4C3A4891"/>
    <w:rsid w:val="4C54A79D"/>
    <w:rsid w:val="4CAC730D"/>
    <w:rsid w:val="4CF82B53"/>
    <w:rsid w:val="4D57384B"/>
    <w:rsid w:val="4D604C66"/>
    <w:rsid w:val="4D77124A"/>
    <w:rsid w:val="4D8BB601"/>
    <w:rsid w:val="4D95D814"/>
    <w:rsid w:val="4DB34816"/>
    <w:rsid w:val="4DF1E9F1"/>
    <w:rsid w:val="4E21E8F1"/>
    <w:rsid w:val="4E47A5AE"/>
    <w:rsid w:val="4E6467DE"/>
    <w:rsid w:val="4E6E1B12"/>
    <w:rsid w:val="4E85D926"/>
    <w:rsid w:val="4E980078"/>
    <w:rsid w:val="4EB132AA"/>
    <w:rsid w:val="4EB365CF"/>
    <w:rsid w:val="4EB4792C"/>
    <w:rsid w:val="4EC7AFF9"/>
    <w:rsid w:val="4EEAFFE5"/>
    <w:rsid w:val="4F6C3DA6"/>
    <w:rsid w:val="4F7AE158"/>
    <w:rsid w:val="4FC503B0"/>
    <w:rsid w:val="4FE5DB23"/>
    <w:rsid w:val="5012D663"/>
    <w:rsid w:val="5013385A"/>
    <w:rsid w:val="50341BF8"/>
    <w:rsid w:val="504DC9CE"/>
    <w:rsid w:val="506D23E3"/>
    <w:rsid w:val="509793A8"/>
    <w:rsid w:val="50A54D04"/>
    <w:rsid w:val="50F2DA7F"/>
    <w:rsid w:val="512F1F9B"/>
    <w:rsid w:val="51399839"/>
    <w:rsid w:val="513AD4FD"/>
    <w:rsid w:val="51442997"/>
    <w:rsid w:val="5165A0CE"/>
    <w:rsid w:val="51682FB5"/>
    <w:rsid w:val="517CD47F"/>
    <w:rsid w:val="5180E64E"/>
    <w:rsid w:val="51BBF906"/>
    <w:rsid w:val="51C1E401"/>
    <w:rsid w:val="51FE628C"/>
    <w:rsid w:val="52318EAC"/>
    <w:rsid w:val="5242D175"/>
    <w:rsid w:val="5245AF77"/>
    <w:rsid w:val="52498382"/>
    <w:rsid w:val="524EFB06"/>
    <w:rsid w:val="529A04AE"/>
    <w:rsid w:val="52A0C7D5"/>
    <w:rsid w:val="52A77A54"/>
    <w:rsid w:val="52DBACF3"/>
    <w:rsid w:val="52EBC9AD"/>
    <w:rsid w:val="52F4C616"/>
    <w:rsid w:val="52F4D3AD"/>
    <w:rsid w:val="5341B8BE"/>
    <w:rsid w:val="534922FD"/>
    <w:rsid w:val="5370D4F4"/>
    <w:rsid w:val="538A3974"/>
    <w:rsid w:val="539D2FE5"/>
    <w:rsid w:val="53A29CBE"/>
    <w:rsid w:val="53A8FDA9"/>
    <w:rsid w:val="53D2C9D9"/>
    <w:rsid w:val="53DB2B92"/>
    <w:rsid w:val="54206060"/>
    <w:rsid w:val="542919B0"/>
    <w:rsid w:val="5458ED7E"/>
    <w:rsid w:val="545B54E5"/>
    <w:rsid w:val="5484CFD7"/>
    <w:rsid w:val="5487C386"/>
    <w:rsid w:val="548ECD49"/>
    <w:rsid w:val="54B94271"/>
    <w:rsid w:val="54D7D4DE"/>
    <w:rsid w:val="54E878D4"/>
    <w:rsid w:val="54F3A4F2"/>
    <w:rsid w:val="5525DA0D"/>
    <w:rsid w:val="5527CD77"/>
    <w:rsid w:val="555D92B1"/>
    <w:rsid w:val="556D1611"/>
    <w:rsid w:val="55768909"/>
    <w:rsid w:val="558210D3"/>
    <w:rsid w:val="55871617"/>
    <w:rsid w:val="5597E75A"/>
    <w:rsid w:val="55C59FA8"/>
    <w:rsid w:val="55CC3367"/>
    <w:rsid w:val="55D44046"/>
    <w:rsid w:val="55E8B7B1"/>
    <w:rsid w:val="55F77DE4"/>
    <w:rsid w:val="5614766E"/>
    <w:rsid w:val="563457F9"/>
    <w:rsid w:val="565979C8"/>
    <w:rsid w:val="56717259"/>
    <w:rsid w:val="567504B0"/>
    <w:rsid w:val="56767ABC"/>
    <w:rsid w:val="56981C13"/>
    <w:rsid w:val="56B4E0EF"/>
    <w:rsid w:val="56E2459A"/>
    <w:rsid w:val="57023D5C"/>
    <w:rsid w:val="570340F1"/>
    <w:rsid w:val="57122550"/>
    <w:rsid w:val="576454B9"/>
    <w:rsid w:val="57B3725F"/>
    <w:rsid w:val="57DC968B"/>
    <w:rsid w:val="57E4DE45"/>
    <w:rsid w:val="57F055FC"/>
    <w:rsid w:val="58224274"/>
    <w:rsid w:val="582BBFE3"/>
    <w:rsid w:val="5839CC58"/>
    <w:rsid w:val="5878A73E"/>
    <w:rsid w:val="58860507"/>
    <w:rsid w:val="58884FB4"/>
    <w:rsid w:val="58A2C317"/>
    <w:rsid w:val="58BB9C74"/>
    <w:rsid w:val="58C65237"/>
    <w:rsid w:val="58ECA844"/>
    <w:rsid w:val="59301068"/>
    <w:rsid w:val="59559D2A"/>
    <w:rsid w:val="595FA41F"/>
    <w:rsid w:val="59908FA8"/>
    <w:rsid w:val="5998943F"/>
    <w:rsid w:val="59D67F92"/>
    <w:rsid w:val="59D9CF2E"/>
    <w:rsid w:val="5A1C7B8A"/>
    <w:rsid w:val="5A1E24D5"/>
    <w:rsid w:val="5A207B6B"/>
    <w:rsid w:val="5A20C9C0"/>
    <w:rsid w:val="5A34B8CA"/>
    <w:rsid w:val="5A3D2D75"/>
    <w:rsid w:val="5A7D2E91"/>
    <w:rsid w:val="5A9BE112"/>
    <w:rsid w:val="5ACB4393"/>
    <w:rsid w:val="5AEA42B3"/>
    <w:rsid w:val="5AEECB89"/>
    <w:rsid w:val="5B48585C"/>
    <w:rsid w:val="5B4BE454"/>
    <w:rsid w:val="5B501CAF"/>
    <w:rsid w:val="5B52CD73"/>
    <w:rsid w:val="5B5D9435"/>
    <w:rsid w:val="5B80826D"/>
    <w:rsid w:val="5B8DE047"/>
    <w:rsid w:val="5BAF859B"/>
    <w:rsid w:val="5C05208A"/>
    <w:rsid w:val="5C26B36C"/>
    <w:rsid w:val="5C2BB0BF"/>
    <w:rsid w:val="5C9C0E25"/>
    <w:rsid w:val="5CC63AEB"/>
    <w:rsid w:val="5D01D76D"/>
    <w:rsid w:val="5D17C395"/>
    <w:rsid w:val="5D43E2EB"/>
    <w:rsid w:val="5D524479"/>
    <w:rsid w:val="5D53B8A9"/>
    <w:rsid w:val="5D57E7F7"/>
    <w:rsid w:val="5D59A979"/>
    <w:rsid w:val="5D7B3127"/>
    <w:rsid w:val="5DA21B01"/>
    <w:rsid w:val="5DA5CBB8"/>
    <w:rsid w:val="5DCE86EF"/>
    <w:rsid w:val="5DE4A2FE"/>
    <w:rsid w:val="5DFD5C68"/>
    <w:rsid w:val="5E0236AD"/>
    <w:rsid w:val="5E48AE86"/>
    <w:rsid w:val="5E4949B7"/>
    <w:rsid w:val="5E8BE49B"/>
    <w:rsid w:val="5E94B240"/>
    <w:rsid w:val="5E9E8990"/>
    <w:rsid w:val="5EAC2A02"/>
    <w:rsid w:val="5EBA4122"/>
    <w:rsid w:val="5EC221E8"/>
    <w:rsid w:val="5ECB5361"/>
    <w:rsid w:val="5F09597B"/>
    <w:rsid w:val="5F3B2902"/>
    <w:rsid w:val="5FA70AA1"/>
    <w:rsid w:val="5FAC1030"/>
    <w:rsid w:val="5FAD0D41"/>
    <w:rsid w:val="5FAED559"/>
    <w:rsid w:val="5FB09E09"/>
    <w:rsid w:val="5FBE7FB1"/>
    <w:rsid w:val="5FC24466"/>
    <w:rsid w:val="5FC7B3CF"/>
    <w:rsid w:val="5FE84753"/>
    <w:rsid w:val="600032C4"/>
    <w:rsid w:val="60A3932F"/>
    <w:rsid w:val="60B9F7C5"/>
    <w:rsid w:val="60CB92C8"/>
    <w:rsid w:val="60FCA009"/>
    <w:rsid w:val="612372AE"/>
    <w:rsid w:val="61328EB7"/>
    <w:rsid w:val="614C8F2F"/>
    <w:rsid w:val="61507F22"/>
    <w:rsid w:val="61653402"/>
    <w:rsid w:val="6189EDEF"/>
    <w:rsid w:val="61BBDB7B"/>
    <w:rsid w:val="61D0D239"/>
    <w:rsid w:val="61DA13A6"/>
    <w:rsid w:val="61DC432F"/>
    <w:rsid w:val="61EBDB5F"/>
    <w:rsid w:val="620169C7"/>
    <w:rsid w:val="621454F5"/>
    <w:rsid w:val="621A41F2"/>
    <w:rsid w:val="62515099"/>
    <w:rsid w:val="625F8733"/>
    <w:rsid w:val="625F8939"/>
    <w:rsid w:val="62640F43"/>
    <w:rsid w:val="6278E484"/>
    <w:rsid w:val="627996CE"/>
    <w:rsid w:val="6279972D"/>
    <w:rsid w:val="62853EC6"/>
    <w:rsid w:val="62A0611B"/>
    <w:rsid w:val="62BE0C66"/>
    <w:rsid w:val="62D33E80"/>
    <w:rsid w:val="62D693C8"/>
    <w:rsid w:val="62EA2934"/>
    <w:rsid w:val="6304311E"/>
    <w:rsid w:val="6305206D"/>
    <w:rsid w:val="630A2954"/>
    <w:rsid w:val="6360846B"/>
    <w:rsid w:val="6363E70C"/>
    <w:rsid w:val="637B2D25"/>
    <w:rsid w:val="63849410"/>
    <w:rsid w:val="639F1959"/>
    <w:rsid w:val="63B3B883"/>
    <w:rsid w:val="63C2D5F5"/>
    <w:rsid w:val="63E0435C"/>
    <w:rsid w:val="63F4AF47"/>
    <w:rsid w:val="641C1CCE"/>
    <w:rsid w:val="64264601"/>
    <w:rsid w:val="642A495C"/>
    <w:rsid w:val="642BFEAD"/>
    <w:rsid w:val="6476B706"/>
    <w:rsid w:val="64C6A4CF"/>
    <w:rsid w:val="65059E15"/>
    <w:rsid w:val="6505F667"/>
    <w:rsid w:val="6511FB75"/>
    <w:rsid w:val="651894E3"/>
    <w:rsid w:val="651944CC"/>
    <w:rsid w:val="65230407"/>
    <w:rsid w:val="65355ED3"/>
    <w:rsid w:val="65495746"/>
    <w:rsid w:val="654FBDE7"/>
    <w:rsid w:val="6575A7EB"/>
    <w:rsid w:val="65971253"/>
    <w:rsid w:val="65C0BB90"/>
    <w:rsid w:val="65C635EC"/>
    <w:rsid w:val="65D35CA1"/>
    <w:rsid w:val="65D9D9A1"/>
    <w:rsid w:val="65F0664B"/>
    <w:rsid w:val="65FB959D"/>
    <w:rsid w:val="661AEE28"/>
    <w:rsid w:val="6673186F"/>
    <w:rsid w:val="66847004"/>
    <w:rsid w:val="668995E8"/>
    <w:rsid w:val="669C1752"/>
    <w:rsid w:val="66A2815C"/>
    <w:rsid w:val="66ABCDF6"/>
    <w:rsid w:val="66AD9912"/>
    <w:rsid w:val="66C655F8"/>
    <w:rsid w:val="66E6F73B"/>
    <w:rsid w:val="66F6E24A"/>
    <w:rsid w:val="66FA5CDE"/>
    <w:rsid w:val="66FB6592"/>
    <w:rsid w:val="671366C1"/>
    <w:rsid w:val="6719C6D5"/>
    <w:rsid w:val="67271A8F"/>
    <w:rsid w:val="672E2DEA"/>
    <w:rsid w:val="675D9315"/>
    <w:rsid w:val="676A4B50"/>
    <w:rsid w:val="67A55199"/>
    <w:rsid w:val="67C64DC6"/>
    <w:rsid w:val="67E97DB5"/>
    <w:rsid w:val="67F3CFA9"/>
    <w:rsid w:val="68030B60"/>
    <w:rsid w:val="68096884"/>
    <w:rsid w:val="68248855"/>
    <w:rsid w:val="6839F4FA"/>
    <w:rsid w:val="6849809F"/>
    <w:rsid w:val="685B05C5"/>
    <w:rsid w:val="685F393B"/>
    <w:rsid w:val="68622659"/>
    <w:rsid w:val="6863A2BE"/>
    <w:rsid w:val="686CC9CF"/>
    <w:rsid w:val="687DB54E"/>
    <w:rsid w:val="68902E93"/>
    <w:rsid w:val="68A77F6E"/>
    <w:rsid w:val="68DABBEB"/>
    <w:rsid w:val="68EB2141"/>
    <w:rsid w:val="6904EBE2"/>
    <w:rsid w:val="690537FE"/>
    <w:rsid w:val="693E2B00"/>
    <w:rsid w:val="6941BB5F"/>
    <w:rsid w:val="6970387C"/>
    <w:rsid w:val="69A6091B"/>
    <w:rsid w:val="69B5761E"/>
    <w:rsid w:val="69CA8FDC"/>
    <w:rsid w:val="69E1C9E0"/>
    <w:rsid w:val="69F8DFD8"/>
    <w:rsid w:val="6A075FD3"/>
    <w:rsid w:val="6A29A52D"/>
    <w:rsid w:val="6A5439E7"/>
    <w:rsid w:val="6A550A6F"/>
    <w:rsid w:val="6A7259CD"/>
    <w:rsid w:val="6A94511B"/>
    <w:rsid w:val="6ACC3541"/>
    <w:rsid w:val="6ACE21FF"/>
    <w:rsid w:val="6B1EF1A4"/>
    <w:rsid w:val="6B2A684A"/>
    <w:rsid w:val="6B327A05"/>
    <w:rsid w:val="6B32C9BD"/>
    <w:rsid w:val="6B3CF429"/>
    <w:rsid w:val="6B448410"/>
    <w:rsid w:val="6B5190D1"/>
    <w:rsid w:val="6B7E8F14"/>
    <w:rsid w:val="6B9B3718"/>
    <w:rsid w:val="6BAA6A69"/>
    <w:rsid w:val="6BF97A96"/>
    <w:rsid w:val="6C340F1A"/>
    <w:rsid w:val="6C3B7527"/>
    <w:rsid w:val="6C3D346D"/>
    <w:rsid w:val="6C7B55B1"/>
    <w:rsid w:val="6C842556"/>
    <w:rsid w:val="6C9909E0"/>
    <w:rsid w:val="6CBFD3FA"/>
    <w:rsid w:val="6CC4617D"/>
    <w:rsid w:val="6CDFBB5D"/>
    <w:rsid w:val="6CEDF06F"/>
    <w:rsid w:val="6D28585D"/>
    <w:rsid w:val="6D5A8DE8"/>
    <w:rsid w:val="6D6CE9BE"/>
    <w:rsid w:val="6D7554E2"/>
    <w:rsid w:val="6DC15273"/>
    <w:rsid w:val="6DF961A2"/>
    <w:rsid w:val="6E001F49"/>
    <w:rsid w:val="6E55EDFA"/>
    <w:rsid w:val="6EB4C814"/>
    <w:rsid w:val="6EC6B6F9"/>
    <w:rsid w:val="6ECBDE08"/>
    <w:rsid w:val="6ED762AA"/>
    <w:rsid w:val="6EE65AF5"/>
    <w:rsid w:val="6F28A015"/>
    <w:rsid w:val="6F4C99AB"/>
    <w:rsid w:val="6F561331"/>
    <w:rsid w:val="6F695AA7"/>
    <w:rsid w:val="6F868B7F"/>
    <w:rsid w:val="6F892718"/>
    <w:rsid w:val="6FA69522"/>
    <w:rsid w:val="6FBF13C6"/>
    <w:rsid w:val="6FDD7AE9"/>
    <w:rsid w:val="7021C8ED"/>
    <w:rsid w:val="70425B0D"/>
    <w:rsid w:val="704C15F4"/>
    <w:rsid w:val="70520ECB"/>
    <w:rsid w:val="705A2A77"/>
    <w:rsid w:val="70B71A82"/>
    <w:rsid w:val="70D1796D"/>
    <w:rsid w:val="70E63EAD"/>
    <w:rsid w:val="7103FA38"/>
    <w:rsid w:val="7113D726"/>
    <w:rsid w:val="717278BB"/>
    <w:rsid w:val="718E4D75"/>
    <w:rsid w:val="71B37EF7"/>
    <w:rsid w:val="71B43ABC"/>
    <w:rsid w:val="71B5CB2A"/>
    <w:rsid w:val="71C06026"/>
    <w:rsid w:val="71CF0365"/>
    <w:rsid w:val="71DB5158"/>
    <w:rsid w:val="71E5F160"/>
    <w:rsid w:val="72122A81"/>
    <w:rsid w:val="7240FAB1"/>
    <w:rsid w:val="7242ADA6"/>
    <w:rsid w:val="72934391"/>
    <w:rsid w:val="72A99F09"/>
    <w:rsid w:val="72F00985"/>
    <w:rsid w:val="730901F8"/>
    <w:rsid w:val="732226FF"/>
    <w:rsid w:val="7327E2EF"/>
    <w:rsid w:val="732BE0C2"/>
    <w:rsid w:val="73329E27"/>
    <w:rsid w:val="733F406F"/>
    <w:rsid w:val="735A7E8E"/>
    <w:rsid w:val="736B1581"/>
    <w:rsid w:val="7374706D"/>
    <w:rsid w:val="739935EC"/>
    <w:rsid w:val="73A2469E"/>
    <w:rsid w:val="73A6EA92"/>
    <w:rsid w:val="73BA1BC6"/>
    <w:rsid w:val="73C12F59"/>
    <w:rsid w:val="73C36A71"/>
    <w:rsid w:val="73C70579"/>
    <w:rsid w:val="73CA3833"/>
    <w:rsid w:val="73CF02B7"/>
    <w:rsid w:val="73DBE37A"/>
    <w:rsid w:val="73DDC90E"/>
    <w:rsid w:val="73F7F346"/>
    <w:rsid w:val="74947389"/>
    <w:rsid w:val="74962DEF"/>
    <w:rsid w:val="74A0147C"/>
    <w:rsid w:val="74AB6F3C"/>
    <w:rsid w:val="74C3EAE6"/>
    <w:rsid w:val="7501BAB7"/>
    <w:rsid w:val="75360424"/>
    <w:rsid w:val="754EA445"/>
    <w:rsid w:val="758F2072"/>
    <w:rsid w:val="75C4E50D"/>
    <w:rsid w:val="75C8CC96"/>
    <w:rsid w:val="75D2958E"/>
    <w:rsid w:val="75D68A71"/>
    <w:rsid w:val="75E30242"/>
    <w:rsid w:val="75F98871"/>
    <w:rsid w:val="760FD122"/>
    <w:rsid w:val="76113001"/>
    <w:rsid w:val="764918E1"/>
    <w:rsid w:val="76583F75"/>
    <w:rsid w:val="76AF9E3A"/>
    <w:rsid w:val="76CA78F6"/>
    <w:rsid w:val="76F8ABAC"/>
    <w:rsid w:val="77381118"/>
    <w:rsid w:val="7752A9DD"/>
    <w:rsid w:val="778AD85A"/>
    <w:rsid w:val="77A4753A"/>
    <w:rsid w:val="77A96038"/>
    <w:rsid w:val="77CEF650"/>
    <w:rsid w:val="77E0A548"/>
    <w:rsid w:val="783BC136"/>
    <w:rsid w:val="785714CA"/>
    <w:rsid w:val="7860D35B"/>
    <w:rsid w:val="78AE41CC"/>
    <w:rsid w:val="78D1CFF0"/>
    <w:rsid w:val="78F34F9B"/>
    <w:rsid w:val="792012D6"/>
    <w:rsid w:val="7948A613"/>
    <w:rsid w:val="796E6FC6"/>
    <w:rsid w:val="7A2EC9D1"/>
    <w:rsid w:val="7A37006C"/>
    <w:rsid w:val="7A636163"/>
    <w:rsid w:val="7AB06844"/>
    <w:rsid w:val="7AC5198E"/>
    <w:rsid w:val="7B0472D9"/>
    <w:rsid w:val="7B100430"/>
    <w:rsid w:val="7B2FF6D1"/>
    <w:rsid w:val="7B30FDE4"/>
    <w:rsid w:val="7B4EA74E"/>
    <w:rsid w:val="7B58AD42"/>
    <w:rsid w:val="7B9BC55E"/>
    <w:rsid w:val="7BA0790F"/>
    <w:rsid w:val="7BC32508"/>
    <w:rsid w:val="7CA57DDD"/>
    <w:rsid w:val="7CAC9679"/>
    <w:rsid w:val="7CD28FC7"/>
    <w:rsid w:val="7CE4D52F"/>
    <w:rsid w:val="7D0CAF91"/>
    <w:rsid w:val="7D20BB1A"/>
    <w:rsid w:val="7D333538"/>
    <w:rsid w:val="7D5C1384"/>
    <w:rsid w:val="7D602691"/>
    <w:rsid w:val="7D8A7800"/>
    <w:rsid w:val="7D93A20E"/>
    <w:rsid w:val="7D9B1668"/>
    <w:rsid w:val="7DB7B46A"/>
    <w:rsid w:val="7DB84E34"/>
    <w:rsid w:val="7DC73987"/>
    <w:rsid w:val="7DD96646"/>
    <w:rsid w:val="7DF3B313"/>
    <w:rsid w:val="7E34D0B7"/>
    <w:rsid w:val="7E509E85"/>
    <w:rsid w:val="7E64DDE6"/>
    <w:rsid w:val="7E755FF8"/>
    <w:rsid w:val="7E777677"/>
    <w:rsid w:val="7E8094E4"/>
    <w:rsid w:val="7E9EB120"/>
    <w:rsid w:val="7ECEEE11"/>
    <w:rsid w:val="7EE6BD93"/>
    <w:rsid w:val="7EF756EC"/>
    <w:rsid w:val="7F148D98"/>
    <w:rsid w:val="7F1A26F0"/>
    <w:rsid w:val="7F1FFCF8"/>
    <w:rsid w:val="7F322266"/>
    <w:rsid w:val="7F411327"/>
    <w:rsid w:val="7F41D4BC"/>
    <w:rsid w:val="7F47782D"/>
    <w:rsid w:val="7F6EF467"/>
    <w:rsid w:val="7F8BB5DB"/>
    <w:rsid w:val="7FB22C43"/>
    <w:rsid w:val="7FCBB2B2"/>
    <w:rsid w:val="7FCFD3FE"/>
    <w:rsid w:val="7FE167F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44781"/>
  <w15:chartTrackingRefBased/>
  <w15:docId w15:val="{52579736-CA98-4C6E-B165-51FA690F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fr-F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21AC"/>
    <w:pPr>
      <w:spacing w:after="0" w:line="240" w:lineRule="auto"/>
    </w:pPr>
  </w:style>
  <w:style w:type="paragraph" w:styleId="Heading1">
    <w:name w:val="heading 1"/>
    <w:aliases w:val="PB Heading 1"/>
    <w:basedOn w:val="Normal"/>
    <w:next w:val="PBParagraph"/>
    <w:link w:val="Heading1Char"/>
    <w:uiPriority w:val="1"/>
    <w:qFormat/>
    <w:rsid w:val="00242A40"/>
    <w:pPr>
      <w:keepNext/>
      <w:keepLines/>
      <w:numPr>
        <w:numId w:val="10"/>
      </w:numPr>
      <w:spacing w:before="240" w:after="120" w:line="276" w:lineRule="auto"/>
      <w:jc w:val="both"/>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uiPriority w:val="2"/>
    <w:qFormat/>
    <w:rsid w:val="00242A40"/>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EE0F97"/>
    <w:pPr>
      <w:numPr>
        <w:ilvl w:val="2"/>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F80FDE"/>
    <w:pPr>
      <w:numPr>
        <w:ilvl w:val="0"/>
        <w:numId w:val="0"/>
      </w:numPr>
      <w:ind w:left="567"/>
      <w:outlineLvl w:val="3"/>
    </w:pPr>
    <w:rPr>
      <w:rFonts w:ascii="Raleway" w:hAnsi="Raleway"/>
      <w:b/>
      <w:bCs w:val="0"/>
      <w:i/>
      <w:iCs/>
      <w:color w:val="0094D2" w:themeColor="accent1"/>
      <w:sz w:val="19"/>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Paragraph">
    <w:name w:val="PB Paragraph"/>
    <w:basedOn w:val="ListParagraph"/>
    <w:link w:val="PBParagraphChar"/>
    <w:qFormat/>
    <w:rsid w:val="0007371B"/>
    <w:pPr>
      <w:numPr>
        <w:numId w:val="8"/>
      </w:numPr>
      <w:spacing w:after="120"/>
      <w:contextualSpacing w:val="0"/>
    </w:pPr>
    <w:rPr>
      <w:rFonts w:ascii="Raleway" w:hAnsi="Raleway"/>
      <w:sz w:val="19"/>
      <w:szCs w:val="19"/>
    </w:rPr>
  </w:style>
  <w:style w:type="character" w:customStyle="1" w:styleId="PBParagraphChar">
    <w:name w:val="PB Paragraph Char"/>
    <w:basedOn w:val="ListParagraphChar"/>
    <w:link w:val="PBParagraph"/>
    <w:rsid w:val="00242A40"/>
    <w:rPr>
      <w:rFonts w:ascii="Raleway" w:hAnsi="Raleway"/>
      <w:sz w:val="19"/>
      <w:szCs w:val="19"/>
    </w:rPr>
  </w:style>
  <w:style w:type="paragraph" w:styleId="ListParagraph">
    <w:name w:val="List Paragraph"/>
    <w:aliases w:val="PB Numbered List"/>
    <w:basedOn w:val="Normal"/>
    <w:link w:val="ListParagraphChar"/>
    <w:uiPriority w:val="6"/>
    <w:qFormat/>
    <w:rsid w:val="00242A40"/>
    <w:pPr>
      <w:numPr>
        <w:numId w:val="7"/>
      </w:numPr>
      <w:spacing w:after="160" w:line="276" w:lineRule="auto"/>
      <w:contextualSpacing/>
      <w:jc w:val="both"/>
    </w:pPr>
  </w:style>
  <w:style w:type="paragraph" w:customStyle="1" w:styleId="PBBulletList">
    <w:name w:val="PB Bullet List"/>
    <w:basedOn w:val="ListParagraph"/>
    <w:link w:val="PBBulletListChar"/>
    <w:uiPriority w:val="6"/>
    <w:qFormat/>
    <w:rsid w:val="001513CB"/>
    <w:pPr>
      <w:numPr>
        <w:numId w:val="9"/>
      </w:numPr>
    </w:pPr>
    <w:rPr>
      <w:rFonts w:ascii="Raleway" w:hAnsi="Raleway"/>
      <w:sz w:val="19"/>
      <w:szCs w:val="19"/>
    </w:rPr>
  </w:style>
  <w:style w:type="character" w:customStyle="1" w:styleId="PBBulletListChar">
    <w:name w:val="PB Bullet List Char"/>
    <w:basedOn w:val="ListParagraphChar"/>
    <w:link w:val="PBBulletList"/>
    <w:uiPriority w:val="6"/>
    <w:qFormat/>
    <w:rsid w:val="00242A40"/>
    <w:rPr>
      <w:rFonts w:ascii="Raleway" w:hAnsi="Raleway"/>
      <w:sz w:val="19"/>
      <w:szCs w:val="19"/>
    </w:rPr>
  </w:style>
  <w:style w:type="character" w:customStyle="1" w:styleId="Heading1Char">
    <w:name w:val="Heading 1 Char"/>
    <w:aliases w:val="PB Heading 1 Char"/>
    <w:basedOn w:val="DefaultParagraphFont"/>
    <w:link w:val="Heading1"/>
    <w:uiPriority w:val="1"/>
    <w:rsid w:val="00242A40"/>
    <w:rPr>
      <w:rFonts w:asciiTheme="majorHAnsi" w:eastAsiaTheme="majorEastAsia" w:hAnsiTheme="majorHAnsi" w:cstheme="majorBidi"/>
      <w:bCs/>
      <w:color w:val="03295A" w:themeColor="accent4"/>
      <w:sz w:val="28"/>
      <w:szCs w:val="28"/>
    </w:rPr>
  </w:style>
  <w:style w:type="character" w:customStyle="1" w:styleId="Heading2Char">
    <w:name w:val="Heading 2 Char"/>
    <w:aliases w:val="PB Heading 2 Char"/>
    <w:basedOn w:val="DefaultParagraphFont"/>
    <w:link w:val="Heading2"/>
    <w:uiPriority w:val="2"/>
    <w:rsid w:val="004047D5"/>
    <w:rPr>
      <w:rFonts w:asciiTheme="majorHAnsi" w:eastAsiaTheme="majorEastAsia" w:hAnsiTheme="majorHAnsi" w:cstheme="majorBidi"/>
      <w:bCs/>
      <w:color w:val="024987" w:themeColor="accent3"/>
      <w:sz w:val="24"/>
      <w:szCs w:val="24"/>
    </w:rPr>
  </w:style>
  <w:style w:type="character" w:customStyle="1" w:styleId="Heading3Char">
    <w:name w:val="Heading 3 Char"/>
    <w:aliases w:val="PB Heading 3 Char"/>
    <w:basedOn w:val="DefaultParagraphFont"/>
    <w:link w:val="Heading3"/>
    <w:uiPriority w:val="3"/>
    <w:rsid w:val="00D25F24"/>
    <w:rPr>
      <w:rFonts w:asciiTheme="majorHAnsi" w:eastAsiaTheme="majorEastAsia" w:hAnsiTheme="majorHAnsi" w:cstheme="majorBidi"/>
      <w:bCs/>
      <w:color w:val="0069B4" w:themeColor="accent2"/>
    </w:rPr>
  </w:style>
  <w:style w:type="character" w:customStyle="1" w:styleId="Heading4Char">
    <w:name w:val="Heading 4 Char"/>
    <w:aliases w:val="PB Heading 4 Char"/>
    <w:basedOn w:val="DefaultParagraphFont"/>
    <w:link w:val="Heading4"/>
    <w:uiPriority w:val="4"/>
    <w:rsid w:val="00242A40"/>
    <w:rPr>
      <w:rFonts w:ascii="Raleway" w:eastAsiaTheme="majorEastAsia" w:hAnsi="Raleway" w:cstheme="majorBidi"/>
      <w:b/>
      <w:i/>
      <w:iCs/>
      <w:color w:val="0094D2" w:themeColor="accent1"/>
      <w:sz w:val="19"/>
      <w:szCs w:val="19"/>
      <w:u w:val="single"/>
    </w:rPr>
  </w:style>
  <w:style w:type="paragraph" w:styleId="Title">
    <w:name w:val="Title"/>
    <w:aliases w:val="PB Title"/>
    <w:basedOn w:val="Normal"/>
    <w:next w:val="Normal"/>
    <w:link w:val="TitleChar"/>
    <w:uiPriority w:val="5"/>
    <w:qFormat/>
    <w:rsid w:val="00242A40"/>
    <w:pPr>
      <w:spacing w:after="240"/>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242A40"/>
    <w:rPr>
      <w:rFonts w:asciiTheme="majorHAnsi" w:eastAsiaTheme="majorEastAsia" w:hAnsiTheme="majorHAnsi" w:cstheme="majorBidi"/>
      <w:b/>
      <w:color w:val="03295A" w:themeColor="accent4"/>
      <w:spacing w:val="10"/>
      <w:kern w:val="28"/>
      <w:sz w:val="32"/>
      <w:szCs w:val="56"/>
      <w:lang w:val="fr-FR"/>
    </w:rPr>
  </w:style>
  <w:style w:type="character" w:customStyle="1" w:styleId="ListParagraphChar">
    <w:name w:val="List Paragraph Char"/>
    <w:aliases w:val="PB Numbered List Char"/>
    <w:basedOn w:val="DefaultParagraphFont"/>
    <w:link w:val="ListParagraph"/>
    <w:uiPriority w:val="6"/>
    <w:rsid w:val="00242A40"/>
  </w:style>
  <w:style w:type="paragraph" w:styleId="Quote">
    <w:name w:val="Quote"/>
    <w:aliases w:val="PB Quote"/>
    <w:basedOn w:val="Normal"/>
    <w:next w:val="Normal"/>
    <w:link w:val="QuoteChar"/>
    <w:uiPriority w:val="6"/>
    <w:qFormat/>
    <w:rsid w:val="00242A40"/>
    <w:pPr>
      <w:spacing w:after="160" w:line="276" w:lineRule="auto"/>
      <w:ind w:left="1134" w:right="567"/>
      <w:jc w:val="both"/>
    </w:pPr>
    <w:rPr>
      <w:sz w:val="21"/>
      <w:szCs w:val="21"/>
    </w:rPr>
  </w:style>
  <w:style w:type="character" w:customStyle="1" w:styleId="QuoteChar">
    <w:name w:val="Quote Char"/>
    <w:aliases w:val="PB Quote Char"/>
    <w:basedOn w:val="DefaultParagraphFont"/>
    <w:link w:val="Quote"/>
    <w:uiPriority w:val="6"/>
    <w:rsid w:val="00242A40"/>
    <w:rPr>
      <w:sz w:val="21"/>
      <w:szCs w:val="21"/>
      <w:lang w:val="fr-FR"/>
    </w:rPr>
  </w:style>
  <w:style w:type="paragraph" w:styleId="TOCHeading">
    <w:name w:val="TOC Heading"/>
    <w:basedOn w:val="Heading1"/>
    <w:next w:val="Normal"/>
    <w:uiPriority w:val="39"/>
    <w:unhideWhenUsed/>
    <w:qFormat/>
    <w:rsid w:val="00242A40"/>
    <w:pPr>
      <w:numPr>
        <w:numId w:val="0"/>
      </w:numPr>
      <w:spacing w:line="259" w:lineRule="auto"/>
      <w:jc w:val="center"/>
      <w:outlineLvl w:val="9"/>
    </w:pPr>
    <w:rPr>
      <w:rFonts w:cstheme="majorHAnsi"/>
    </w:rPr>
  </w:style>
  <w:style w:type="paragraph" w:customStyle="1" w:styleId="Paragraphes">
    <w:name w:val="Paragraphes"/>
    <w:basedOn w:val="Normal"/>
    <w:link w:val="ParagraphesChar"/>
    <w:rsid w:val="00487C25"/>
    <w:pPr>
      <w:tabs>
        <w:tab w:val="left" w:pos="567"/>
      </w:tabs>
      <w:jc w:val="both"/>
    </w:pPr>
    <w:rPr>
      <w:rFonts w:ascii="Verdana" w:hAnsi="Verdana" w:cs="Times New Roman"/>
      <w:sz w:val="20"/>
      <w:szCs w:val="20"/>
    </w:rPr>
  </w:style>
  <w:style w:type="character" w:customStyle="1" w:styleId="ParagraphesChar">
    <w:name w:val="Paragraphes Char"/>
    <w:basedOn w:val="DefaultParagraphFont"/>
    <w:link w:val="Paragraphes"/>
    <w:rsid w:val="00487C25"/>
    <w:rPr>
      <w:rFonts w:ascii="Verdana" w:hAnsi="Verdana" w:cs="Times New Roman"/>
      <w:sz w:val="20"/>
      <w:szCs w:val="20"/>
      <w:lang w:val="fr-FR"/>
    </w:rPr>
  </w:style>
  <w:style w:type="paragraph" w:styleId="TOC1">
    <w:name w:val="toc 1"/>
    <w:basedOn w:val="Normal"/>
    <w:next w:val="Normal"/>
    <w:autoRedefine/>
    <w:uiPriority w:val="39"/>
    <w:unhideWhenUsed/>
    <w:rsid w:val="00A93FF7"/>
    <w:pPr>
      <w:tabs>
        <w:tab w:val="left" w:pos="440"/>
        <w:tab w:val="right" w:leader="dot" w:pos="9016"/>
      </w:tabs>
      <w:spacing w:after="100"/>
    </w:pPr>
    <w:rPr>
      <w:rFonts w:ascii="Raleway" w:hAnsi="Raleway"/>
      <w:noProof/>
    </w:rPr>
  </w:style>
  <w:style w:type="paragraph" w:styleId="TOC2">
    <w:name w:val="toc 2"/>
    <w:basedOn w:val="Normal"/>
    <w:next w:val="Normal"/>
    <w:autoRedefine/>
    <w:uiPriority w:val="39"/>
    <w:unhideWhenUsed/>
    <w:rsid w:val="00B9780C"/>
    <w:pPr>
      <w:spacing w:after="100"/>
      <w:ind w:left="220"/>
    </w:p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nhideWhenUsed/>
    <w:rsid w:val="00B9780C"/>
    <w:pPr>
      <w:ind w:left="567" w:hanging="567"/>
      <w:jc w:val="both"/>
    </w:pPr>
    <w:rPr>
      <w:sz w:val="18"/>
      <w:szCs w:val="20"/>
    </w:rPr>
  </w:style>
  <w:style w:type="character" w:customStyle="1" w:styleId="FootnoteTextChar">
    <w:name w:val="Footnote Text Char"/>
    <w:aliases w:val="Char Char,Footnote Text Char Char Char Char,Footnote Text Char Char Char1,Footnote Text Char Char Char Char Char Char Char Char Char Char,Footnote Text Char Char Char Char Char Char Char Char Char Char Char C Char"/>
    <w:basedOn w:val="DefaultParagraphFont"/>
    <w:link w:val="FootnoteText"/>
    <w:rsid w:val="00B9780C"/>
    <w:rPr>
      <w:rFonts w:cs="Calibri"/>
      <w:sz w:val="18"/>
      <w:szCs w:val="20"/>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uiPriority w:val="99"/>
    <w:unhideWhenUsed/>
    <w:rsid w:val="00B9780C"/>
    <w:rPr>
      <w:vertAlign w:val="superscript"/>
    </w:rPr>
  </w:style>
  <w:style w:type="character" w:customStyle="1" w:styleId="FootnoteTextChar1">
    <w:name w:val="Footnote Text Char1"/>
    <w:aliases w:val="Char Char3,Footnote Text Char Char Char Char1,Footnote Text Char Char Char2,Footnote Text Char Char Char Char Char Char Char Char Char Char1,Footnote Text Char Char Char Char Char Char Char Char Char Char Char C Char1"/>
    <w:semiHidden/>
    <w:locked/>
    <w:rsid w:val="0054697B"/>
    <w:rPr>
      <w:rFonts w:ascii="Verdana" w:hAnsi="Verdana"/>
      <w:sz w:val="16"/>
      <w:lang w:val="fr-FR" w:eastAsia="en-US" w:bidi="ar-SA"/>
    </w:rPr>
  </w:style>
  <w:style w:type="paragraph" w:styleId="Header">
    <w:name w:val="header"/>
    <w:aliases w:val="6_G"/>
    <w:basedOn w:val="Normal"/>
    <w:link w:val="HeaderChar"/>
    <w:unhideWhenUsed/>
    <w:rsid w:val="006C3396"/>
    <w:pPr>
      <w:tabs>
        <w:tab w:val="center" w:pos="4513"/>
        <w:tab w:val="right" w:pos="9026"/>
      </w:tabs>
    </w:pPr>
  </w:style>
  <w:style w:type="character" w:customStyle="1" w:styleId="HeaderChar">
    <w:name w:val="Header Char"/>
    <w:aliases w:val="6_G Char"/>
    <w:basedOn w:val="DefaultParagraphFont"/>
    <w:link w:val="Header"/>
    <w:rsid w:val="006C3396"/>
    <w:rPr>
      <w:rFonts w:ascii="Calibri" w:hAnsi="Calibri" w:cs="Calibri"/>
    </w:rPr>
  </w:style>
  <w:style w:type="paragraph" w:styleId="Footer">
    <w:name w:val="footer"/>
    <w:basedOn w:val="Normal"/>
    <w:link w:val="FooterChar"/>
    <w:uiPriority w:val="99"/>
    <w:unhideWhenUsed/>
    <w:rsid w:val="006C3396"/>
    <w:pPr>
      <w:tabs>
        <w:tab w:val="center" w:pos="4513"/>
        <w:tab w:val="right" w:pos="9026"/>
      </w:tabs>
    </w:pPr>
  </w:style>
  <w:style w:type="character" w:customStyle="1" w:styleId="FooterChar">
    <w:name w:val="Footer Char"/>
    <w:basedOn w:val="DefaultParagraphFont"/>
    <w:link w:val="Footer"/>
    <w:uiPriority w:val="99"/>
    <w:rsid w:val="006C3396"/>
    <w:rPr>
      <w:rFonts w:ascii="Calibri" w:hAnsi="Calibri" w:cs="Calibri"/>
    </w:rPr>
  </w:style>
  <w:style w:type="table" w:styleId="TableGrid">
    <w:name w:val="Table Grid"/>
    <w:basedOn w:val="TableNormal"/>
    <w:uiPriority w:val="39"/>
    <w:rsid w:val="006C3396"/>
    <w:pPr>
      <w:spacing w:after="0" w:line="240" w:lineRule="auto"/>
    </w:pPr>
    <w:tblPr/>
  </w:style>
  <w:style w:type="character" w:styleId="Hyperlink">
    <w:name w:val="Hyperlink"/>
    <w:basedOn w:val="DefaultParagraphFont"/>
    <w:uiPriority w:val="99"/>
    <w:unhideWhenUsed/>
    <w:rsid w:val="009F2992"/>
    <w:rPr>
      <w:color w:val="024987" w:themeColor="hyperlink"/>
      <w:u w:val="single"/>
    </w:rPr>
  </w:style>
  <w:style w:type="character" w:customStyle="1" w:styleId="UnresolvedMention1">
    <w:name w:val="Unresolved Mention1"/>
    <w:basedOn w:val="DefaultParagraphFont"/>
    <w:uiPriority w:val="99"/>
    <w:unhideWhenUsed/>
    <w:rsid w:val="009F2992"/>
    <w:rPr>
      <w:color w:val="605E5C"/>
      <w:shd w:val="clear" w:color="auto" w:fill="E1DFDD"/>
    </w:rPr>
  </w:style>
  <w:style w:type="paragraph" w:styleId="TOC3">
    <w:name w:val="toc 3"/>
    <w:basedOn w:val="Normal"/>
    <w:next w:val="Normal"/>
    <w:autoRedefine/>
    <w:uiPriority w:val="39"/>
    <w:unhideWhenUsed/>
    <w:rsid w:val="00970815"/>
    <w:pPr>
      <w:tabs>
        <w:tab w:val="left" w:pos="880"/>
        <w:tab w:val="right" w:leader="dot" w:pos="9016"/>
      </w:tabs>
      <w:spacing w:after="100"/>
      <w:ind w:left="44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rPr>
      <w:sz w:val="20"/>
      <w:szCs w:val="20"/>
    </w:rPr>
  </w:style>
  <w:style w:type="character" w:customStyle="1" w:styleId="CommentTextChar">
    <w:name w:val="Comment Text Char"/>
    <w:basedOn w:val="DefaultParagraphFont"/>
    <w:link w:val="CommentText"/>
    <w:uiPriority w:val="99"/>
    <w:qFormat/>
    <w:rsid w:val="00675EA2"/>
    <w:rPr>
      <w:sz w:val="20"/>
      <w:szCs w:val="20"/>
    </w:rPr>
  </w:style>
  <w:style w:type="paragraph" w:styleId="CommentSubject">
    <w:name w:val="annotation subject"/>
    <w:basedOn w:val="CommentText"/>
    <w:next w:val="CommentText"/>
    <w:link w:val="CommentSubjectChar"/>
    <w:uiPriority w:val="99"/>
    <w:semiHidden/>
    <w:unhideWhenUsed/>
    <w:rsid w:val="00675EA2"/>
    <w:rPr>
      <w:b/>
      <w:bCs/>
    </w:rPr>
  </w:style>
  <w:style w:type="character" w:customStyle="1" w:styleId="CommentSubjectChar">
    <w:name w:val="Comment Subject Char"/>
    <w:basedOn w:val="CommentTextChar"/>
    <w:link w:val="CommentSubject"/>
    <w:uiPriority w:val="99"/>
    <w:semiHidden/>
    <w:rsid w:val="00675EA2"/>
    <w:rPr>
      <w:b/>
      <w:bCs/>
      <w:sz w:val="20"/>
      <w:szCs w:val="20"/>
    </w:rPr>
  </w:style>
  <w:style w:type="character" w:styleId="PlaceholderText">
    <w:name w:val="Placeholder Text"/>
    <w:basedOn w:val="DefaultParagraphFont"/>
    <w:uiPriority w:val="99"/>
    <w:semiHidden/>
    <w:rsid w:val="003254EC"/>
    <w:rPr>
      <w:color w:val="808080"/>
    </w:rPr>
  </w:style>
  <w:style w:type="paragraph" w:styleId="BalloonText">
    <w:name w:val="Balloon Text"/>
    <w:basedOn w:val="Normal"/>
    <w:link w:val="BalloonTextChar"/>
    <w:uiPriority w:val="99"/>
    <w:semiHidden/>
    <w:unhideWhenUsed/>
    <w:rsid w:val="00273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F23"/>
    <w:rPr>
      <w:rFonts w:ascii="Segoe UI" w:hAnsi="Segoe UI" w:cs="Segoe UI"/>
      <w:sz w:val="18"/>
      <w:szCs w:val="18"/>
    </w:rPr>
  </w:style>
  <w:style w:type="paragraph" w:styleId="Revision">
    <w:name w:val="Revision"/>
    <w:hidden/>
    <w:uiPriority w:val="99"/>
    <w:semiHidden/>
    <w:rsid w:val="00D8356D"/>
    <w:pPr>
      <w:spacing w:after="0" w:line="240" w:lineRule="auto"/>
    </w:pPr>
  </w:style>
  <w:style w:type="paragraph" w:styleId="EndnoteText">
    <w:name w:val="endnote text"/>
    <w:basedOn w:val="Normal"/>
    <w:link w:val="EndnoteTextChar"/>
    <w:uiPriority w:val="99"/>
    <w:semiHidden/>
    <w:unhideWhenUsed/>
    <w:rsid w:val="00EB45E8"/>
    <w:rPr>
      <w:sz w:val="20"/>
      <w:szCs w:val="20"/>
    </w:rPr>
  </w:style>
  <w:style w:type="character" w:customStyle="1" w:styleId="EndnoteTextChar">
    <w:name w:val="Endnote Text Char"/>
    <w:basedOn w:val="DefaultParagraphFont"/>
    <w:link w:val="EndnoteText"/>
    <w:uiPriority w:val="99"/>
    <w:semiHidden/>
    <w:rsid w:val="00EB45E8"/>
    <w:rPr>
      <w:sz w:val="20"/>
      <w:szCs w:val="20"/>
    </w:rPr>
  </w:style>
  <w:style w:type="character" w:styleId="EndnoteReference">
    <w:name w:val="endnote reference"/>
    <w:basedOn w:val="DefaultParagraphFont"/>
    <w:uiPriority w:val="99"/>
    <w:semiHidden/>
    <w:unhideWhenUsed/>
    <w:rsid w:val="00EB45E8"/>
    <w:rPr>
      <w:vertAlign w:val="superscript"/>
    </w:rPr>
  </w:style>
  <w:style w:type="character" w:customStyle="1" w:styleId="Mention1">
    <w:name w:val="Mention1"/>
    <w:basedOn w:val="DefaultParagraphFont"/>
    <w:uiPriority w:val="99"/>
    <w:unhideWhenUsed/>
    <w:rsid w:val="00626080"/>
    <w:rPr>
      <w:color w:val="2B579A"/>
      <w:shd w:val="clear" w:color="auto" w:fill="E1DFDD"/>
    </w:rPr>
  </w:style>
  <w:style w:type="character" w:styleId="FollowedHyperlink">
    <w:name w:val="FollowedHyperlink"/>
    <w:basedOn w:val="DefaultParagraphFont"/>
    <w:uiPriority w:val="99"/>
    <w:semiHidden/>
    <w:unhideWhenUsed/>
    <w:rsid w:val="00D778DB"/>
    <w:rPr>
      <w:color w:val="53714B" w:themeColor="followedHyperlink"/>
      <w:u w:val="single"/>
    </w:rPr>
  </w:style>
  <w:style w:type="paragraph" w:customStyle="1" w:styleId="Heading51">
    <w:name w:val="Heading 51"/>
    <w:basedOn w:val="Heading4"/>
    <w:link w:val="Heading5Char"/>
    <w:qFormat/>
    <w:rsid w:val="006971CF"/>
    <w:pPr>
      <w:ind w:left="0"/>
      <w:outlineLvl w:val="4"/>
    </w:pPr>
  </w:style>
  <w:style w:type="character" w:customStyle="1" w:styleId="Heading5Char">
    <w:name w:val="Heading 5 Char"/>
    <w:basedOn w:val="Heading4Char"/>
    <w:link w:val="Heading51"/>
    <w:rsid w:val="006971CF"/>
    <w:rPr>
      <w:rFonts w:ascii="Raleway" w:eastAsiaTheme="majorEastAsia" w:hAnsi="Raleway" w:cstheme="majorBidi"/>
      <w:b/>
      <w:i/>
      <w:iCs/>
      <w:color w:val="0094D2" w:themeColor="accent1"/>
      <w:sz w:val="19"/>
      <w:szCs w:val="19"/>
      <w:u w:val="single"/>
    </w:rPr>
  </w:style>
  <w:style w:type="table" w:customStyle="1" w:styleId="Style1">
    <w:name w:val="Style1"/>
    <w:basedOn w:val="TableNormal"/>
    <w:uiPriority w:val="99"/>
    <w:rsid w:val="00F153ED"/>
    <w:pPr>
      <w:spacing w:after="0" w:line="240" w:lineRule="auto"/>
    </w:pPr>
    <w:tblPr>
      <w:tblStyleRowBandSize w:val="1"/>
    </w:tblPr>
    <w:tblStylePr w:type="firstRow">
      <w:pPr>
        <w:jc w:val="center"/>
      </w:pPr>
      <w:rPr>
        <w:b/>
        <w:color w:val="FFFFFF" w:themeColor="background1"/>
      </w:rPr>
    </w:tblStylePr>
    <w:tblStylePr w:type="band1Horz">
      <w:rPr>
        <w:color w:val="auto"/>
      </w:rPr>
    </w:tblStylePr>
    <w:tblStylePr w:type="band2Horz">
      <w:rPr>
        <w:color w:val="auto"/>
      </w:rPr>
    </w:tblStylePr>
  </w:style>
  <w:style w:type="paragraph" w:customStyle="1" w:styleId="PBfootnote">
    <w:name w:val="PB footnote"/>
    <w:basedOn w:val="Normal"/>
    <w:link w:val="PBfootnoteChar"/>
    <w:qFormat/>
    <w:rsid w:val="00F153ED"/>
    <w:pPr>
      <w:spacing w:after="60"/>
      <w:ind w:left="284" w:hanging="284"/>
      <w:jc w:val="both"/>
    </w:pPr>
    <w:rPr>
      <w:sz w:val="18"/>
      <w:szCs w:val="18"/>
    </w:rPr>
  </w:style>
  <w:style w:type="character" w:customStyle="1" w:styleId="PBfootnoteChar">
    <w:name w:val="PB footnote Char"/>
    <w:basedOn w:val="DefaultParagraphFont"/>
    <w:link w:val="PBfootnote"/>
    <w:rsid w:val="00F153ED"/>
    <w:rPr>
      <w:sz w:val="18"/>
      <w:szCs w:val="18"/>
    </w:rPr>
  </w:style>
  <w:style w:type="paragraph" w:customStyle="1" w:styleId="TOC10">
    <w:name w:val="TOC1"/>
    <w:basedOn w:val="Normal"/>
    <w:link w:val="TOC1Char"/>
    <w:qFormat/>
    <w:rsid w:val="00F153ED"/>
    <w:pPr>
      <w:widowControl w:val="0"/>
      <w:jc w:val="center"/>
      <w:outlineLvl w:val="0"/>
    </w:pPr>
    <w:rPr>
      <w:rFonts w:ascii="Raleway SemiBold" w:eastAsiaTheme="majorEastAsia" w:hAnsi="Raleway SemiBold" w:cstheme="majorBidi"/>
      <w:color w:val="15848D"/>
      <w:sz w:val="32"/>
      <w:szCs w:val="32"/>
    </w:rPr>
  </w:style>
  <w:style w:type="character" w:customStyle="1" w:styleId="TOC1Char">
    <w:name w:val="TOC1 Char"/>
    <w:basedOn w:val="DefaultParagraphFont"/>
    <w:link w:val="TOC10"/>
    <w:rsid w:val="00F153ED"/>
    <w:rPr>
      <w:rFonts w:ascii="Raleway SemiBold" w:eastAsiaTheme="majorEastAsia" w:hAnsi="Raleway SemiBold" w:cstheme="majorBidi"/>
      <w:color w:val="15848D"/>
      <w:sz w:val="32"/>
      <w:szCs w:val="32"/>
    </w:rPr>
  </w:style>
  <w:style w:type="character" w:customStyle="1" w:styleId="NotedebasdepageCar1">
    <w:name w:val="Note de bas de page Car1"/>
    <w:aliases w:val="Char Car,Footnote Text Char Char Char Car,Footnote Text Char Char Car,Footnote Text Char Char Char Char Char Char Char Char Char Car,Footnote Text Char Char Char Char Char Char Char Char Char Char Char C Car"/>
    <w:basedOn w:val="DefaultParagraphFont"/>
    <w:locked/>
    <w:rsid w:val="007C584F"/>
  </w:style>
  <w:style w:type="paragraph" w:customStyle="1" w:styleId="elementtoproof">
    <w:name w:val="elementtoproof"/>
    <w:basedOn w:val="Normal"/>
    <w:rsid w:val="002556E9"/>
    <w:rPr>
      <w:rFonts w:ascii="Aptos" w:hAnsi="Aptos" w:cs="Aptos"/>
      <w:sz w:val="24"/>
      <w:szCs w:val="24"/>
    </w:rPr>
  </w:style>
  <w:style w:type="paragraph" w:customStyle="1" w:styleId="Bluebox">
    <w:name w:val="Blue box"/>
    <w:basedOn w:val="PBBulletList"/>
    <w:link w:val="BlueboxChar"/>
    <w:qFormat/>
    <w:rsid w:val="00A323AB"/>
    <w:pPr>
      <w:shd w:val="clear" w:color="auto" w:fill="C3EDFF" w:themeFill="accent1" w:themeFillTint="33"/>
    </w:pPr>
    <w:rPr>
      <w:sz w:val="16"/>
      <w:szCs w:val="17"/>
    </w:rPr>
  </w:style>
  <w:style w:type="character" w:customStyle="1" w:styleId="BlueboxChar">
    <w:name w:val="Blue box Char"/>
    <w:basedOn w:val="PBBulletListChar"/>
    <w:link w:val="Bluebox"/>
    <w:rsid w:val="00A323AB"/>
    <w:rPr>
      <w:rFonts w:ascii="Raleway" w:hAnsi="Raleway"/>
      <w:sz w:val="16"/>
      <w:szCs w:val="17"/>
      <w:shd w:val="clear" w:color="auto" w:fill="C3EDFF" w:themeFill="accent1" w:themeFillTint="33"/>
    </w:rPr>
  </w:style>
  <w:style w:type="paragraph" w:customStyle="1" w:styleId="Blueboxtitle">
    <w:name w:val="Blue box title"/>
    <w:basedOn w:val="PBParagraph"/>
    <w:link w:val="BlueboxtitleChar"/>
    <w:qFormat/>
    <w:rsid w:val="002371E6"/>
    <w:pPr>
      <w:numPr>
        <w:numId w:val="0"/>
      </w:numPr>
      <w:shd w:val="clear" w:color="auto" w:fill="C3EDFF" w:themeFill="accent1" w:themeFillTint="33"/>
      <w:ind w:left="567"/>
      <w:jc w:val="center"/>
    </w:pPr>
    <w:rPr>
      <w:b/>
      <w:bCs/>
      <w:color w:val="0070C0"/>
    </w:rPr>
  </w:style>
  <w:style w:type="character" w:customStyle="1" w:styleId="BlueboxtitleChar">
    <w:name w:val="Blue box title Char"/>
    <w:basedOn w:val="PBParagraphChar"/>
    <w:link w:val="Blueboxtitle"/>
    <w:rsid w:val="006331BE"/>
    <w:rPr>
      <w:rFonts w:ascii="Raleway" w:hAnsi="Raleway"/>
      <w:b/>
      <w:bCs/>
      <w:color w:val="0070C0"/>
      <w:sz w:val="19"/>
      <w:szCs w:val="19"/>
      <w:shd w:val="clear" w:color="auto" w:fill="C3EDFF" w:themeFill="accent1" w:themeFillTint="33"/>
    </w:rPr>
  </w:style>
  <w:style w:type="paragraph" w:styleId="NormalWeb">
    <w:name w:val="Normal (Web)"/>
    <w:basedOn w:val="Normal"/>
    <w:uiPriority w:val="99"/>
    <w:semiHidden/>
    <w:unhideWhenUsed/>
    <w:rsid w:val="006331BE"/>
    <w:pPr>
      <w:spacing w:before="100" w:beforeAutospacing="1" w:after="100" w:afterAutospacing="1"/>
    </w:pPr>
    <w:rPr>
      <w:rFonts w:ascii="Times New Roman" w:eastAsia="Times New Roman" w:hAnsi="Times New Roman" w:cs="Times New Roman"/>
      <w:sz w:val="24"/>
      <w:szCs w:val="24"/>
    </w:rPr>
  </w:style>
  <w:style w:type="table" w:styleId="PlainTable1">
    <w:name w:val="Plain Table 1"/>
    <w:basedOn w:val="TableNormal"/>
    <w:uiPriority w:val="41"/>
    <w:rsid w:val="006331BE"/>
    <w:pPr>
      <w:spacing w:after="0" w:line="240" w:lineRule="auto"/>
    </w:pPr>
    <w:tblPr>
      <w:tblStyleRowBandSize w:val="1"/>
      <w:tblStyleColBandSize w:val="1"/>
    </w:tblPr>
    <w:tcPr>
      <w:tcBorders>
        <w:top w:val="double" w:sz="4" w:space="0" w:color="BFBFBF" w:themeColor="background1" w:themeShade="BF"/>
      </w:tcBorders>
      <w:shd w:val="clear" w:color="auto" w:fill="F2F2F2" w:themeFill="background1" w:themeFillShade="F2"/>
    </w:tcPr>
    <w:tblStylePr w:type="firstRow">
      <w:rPr>
        <w:b/>
        <w:bCs/>
      </w:rPr>
    </w:tblStylePr>
    <w:tblStylePr w:type="lastRow">
      <w:rPr>
        <w:b/>
        <w:bCs/>
      </w:rPr>
    </w:tblStylePr>
    <w:tblStylePr w:type="firstCol">
      <w:rPr>
        <w:b/>
        <w:bCs/>
      </w:rPr>
    </w:tblStylePr>
    <w:tblStylePr w:type="lastCol">
      <w:rPr>
        <w:b/>
        <w:bCs/>
      </w:rPr>
    </w:tblStylePr>
  </w:style>
  <w:style w:type="paragraph" w:customStyle="1" w:styleId="PBendnote">
    <w:name w:val="PB endnote"/>
    <w:basedOn w:val="EndnoteText"/>
    <w:link w:val="PBendnoteChar"/>
    <w:qFormat/>
    <w:rsid w:val="001D4B28"/>
    <w:pPr>
      <w:ind w:left="284" w:hanging="284"/>
      <w:jc w:val="both"/>
    </w:pPr>
    <w:rPr>
      <w:color w:val="002060"/>
    </w:rPr>
  </w:style>
  <w:style w:type="character" w:customStyle="1" w:styleId="PBendnoteChar">
    <w:name w:val="PB endnote Char"/>
    <w:basedOn w:val="EndnoteTextChar"/>
    <w:link w:val="PBendnote"/>
    <w:rsid w:val="001D4B28"/>
    <w:rPr>
      <w:color w:val="002060"/>
      <w:sz w:val="20"/>
      <w:szCs w:val="20"/>
    </w:rPr>
  </w:style>
  <w:style w:type="paragraph" w:customStyle="1" w:styleId="PBParagraphNumber">
    <w:name w:val="PB Paragraph Number"/>
    <w:basedOn w:val="ListParagraph"/>
    <w:qFormat/>
    <w:rsid w:val="00CC31BA"/>
    <w:pPr>
      <w:numPr>
        <w:numId w:val="0"/>
      </w:numPr>
      <w:spacing w:after="120"/>
      <w:ind w:left="567" w:hanging="567"/>
      <w:contextualSpacing w:val="0"/>
    </w:pPr>
    <w:rPr>
      <w:color w:val="002060"/>
    </w:rPr>
  </w:style>
  <w:style w:type="paragraph" w:styleId="TOC4">
    <w:name w:val="toc 4"/>
    <w:basedOn w:val="Normal"/>
    <w:next w:val="Normal"/>
    <w:autoRedefine/>
    <w:uiPriority w:val="39"/>
    <w:unhideWhenUsed/>
    <w:rsid w:val="0030225B"/>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30225B"/>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30225B"/>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30225B"/>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30225B"/>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30225B"/>
    <w:pPr>
      <w:spacing w:after="100" w:line="278" w:lineRule="auto"/>
      <w:ind w:left="1920"/>
    </w:pPr>
    <w:rPr>
      <w:rFonts w:eastAsiaTheme="minorEastAsia"/>
      <w:kern w:val="2"/>
      <w:sz w:val="24"/>
      <w:szCs w:val="24"/>
      <w14:ligatures w14:val="standardContextual"/>
    </w:rPr>
  </w:style>
  <w:style w:type="character" w:customStyle="1" w:styleId="fontstyle01">
    <w:name w:val="fontstyle01"/>
    <w:basedOn w:val="DefaultParagraphFont"/>
    <w:rsid w:val="00972E5B"/>
    <w:rPr>
      <w:rFonts w:ascii="Arial" w:hAnsi="Arial" w:cs="Arial" w:hint="default"/>
      <w:b w:val="0"/>
      <w:bCs w:val="0"/>
      <w:i w:val="0"/>
      <w:iCs w:val="0"/>
      <w:color w:val="000000"/>
      <w:sz w:val="20"/>
      <w:szCs w:val="20"/>
    </w:rPr>
  </w:style>
  <w:style w:type="character" w:styleId="UnresolvedMention">
    <w:name w:val="Unresolved Mention"/>
    <w:basedOn w:val="DefaultParagraphFont"/>
    <w:uiPriority w:val="99"/>
    <w:unhideWhenUsed/>
    <w:rsid w:val="00B479B2"/>
    <w:rPr>
      <w:color w:val="605E5C"/>
      <w:shd w:val="clear" w:color="auto" w:fill="E1DFDD"/>
    </w:rPr>
  </w:style>
  <w:style w:type="character" w:styleId="Mention">
    <w:name w:val="Mention"/>
    <w:basedOn w:val="DefaultParagraphFont"/>
    <w:uiPriority w:val="99"/>
    <w:unhideWhenUsed/>
    <w:rsid w:val="00B479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398">
      <w:bodyDiv w:val="1"/>
      <w:marLeft w:val="0"/>
      <w:marRight w:val="0"/>
      <w:marTop w:val="0"/>
      <w:marBottom w:val="0"/>
      <w:divBdr>
        <w:top w:val="none" w:sz="0" w:space="0" w:color="auto"/>
        <w:left w:val="none" w:sz="0" w:space="0" w:color="auto"/>
        <w:bottom w:val="none" w:sz="0" w:space="0" w:color="auto"/>
        <w:right w:val="none" w:sz="0" w:space="0" w:color="auto"/>
      </w:divBdr>
    </w:div>
    <w:div w:id="86581768">
      <w:bodyDiv w:val="1"/>
      <w:marLeft w:val="0"/>
      <w:marRight w:val="0"/>
      <w:marTop w:val="0"/>
      <w:marBottom w:val="0"/>
      <w:divBdr>
        <w:top w:val="none" w:sz="0" w:space="0" w:color="auto"/>
        <w:left w:val="none" w:sz="0" w:space="0" w:color="auto"/>
        <w:bottom w:val="none" w:sz="0" w:space="0" w:color="auto"/>
        <w:right w:val="none" w:sz="0" w:space="0" w:color="auto"/>
      </w:divBdr>
    </w:div>
    <w:div w:id="125664628">
      <w:bodyDiv w:val="1"/>
      <w:marLeft w:val="0"/>
      <w:marRight w:val="0"/>
      <w:marTop w:val="0"/>
      <w:marBottom w:val="0"/>
      <w:divBdr>
        <w:top w:val="none" w:sz="0" w:space="0" w:color="auto"/>
        <w:left w:val="none" w:sz="0" w:space="0" w:color="auto"/>
        <w:bottom w:val="none" w:sz="0" w:space="0" w:color="auto"/>
        <w:right w:val="none" w:sz="0" w:space="0" w:color="auto"/>
      </w:divBdr>
    </w:div>
    <w:div w:id="177627126">
      <w:bodyDiv w:val="1"/>
      <w:marLeft w:val="0"/>
      <w:marRight w:val="0"/>
      <w:marTop w:val="0"/>
      <w:marBottom w:val="0"/>
      <w:divBdr>
        <w:top w:val="none" w:sz="0" w:space="0" w:color="auto"/>
        <w:left w:val="none" w:sz="0" w:space="0" w:color="auto"/>
        <w:bottom w:val="none" w:sz="0" w:space="0" w:color="auto"/>
        <w:right w:val="none" w:sz="0" w:space="0" w:color="auto"/>
      </w:divBdr>
    </w:div>
    <w:div w:id="229582358">
      <w:bodyDiv w:val="1"/>
      <w:marLeft w:val="0"/>
      <w:marRight w:val="0"/>
      <w:marTop w:val="0"/>
      <w:marBottom w:val="0"/>
      <w:divBdr>
        <w:top w:val="none" w:sz="0" w:space="0" w:color="auto"/>
        <w:left w:val="none" w:sz="0" w:space="0" w:color="auto"/>
        <w:bottom w:val="none" w:sz="0" w:space="0" w:color="auto"/>
        <w:right w:val="none" w:sz="0" w:space="0" w:color="auto"/>
      </w:divBdr>
    </w:div>
    <w:div w:id="392781288">
      <w:bodyDiv w:val="1"/>
      <w:marLeft w:val="0"/>
      <w:marRight w:val="0"/>
      <w:marTop w:val="0"/>
      <w:marBottom w:val="0"/>
      <w:divBdr>
        <w:top w:val="none" w:sz="0" w:space="0" w:color="auto"/>
        <w:left w:val="none" w:sz="0" w:space="0" w:color="auto"/>
        <w:bottom w:val="none" w:sz="0" w:space="0" w:color="auto"/>
        <w:right w:val="none" w:sz="0" w:space="0" w:color="auto"/>
      </w:divBdr>
    </w:div>
    <w:div w:id="407073764">
      <w:bodyDiv w:val="1"/>
      <w:marLeft w:val="0"/>
      <w:marRight w:val="0"/>
      <w:marTop w:val="0"/>
      <w:marBottom w:val="0"/>
      <w:divBdr>
        <w:top w:val="none" w:sz="0" w:space="0" w:color="auto"/>
        <w:left w:val="none" w:sz="0" w:space="0" w:color="auto"/>
        <w:bottom w:val="none" w:sz="0" w:space="0" w:color="auto"/>
        <w:right w:val="none" w:sz="0" w:space="0" w:color="auto"/>
      </w:divBdr>
    </w:div>
    <w:div w:id="407580030">
      <w:bodyDiv w:val="1"/>
      <w:marLeft w:val="0"/>
      <w:marRight w:val="0"/>
      <w:marTop w:val="0"/>
      <w:marBottom w:val="0"/>
      <w:divBdr>
        <w:top w:val="none" w:sz="0" w:space="0" w:color="auto"/>
        <w:left w:val="none" w:sz="0" w:space="0" w:color="auto"/>
        <w:bottom w:val="none" w:sz="0" w:space="0" w:color="auto"/>
        <w:right w:val="none" w:sz="0" w:space="0" w:color="auto"/>
      </w:divBdr>
    </w:div>
    <w:div w:id="423576996">
      <w:bodyDiv w:val="1"/>
      <w:marLeft w:val="0"/>
      <w:marRight w:val="0"/>
      <w:marTop w:val="0"/>
      <w:marBottom w:val="0"/>
      <w:divBdr>
        <w:top w:val="none" w:sz="0" w:space="0" w:color="auto"/>
        <w:left w:val="none" w:sz="0" w:space="0" w:color="auto"/>
        <w:bottom w:val="none" w:sz="0" w:space="0" w:color="auto"/>
        <w:right w:val="none" w:sz="0" w:space="0" w:color="auto"/>
      </w:divBdr>
    </w:div>
    <w:div w:id="444035150">
      <w:bodyDiv w:val="1"/>
      <w:marLeft w:val="0"/>
      <w:marRight w:val="0"/>
      <w:marTop w:val="0"/>
      <w:marBottom w:val="0"/>
      <w:divBdr>
        <w:top w:val="none" w:sz="0" w:space="0" w:color="auto"/>
        <w:left w:val="none" w:sz="0" w:space="0" w:color="auto"/>
        <w:bottom w:val="none" w:sz="0" w:space="0" w:color="auto"/>
        <w:right w:val="none" w:sz="0" w:space="0" w:color="auto"/>
      </w:divBdr>
    </w:div>
    <w:div w:id="452990213">
      <w:bodyDiv w:val="1"/>
      <w:marLeft w:val="0"/>
      <w:marRight w:val="0"/>
      <w:marTop w:val="0"/>
      <w:marBottom w:val="0"/>
      <w:divBdr>
        <w:top w:val="none" w:sz="0" w:space="0" w:color="auto"/>
        <w:left w:val="none" w:sz="0" w:space="0" w:color="auto"/>
        <w:bottom w:val="none" w:sz="0" w:space="0" w:color="auto"/>
        <w:right w:val="none" w:sz="0" w:space="0" w:color="auto"/>
      </w:divBdr>
    </w:div>
    <w:div w:id="487132172">
      <w:bodyDiv w:val="1"/>
      <w:marLeft w:val="0"/>
      <w:marRight w:val="0"/>
      <w:marTop w:val="0"/>
      <w:marBottom w:val="0"/>
      <w:divBdr>
        <w:top w:val="none" w:sz="0" w:space="0" w:color="auto"/>
        <w:left w:val="none" w:sz="0" w:space="0" w:color="auto"/>
        <w:bottom w:val="none" w:sz="0" w:space="0" w:color="auto"/>
        <w:right w:val="none" w:sz="0" w:space="0" w:color="auto"/>
      </w:divBdr>
    </w:div>
    <w:div w:id="535849769">
      <w:bodyDiv w:val="1"/>
      <w:marLeft w:val="0"/>
      <w:marRight w:val="0"/>
      <w:marTop w:val="0"/>
      <w:marBottom w:val="0"/>
      <w:divBdr>
        <w:top w:val="none" w:sz="0" w:space="0" w:color="auto"/>
        <w:left w:val="none" w:sz="0" w:space="0" w:color="auto"/>
        <w:bottom w:val="none" w:sz="0" w:space="0" w:color="auto"/>
        <w:right w:val="none" w:sz="0" w:space="0" w:color="auto"/>
      </w:divBdr>
    </w:div>
    <w:div w:id="557009374">
      <w:bodyDiv w:val="1"/>
      <w:marLeft w:val="0"/>
      <w:marRight w:val="0"/>
      <w:marTop w:val="0"/>
      <w:marBottom w:val="0"/>
      <w:divBdr>
        <w:top w:val="none" w:sz="0" w:space="0" w:color="auto"/>
        <w:left w:val="none" w:sz="0" w:space="0" w:color="auto"/>
        <w:bottom w:val="none" w:sz="0" w:space="0" w:color="auto"/>
        <w:right w:val="none" w:sz="0" w:space="0" w:color="auto"/>
      </w:divBdr>
    </w:div>
    <w:div w:id="726415285">
      <w:bodyDiv w:val="1"/>
      <w:marLeft w:val="0"/>
      <w:marRight w:val="0"/>
      <w:marTop w:val="0"/>
      <w:marBottom w:val="0"/>
      <w:divBdr>
        <w:top w:val="none" w:sz="0" w:space="0" w:color="auto"/>
        <w:left w:val="none" w:sz="0" w:space="0" w:color="auto"/>
        <w:bottom w:val="none" w:sz="0" w:space="0" w:color="auto"/>
        <w:right w:val="none" w:sz="0" w:space="0" w:color="auto"/>
      </w:divBdr>
    </w:div>
    <w:div w:id="892691159">
      <w:bodyDiv w:val="1"/>
      <w:marLeft w:val="0"/>
      <w:marRight w:val="0"/>
      <w:marTop w:val="0"/>
      <w:marBottom w:val="0"/>
      <w:divBdr>
        <w:top w:val="none" w:sz="0" w:space="0" w:color="auto"/>
        <w:left w:val="none" w:sz="0" w:space="0" w:color="auto"/>
        <w:bottom w:val="none" w:sz="0" w:space="0" w:color="auto"/>
        <w:right w:val="none" w:sz="0" w:space="0" w:color="auto"/>
      </w:divBdr>
    </w:div>
    <w:div w:id="913051107">
      <w:bodyDiv w:val="1"/>
      <w:marLeft w:val="0"/>
      <w:marRight w:val="0"/>
      <w:marTop w:val="0"/>
      <w:marBottom w:val="0"/>
      <w:divBdr>
        <w:top w:val="none" w:sz="0" w:space="0" w:color="auto"/>
        <w:left w:val="none" w:sz="0" w:space="0" w:color="auto"/>
        <w:bottom w:val="none" w:sz="0" w:space="0" w:color="auto"/>
        <w:right w:val="none" w:sz="0" w:space="0" w:color="auto"/>
      </w:divBdr>
    </w:div>
    <w:div w:id="935944368">
      <w:bodyDiv w:val="1"/>
      <w:marLeft w:val="0"/>
      <w:marRight w:val="0"/>
      <w:marTop w:val="0"/>
      <w:marBottom w:val="0"/>
      <w:divBdr>
        <w:top w:val="none" w:sz="0" w:space="0" w:color="auto"/>
        <w:left w:val="none" w:sz="0" w:space="0" w:color="auto"/>
        <w:bottom w:val="none" w:sz="0" w:space="0" w:color="auto"/>
        <w:right w:val="none" w:sz="0" w:space="0" w:color="auto"/>
      </w:divBdr>
    </w:div>
    <w:div w:id="940801146">
      <w:bodyDiv w:val="1"/>
      <w:marLeft w:val="0"/>
      <w:marRight w:val="0"/>
      <w:marTop w:val="0"/>
      <w:marBottom w:val="0"/>
      <w:divBdr>
        <w:top w:val="none" w:sz="0" w:space="0" w:color="auto"/>
        <w:left w:val="none" w:sz="0" w:space="0" w:color="auto"/>
        <w:bottom w:val="none" w:sz="0" w:space="0" w:color="auto"/>
        <w:right w:val="none" w:sz="0" w:space="0" w:color="auto"/>
      </w:divBdr>
    </w:div>
    <w:div w:id="952899305">
      <w:bodyDiv w:val="1"/>
      <w:marLeft w:val="0"/>
      <w:marRight w:val="0"/>
      <w:marTop w:val="0"/>
      <w:marBottom w:val="0"/>
      <w:divBdr>
        <w:top w:val="none" w:sz="0" w:space="0" w:color="auto"/>
        <w:left w:val="none" w:sz="0" w:space="0" w:color="auto"/>
        <w:bottom w:val="none" w:sz="0" w:space="0" w:color="auto"/>
        <w:right w:val="none" w:sz="0" w:space="0" w:color="auto"/>
      </w:divBdr>
      <w:divsChild>
        <w:div w:id="180704334">
          <w:marLeft w:val="0"/>
          <w:marRight w:val="0"/>
          <w:marTop w:val="0"/>
          <w:marBottom w:val="160"/>
          <w:divBdr>
            <w:top w:val="none" w:sz="0" w:space="0" w:color="auto"/>
            <w:left w:val="none" w:sz="0" w:space="0" w:color="auto"/>
            <w:bottom w:val="none" w:sz="0" w:space="0" w:color="auto"/>
            <w:right w:val="none" w:sz="0" w:space="0" w:color="auto"/>
          </w:divBdr>
        </w:div>
        <w:div w:id="1463765881">
          <w:marLeft w:val="0"/>
          <w:marRight w:val="0"/>
          <w:marTop w:val="0"/>
          <w:marBottom w:val="160"/>
          <w:divBdr>
            <w:top w:val="none" w:sz="0" w:space="0" w:color="auto"/>
            <w:left w:val="none" w:sz="0" w:space="0" w:color="auto"/>
            <w:bottom w:val="none" w:sz="0" w:space="0" w:color="auto"/>
            <w:right w:val="none" w:sz="0" w:space="0" w:color="auto"/>
          </w:divBdr>
        </w:div>
        <w:div w:id="2009364266">
          <w:marLeft w:val="0"/>
          <w:marRight w:val="0"/>
          <w:marTop w:val="0"/>
          <w:marBottom w:val="160"/>
          <w:divBdr>
            <w:top w:val="none" w:sz="0" w:space="0" w:color="auto"/>
            <w:left w:val="none" w:sz="0" w:space="0" w:color="auto"/>
            <w:bottom w:val="none" w:sz="0" w:space="0" w:color="auto"/>
            <w:right w:val="none" w:sz="0" w:space="0" w:color="auto"/>
          </w:divBdr>
        </w:div>
        <w:div w:id="2010670847">
          <w:marLeft w:val="0"/>
          <w:marRight w:val="0"/>
          <w:marTop w:val="0"/>
          <w:marBottom w:val="160"/>
          <w:divBdr>
            <w:top w:val="none" w:sz="0" w:space="0" w:color="auto"/>
            <w:left w:val="none" w:sz="0" w:space="0" w:color="auto"/>
            <w:bottom w:val="none" w:sz="0" w:space="0" w:color="auto"/>
            <w:right w:val="none" w:sz="0" w:space="0" w:color="auto"/>
          </w:divBdr>
        </w:div>
      </w:divsChild>
    </w:div>
    <w:div w:id="1038625234">
      <w:bodyDiv w:val="1"/>
      <w:marLeft w:val="0"/>
      <w:marRight w:val="0"/>
      <w:marTop w:val="0"/>
      <w:marBottom w:val="0"/>
      <w:divBdr>
        <w:top w:val="none" w:sz="0" w:space="0" w:color="auto"/>
        <w:left w:val="none" w:sz="0" w:space="0" w:color="auto"/>
        <w:bottom w:val="none" w:sz="0" w:space="0" w:color="auto"/>
        <w:right w:val="none" w:sz="0" w:space="0" w:color="auto"/>
      </w:divBdr>
    </w:div>
    <w:div w:id="1040201466">
      <w:bodyDiv w:val="1"/>
      <w:marLeft w:val="0"/>
      <w:marRight w:val="0"/>
      <w:marTop w:val="0"/>
      <w:marBottom w:val="0"/>
      <w:divBdr>
        <w:top w:val="none" w:sz="0" w:space="0" w:color="auto"/>
        <w:left w:val="none" w:sz="0" w:space="0" w:color="auto"/>
        <w:bottom w:val="none" w:sz="0" w:space="0" w:color="auto"/>
        <w:right w:val="none" w:sz="0" w:space="0" w:color="auto"/>
      </w:divBdr>
    </w:div>
    <w:div w:id="1075783511">
      <w:bodyDiv w:val="1"/>
      <w:marLeft w:val="0"/>
      <w:marRight w:val="0"/>
      <w:marTop w:val="0"/>
      <w:marBottom w:val="0"/>
      <w:divBdr>
        <w:top w:val="none" w:sz="0" w:space="0" w:color="auto"/>
        <w:left w:val="none" w:sz="0" w:space="0" w:color="auto"/>
        <w:bottom w:val="none" w:sz="0" w:space="0" w:color="auto"/>
        <w:right w:val="none" w:sz="0" w:space="0" w:color="auto"/>
      </w:divBdr>
    </w:div>
    <w:div w:id="1088039040">
      <w:bodyDiv w:val="1"/>
      <w:marLeft w:val="0"/>
      <w:marRight w:val="0"/>
      <w:marTop w:val="0"/>
      <w:marBottom w:val="0"/>
      <w:divBdr>
        <w:top w:val="none" w:sz="0" w:space="0" w:color="auto"/>
        <w:left w:val="none" w:sz="0" w:space="0" w:color="auto"/>
        <w:bottom w:val="none" w:sz="0" w:space="0" w:color="auto"/>
        <w:right w:val="none" w:sz="0" w:space="0" w:color="auto"/>
      </w:divBdr>
    </w:div>
    <w:div w:id="1153832275">
      <w:bodyDiv w:val="1"/>
      <w:marLeft w:val="0"/>
      <w:marRight w:val="0"/>
      <w:marTop w:val="0"/>
      <w:marBottom w:val="0"/>
      <w:divBdr>
        <w:top w:val="none" w:sz="0" w:space="0" w:color="auto"/>
        <w:left w:val="none" w:sz="0" w:space="0" w:color="auto"/>
        <w:bottom w:val="none" w:sz="0" w:space="0" w:color="auto"/>
        <w:right w:val="none" w:sz="0" w:space="0" w:color="auto"/>
      </w:divBdr>
    </w:div>
    <w:div w:id="1177616605">
      <w:bodyDiv w:val="1"/>
      <w:marLeft w:val="0"/>
      <w:marRight w:val="0"/>
      <w:marTop w:val="0"/>
      <w:marBottom w:val="0"/>
      <w:divBdr>
        <w:top w:val="none" w:sz="0" w:space="0" w:color="auto"/>
        <w:left w:val="none" w:sz="0" w:space="0" w:color="auto"/>
        <w:bottom w:val="none" w:sz="0" w:space="0" w:color="auto"/>
        <w:right w:val="none" w:sz="0" w:space="0" w:color="auto"/>
      </w:divBdr>
    </w:div>
    <w:div w:id="1196768199">
      <w:bodyDiv w:val="1"/>
      <w:marLeft w:val="0"/>
      <w:marRight w:val="0"/>
      <w:marTop w:val="0"/>
      <w:marBottom w:val="0"/>
      <w:divBdr>
        <w:top w:val="none" w:sz="0" w:space="0" w:color="auto"/>
        <w:left w:val="none" w:sz="0" w:space="0" w:color="auto"/>
        <w:bottom w:val="none" w:sz="0" w:space="0" w:color="auto"/>
        <w:right w:val="none" w:sz="0" w:space="0" w:color="auto"/>
      </w:divBdr>
    </w:div>
    <w:div w:id="1196967391">
      <w:bodyDiv w:val="1"/>
      <w:marLeft w:val="0"/>
      <w:marRight w:val="0"/>
      <w:marTop w:val="0"/>
      <w:marBottom w:val="0"/>
      <w:divBdr>
        <w:top w:val="none" w:sz="0" w:space="0" w:color="auto"/>
        <w:left w:val="none" w:sz="0" w:space="0" w:color="auto"/>
        <w:bottom w:val="none" w:sz="0" w:space="0" w:color="auto"/>
        <w:right w:val="none" w:sz="0" w:space="0" w:color="auto"/>
      </w:divBdr>
    </w:div>
    <w:div w:id="1200095298">
      <w:bodyDiv w:val="1"/>
      <w:marLeft w:val="0"/>
      <w:marRight w:val="0"/>
      <w:marTop w:val="0"/>
      <w:marBottom w:val="0"/>
      <w:divBdr>
        <w:top w:val="none" w:sz="0" w:space="0" w:color="auto"/>
        <w:left w:val="none" w:sz="0" w:space="0" w:color="auto"/>
        <w:bottom w:val="none" w:sz="0" w:space="0" w:color="auto"/>
        <w:right w:val="none" w:sz="0" w:space="0" w:color="auto"/>
      </w:divBdr>
    </w:div>
    <w:div w:id="1217742828">
      <w:bodyDiv w:val="1"/>
      <w:marLeft w:val="0"/>
      <w:marRight w:val="0"/>
      <w:marTop w:val="0"/>
      <w:marBottom w:val="0"/>
      <w:divBdr>
        <w:top w:val="none" w:sz="0" w:space="0" w:color="auto"/>
        <w:left w:val="none" w:sz="0" w:space="0" w:color="auto"/>
        <w:bottom w:val="none" w:sz="0" w:space="0" w:color="auto"/>
        <w:right w:val="none" w:sz="0" w:space="0" w:color="auto"/>
      </w:divBdr>
    </w:div>
    <w:div w:id="1237789391">
      <w:bodyDiv w:val="1"/>
      <w:marLeft w:val="0"/>
      <w:marRight w:val="0"/>
      <w:marTop w:val="0"/>
      <w:marBottom w:val="0"/>
      <w:divBdr>
        <w:top w:val="none" w:sz="0" w:space="0" w:color="auto"/>
        <w:left w:val="none" w:sz="0" w:space="0" w:color="auto"/>
        <w:bottom w:val="none" w:sz="0" w:space="0" w:color="auto"/>
        <w:right w:val="none" w:sz="0" w:space="0" w:color="auto"/>
      </w:divBdr>
    </w:div>
    <w:div w:id="1258244652">
      <w:bodyDiv w:val="1"/>
      <w:marLeft w:val="0"/>
      <w:marRight w:val="0"/>
      <w:marTop w:val="0"/>
      <w:marBottom w:val="0"/>
      <w:divBdr>
        <w:top w:val="none" w:sz="0" w:space="0" w:color="auto"/>
        <w:left w:val="none" w:sz="0" w:space="0" w:color="auto"/>
        <w:bottom w:val="none" w:sz="0" w:space="0" w:color="auto"/>
        <w:right w:val="none" w:sz="0" w:space="0" w:color="auto"/>
      </w:divBdr>
    </w:div>
    <w:div w:id="1317763426">
      <w:bodyDiv w:val="1"/>
      <w:marLeft w:val="0"/>
      <w:marRight w:val="0"/>
      <w:marTop w:val="0"/>
      <w:marBottom w:val="0"/>
      <w:divBdr>
        <w:top w:val="none" w:sz="0" w:space="0" w:color="auto"/>
        <w:left w:val="none" w:sz="0" w:space="0" w:color="auto"/>
        <w:bottom w:val="none" w:sz="0" w:space="0" w:color="auto"/>
        <w:right w:val="none" w:sz="0" w:space="0" w:color="auto"/>
      </w:divBdr>
    </w:div>
    <w:div w:id="1351878429">
      <w:bodyDiv w:val="1"/>
      <w:marLeft w:val="0"/>
      <w:marRight w:val="0"/>
      <w:marTop w:val="0"/>
      <w:marBottom w:val="0"/>
      <w:divBdr>
        <w:top w:val="none" w:sz="0" w:space="0" w:color="auto"/>
        <w:left w:val="none" w:sz="0" w:space="0" w:color="auto"/>
        <w:bottom w:val="none" w:sz="0" w:space="0" w:color="auto"/>
        <w:right w:val="none" w:sz="0" w:space="0" w:color="auto"/>
      </w:divBdr>
    </w:div>
    <w:div w:id="1352879187">
      <w:bodyDiv w:val="1"/>
      <w:marLeft w:val="0"/>
      <w:marRight w:val="0"/>
      <w:marTop w:val="0"/>
      <w:marBottom w:val="0"/>
      <w:divBdr>
        <w:top w:val="none" w:sz="0" w:space="0" w:color="auto"/>
        <w:left w:val="none" w:sz="0" w:space="0" w:color="auto"/>
        <w:bottom w:val="none" w:sz="0" w:space="0" w:color="auto"/>
        <w:right w:val="none" w:sz="0" w:space="0" w:color="auto"/>
      </w:divBdr>
    </w:div>
    <w:div w:id="1353845363">
      <w:bodyDiv w:val="1"/>
      <w:marLeft w:val="0"/>
      <w:marRight w:val="0"/>
      <w:marTop w:val="0"/>
      <w:marBottom w:val="0"/>
      <w:divBdr>
        <w:top w:val="none" w:sz="0" w:space="0" w:color="auto"/>
        <w:left w:val="none" w:sz="0" w:space="0" w:color="auto"/>
        <w:bottom w:val="none" w:sz="0" w:space="0" w:color="auto"/>
        <w:right w:val="none" w:sz="0" w:space="0" w:color="auto"/>
      </w:divBdr>
    </w:div>
    <w:div w:id="1355107903">
      <w:bodyDiv w:val="1"/>
      <w:marLeft w:val="0"/>
      <w:marRight w:val="0"/>
      <w:marTop w:val="0"/>
      <w:marBottom w:val="0"/>
      <w:divBdr>
        <w:top w:val="none" w:sz="0" w:space="0" w:color="auto"/>
        <w:left w:val="none" w:sz="0" w:space="0" w:color="auto"/>
        <w:bottom w:val="none" w:sz="0" w:space="0" w:color="auto"/>
        <w:right w:val="none" w:sz="0" w:space="0" w:color="auto"/>
      </w:divBdr>
    </w:div>
    <w:div w:id="1368485976">
      <w:bodyDiv w:val="1"/>
      <w:marLeft w:val="0"/>
      <w:marRight w:val="0"/>
      <w:marTop w:val="0"/>
      <w:marBottom w:val="0"/>
      <w:divBdr>
        <w:top w:val="none" w:sz="0" w:space="0" w:color="auto"/>
        <w:left w:val="none" w:sz="0" w:space="0" w:color="auto"/>
        <w:bottom w:val="none" w:sz="0" w:space="0" w:color="auto"/>
        <w:right w:val="none" w:sz="0" w:space="0" w:color="auto"/>
      </w:divBdr>
      <w:divsChild>
        <w:div w:id="611205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39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532129">
      <w:bodyDiv w:val="1"/>
      <w:marLeft w:val="0"/>
      <w:marRight w:val="0"/>
      <w:marTop w:val="0"/>
      <w:marBottom w:val="0"/>
      <w:divBdr>
        <w:top w:val="none" w:sz="0" w:space="0" w:color="auto"/>
        <w:left w:val="none" w:sz="0" w:space="0" w:color="auto"/>
        <w:bottom w:val="none" w:sz="0" w:space="0" w:color="auto"/>
        <w:right w:val="none" w:sz="0" w:space="0" w:color="auto"/>
      </w:divBdr>
    </w:div>
    <w:div w:id="1393701242">
      <w:bodyDiv w:val="1"/>
      <w:marLeft w:val="0"/>
      <w:marRight w:val="0"/>
      <w:marTop w:val="0"/>
      <w:marBottom w:val="0"/>
      <w:divBdr>
        <w:top w:val="none" w:sz="0" w:space="0" w:color="auto"/>
        <w:left w:val="none" w:sz="0" w:space="0" w:color="auto"/>
        <w:bottom w:val="none" w:sz="0" w:space="0" w:color="auto"/>
        <w:right w:val="none" w:sz="0" w:space="0" w:color="auto"/>
      </w:divBdr>
    </w:div>
    <w:div w:id="1464419119">
      <w:bodyDiv w:val="1"/>
      <w:marLeft w:val="0"/>
      <w:marRight w:val="0"/>
      <w:marTop w:val="0"/>
      <w:marBottom w:val="0"/>
      <w:divBdr>
        <w:top w:val="none" w:sz="0" w:space="0" w:color="auto"/>
        <w:left w:val="none" w:sz="0" w:space="0" w:color="auto"/>
        <w:bottom w:val="none" w:sz="0" w:space="0" w:color="auto"/>
        <w:right w:val="none" w:sz="0" w:space="0" w:color="auto"/>
      </w:divBdr>
    </w:div>
    <w:div w:id="1500149419">
      <w:bodyDiv w:val="1"/>
      <w:marLeft w:val="0"/>
      <w:marRight w:val="0"/>
      <w:marTop w:val="0"/>
      <w:marBottom w:val="0"/>
      <w:divBdr>
        <w:top w:val="none" w:sz="0" w:space="0" w:color="auto"/>
        <w:left w:val="none" w:sz="0" w:space="0" w:color="auto"/>
        <w:bottom w:val="none" w:sz="0" w:space="0" w:color="auto"/>
        <w:right w:val="none" w:sz="0" w:space="0" w:color="auto"/>
      </w:divBdr>
    </w:div>
    <w:div w:id="1523781733">
      <w:bodyDiv w:val="1"/>
      <w:marLeft w:val="0"/>
      <w:marRight w:val="0"/>
      <w:marTop w:val="0"/>
      <w:marBottom w:val="0"/>
      <w:divBdr>
        <w:top w:val="none" w:sz="0" w:space="0" w:color="auto"/>
        <w:left w:val="none" w:sz="0" w:space="0" w:color="auto"/>
        <w:bottom w:val="none" w:sz="0" w:space="0" w:color="auto"/>
        <w:right w:val="none" w:sz="0" w:space="0" w:color="auto"/>
      </w:divBdr>
    </w:div>
    <w:div w:id="1532648080">
      <w:bodyDiv w:val="1"/>
      <w:marLeft w:val="0"/>
      <w:marRight w:val="0"/>
      <w:marTop w:val="0"/>
      <w:marBottom w:val="0"/>
      <w:divBdr>
        <w:top w:val="none" w:sz="0" w:space="0" w:color="auto"/>
        <w:left w:val="none" w:sz="0" w:space="0" w:color="auto"/>
        <w:bottom w:val="none" w:sz="0" w:space="0" w:color="auto"/>
        <w:right w:val="none" w:sz="0" w:space="0" w:color="auto"/>
      </w:divBdr>
    </w:div>
    <w:div w:id="1562405693">
      <w:bodyDiv w:val="1"/>
      <w:marLeft w:val="0"/>
      <w:marRight w:val="0"/>
      <w:marTop w:val="0"/>
      <w:marBottom w:val="0"/>
      <w:divBdr>
        <w:top w:val="none" w:sz="0" w:space="0" w:color="auto"/>
        <w:left w:val="none" w:sz="0" w:space="0" w:color="auto"/>
        <w:bottom w:val="none" w:sz="0" w:space="0" w:color="auto"/>
        <w:right w:val="none" w:sz="0" w:space="0" w:color="auto"/>
      </w:divBdr>
    </w:div>
    <w:div w:id="1602911887">
      <w:bodyDiv w:val="1"/>
      <w:marLeft w:val="0"/>
      <w:marRight w:val="0"/>
      <w:marTop w:val="0"/>
      <w:marBottom w:val="0"/>
      <w:divBdr>
        <w:top w:val="none" w:sz="0" w:space="0" w:color="auto"/>
        <w:left w:val="none" w:sz="0" w:space="0" w:color="auto"/>
        <w:bottom w:val="none" w:sz="0" w:space="0" w:color="auto"/>
        <w:right w:val="none" w:sz="0" w:space="0" w:color="auto"/>
      </w:divBdr>
      <w:divsChild>
        <w:div w:id="291060350">
          <w:marLeft w:val="0"/>
          <w:marRight w:val="0"/>
          <w:marTop w:val="0"/>
          <w:marBottom w:val="0"/>
          <w:divBdr>
            <w:top w:val="none" w:sz="0" w:space="0" w:color="auto"/>
            <w:left w:val="none" w:sz="0" w:space="0" w:color="auto"/>
            <w:bottom w:val="none" w:sz="0" w:space="0" w:color="auto"/>
            <w:right w:val="none" w:sz="0" w:space="0" w:color="auto"/>
          </w:divBdr>
        </w:div>
        <w:div w:id="1478035515">
          <w:marLeft w:val="0"/>
          <w:marRight w:val="0"/>
          <w:marTop w:val="0"/>
          <w:marBottom w:val="0"/>
          <w:divBdr>
            <w:top w:val="none" w:sz="0" w:space="0" w:color="auto"/>
            <w:left w:val="none" w:sz="0" w:space="0" w:color="auto"/>
            <w:bottom w:val="none" w:sz="0" w:space="0" w:color="auto"/>
            <w:right w:val="none" w:sz="0" w:space="0" w:color="auto"/>
          </w:divBdr>
        </w:div>
        <w:div w:id="1512993453">
          <w:marLeft w:val="0"/>
          <w:marRight w:val="0"/>
          <w:marTop w:val="0"/>
          <w:marBottom w:val="0"/>
          <w:divBdr>
            <w:top w:val="none" w:sz="0" w:space="0" w:color="auto"/>
            <w:left w:val="none" w:sz="0" w:space="0" w:color="auto"/>
            <w:bottom w:val="none" w:sz="0" w:space="0" w:color="auto"/>
            <w:right w:val="none" w:sz="0" w:space="0" w:color="auto"/>
          </w:divBdr>
        </w:div>
        <w:div w:id="2145273530">
          <w:marLeft w:val="0"/>
          <w:marRight w:val="0"/>
          <w:marTop w:val="0"/>
          <w:marBottom w:val="0"/>
          <w:divBdr>
            <w:top w:val="none" w:sz="0" w:space="0" w:color="auto"/>
            <w:left w:val="none" w:sz="0" w:space="0" w:color="auto"/>
            <w:bottom w:val="none" w:sz="0" w:space="0" w:color="auto"/>
            <w:right w:val="none" w:sz="0" w:space="0" w:color="auto"/>
          </w:divBdr>
        </w:div>
      </w:divsChild>
    </w:div>
    <w:div w:id="1606578404">
      <w:bodyDiv w:val="1"/>
      <w:marLeft w:val="0"/>
      <w:marRight w:val="0"/>
      <w:marTop w:val="0"/>
      <w:marBottom w:val="0"/>
      <w:divBdr>
        <w:top w:val="none" w:sz="0" w:space="0" w:color="auto"/>
        <w:left w:val="none" w:sz="0" w:space="0" w:color="auto"/>
        <w:bottom w:val="none" w:sz="0" w:space="0" w:color="auto"/>
        <w:right w:val="none" w:sz="0" w:space="0" w:color="auto"/>
      </w:divBdr>
    </w:div>
    <w:div w:id="1621063071">
      <w:bodyDiv w:val="1"/>
      <w:marLeft w:val="0"/>
      <w:marRight w:val="0"/>
      <w:marTop w:val="0"/>
      <w:marBottom w:val="0"/>
      <w:divBdr>
        <w:top w:val="none" w:sz="0" w:space="0" w:color="auto"/>
        <w:left w:val="none" w:sz="0" w:space="0" w:color="auto"/>
        <w:bottom w:val="none" w:sz="0" w:space="0" w:color="auto"/>
        <w:right w:val="none" w:sz="0" w:space="0" w:color="auto"/>
      </w:divBdr>
    </w:div>
    <w:div w:id="1653951322">
      <w:bodyDiv w:val="1"/>
      <w:marLeft w:val="0"/>
      <w:marRight w:val="0"/>
      <w:marTop w:val="0"/>
      <w:marBottom w:val="0"/>
      <w:divBdr>
        <w:top w:val="none" w:sz="0" w:space="0" w:color="auto"/>
        <w:left w:val="none" w:sz="0" w:space="0" w:color="auto"/>
        <w:bottom w:val="none" w:sz="0" w:space="0" w:color="auto"/>
        <w:right w:val="none" w:sz="0" w:space="0" w:color="auto"/>
      </w:divBdr>
    </w:div>
    <w:div w:id="1670938219">
      <w:bodyDiv w:val="1"/>
      <w:marLeft w:val="0"/>
      <w:marRight w:val="0"/>
      <w:marTop w:val="0"/>
      <w:marBottom w:val="0"/>
      <w:divBdr>
        <w:top w:val="none" w:sz="0" w:space="0" w:color="auto"/>
        <w:left w:val="none" w:sz="0" w:space="0" w:color="auto"/>
        <w:bottom w:val="none" w:sz="0" w:space="0" w:color="auto"/>
        <w:right w:val="none" w:sz="0" w:space="0" w:color="auto"/>
      </w:divBdr>
    </w:div>
    <w:div w:id="1671522818">
      <w:bodyDiv w:val="1"/>
      <w:marLeft w:val="0"/>
      <w:marRight w:val="0"/>
      <w:marTop w:val="0"/>
      <w:marBottom w:val="0"/>
      <w:divBdr>
        <w:top w:val="none" w:sz="0" w:space="0" w:color="auto"/>
        <w:left w:val="none" w:sz="0" w:space="0" w:color="auto"/>
        <w:bottom w:val="none" w:sz="0" w:space="0" w:color="auto"/>
        <w:right w:val="none" w:sz="0" w:space="0" w:color="auto"/>
      </w:divBdr>
    </w:div>
    <w:div w:id="1713648305">
      <w:bodyDiv w:val="1"/>
      <w:marLeft w:val="0"/>
      <w:marRight w:val="0"/>
      <w:marTop w:val="0"/>
      <w:marBottom w:val="0"/>
      <w:divBdr>
        <w:top w:val="none" w:sz="0" w:space="0" w:color="auto"/>
        <w:left w:val="none" w:sz="0" w:space="0" w:color="auto"/>
        <w:bottom w:val="none" w:sz="0" w:space="0" w:color="auto"/>
        <w:right w:val="none" w:sz="0" w:space="0" w:color="auto"/>
      </w:divBdr>
    </w:div>
    <w:div w:id="1799831610">
      <w:bodyDiv w:val="1"/>
      <w:marLeft w:val="0"/>
      <w:marRight w:val="0"/>
      <w:marTop w:val="0"/>
      <w:marBottom w:val="0"/>
      <w:divBdr>
        <w:top w:val="none" w:sz="0" w:space="0" w:color="auto"/>
        <w:left w:val="none" w:sz="0" w:space="0" w:color="auto"/>
        <w:bottom w:val="none" w:sz="0" w:space="0" w:color="auto"/>
        <w:right w:val="none" w:sz="0" w:space="0" w:color="auto"/>
      </w:divBdr>
      <w:divsChild>
        <w:div w:id="194539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1222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4807904">
      <w:bodyDiv w:val="1"/>
      <w:marLeft w:val="0"/>
      <w:marRight w:val="0"/>
      <w:marTop w:val="0"/>
      <w:marBottom w:val="0"/>
      <w:divBdr>
        <w:top w:val="none" w:sz="0" w:space="0" w:color="auto"/>
        <w:left w:val="none" w:sz="0" w:space="0" w:color="auto"/>
        <w:bottom w:val="none" w:sz="0" w:space="0" w:color="auto"/>
        <w:right w:val="none" w:sz="0" w:space="0" w:color="auto"/>
      </w:divBdr>
      <w:divsChild>
        <w:div w:id="11251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65356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6990762">
      <w:bodyDiv w:val="1"/>
      <w:marLeft w:val="0"/>
      <w:marRight w:val="0"/>
      <w:marTop w:val="0"/>
      <w:marBottom w:val="0"/>
      <w:divBdr>
        <w:top w:val="none" w:sz="0" w:space="0" w:color="auto"/>
        <w:left w:val="none" w:sz="0" w:space="0" w:color="auto"/>
        <w:bottom w:val="none" w:sz="0" w:space="0" w:color="auto"/>
        <w:right w:val="none" w:sz="0" w:space="0" w:color="auto"/>
      </w:divBdr>
    </w:div>
    <w:div w:id="1866095109">
      <w:bodyDiv w:val="1"/>
      <w:marLeft w:val="0"/>
      <w:marRight w:val="0"/>
      <w:marTop w:val="0"/>
      <w:marBottom w:val="0"/>
      <w:divBdr>
        <w:top w:val="none" w:sz="0" w:space="0" w:color="auto"/>
        <w:left w:val="none" w:sz="0" w:space="0" w:color="auto"/>
        <w:bottom w:val="none" w:sz="0" w:space="0" w:color="auto"/>
        <w:right w:val="none" w:sz="0" w:space="0" w:color="auto"/>
      </w:divBdr>
    </w:div>
    <w:div w:id="1891648213">
      <w:bodyDiv w:val="1"/>
      <w:marLeft w:val="0"/>
      <w:marRight w:val="0"/>
      <w:marTop w:val="0"/>
      <w:marBottom w:val="0"/>
      <w:divBdr>
        <w:top w:val="none" w:sz="0" w:space="0" w:color="auto"/>
        <w:left w:val="none" w:sz="0" w:space="0" w:color="auto"/>
        <w:bottom w:val="none" w:sz="0" w:space="0" w:color="auto"/>
        <w:right w:val="none" w:sz="0" w:space="0" w:color="auto"/>
      </w:divBdr>
    </w:div>
    <w:div w:id="1931575157">
      <w:bodyDiv w:val="1"/>
      <w:marLeft w:val="0"/>
      <w:marRight w:val="0"/>
      <w:marTop w:val="0"/>
      <w:marBottom w:val="0"/>
      <w:divBdr>
        <w:top w:val="none" w:sz="0" w:space="0" w:color="auto"/>
        <w:left w:val="none" w:sz="0" w:space="0" w:color="auto"/>
        <w:bottom w:val="none" w:sz="0" w:space="0" w:color="auto"/>
        <w:right w:val="none" w:sz="0" w:space="0" w:color="auto"/>
      </w:divBdr>
    </w:div>
    <w:div w:id="1932935581">
      <w:bodyDiv w:val="1"/>
      <w:marLeft w:val="0"/>
      <w:marRight w:val="0"/>
      <w:marTop w:val="0"/>
      <w:marBottom w:val="0"/>
      <w:divBdr>
        <w:top w:val="none" w:sz="0" w:space="0" w:color="auto"/>
        <w:left w:val="none" w:sz="0" w:space="0" w:color="auto"/>
        <w:bottom w:val="none" w:sz="0" w:space="0" w:color="auto"/>
        <w:right w:val="none" w:sz="0" w:space="0" w:color="auto"/>
      </w:divBdr>
    </w:div>
    <w:div w:id="1974165705">
      <w:bodyDiv w:val="1"/>
      <w:marLeft w:val="0"/>
      <w:marRight w:val="0"/>
      <w:marTop w:val="0"/>
      <w:marBottom w:val="0"/>
      <w:divBdr>
        <w:top w:val="none" w:sz="0" w:space="0" w:color="auto"/>
        <w:left w:val="none" w:sz="0" w:space="0" w:color="auto"/>
        <w:bottom w:val="none" w:sz="0" w:space="0" w:color="auto"/>
        <w:right w:val="none" w:sz="0" w:space="0" w:color="auto"/>
      </w:divBdr>
    </w:div>
    <w:div w:id="2023193761">
      <w:bodyDiv w:val="1"/>
      <w:marLeft w:val="0"/>
      <w:marRight w:val="0"/>
      <w:marTop w:val="0"/>
      <w:marBottom w:val="0"/>
      <w:divBdr>
        <w:top w:val="none" w:sz="0" w:space="0" w:color="auto"/>
        <w:left w:val="none" w:sz="0" w:space="0" w:color="auto"/>
        <w:bottom w:val="none" w:sz="0" w:space="0" w:color="auto"/>
        <w:right w:val="none" w:sz="0" w:space="0" w:color="auto"/>
      </w:divBdr>
    </w:div>
    <w:div w:id="2141267520">
      <w:bodyDiv w:val="1"/>
      <w:marLeft w:val="0"/>
      <w:marRight w:val="0"/>
      <w:marTop w:val="0"/>
      <w:marBottom w:val="0"/>
      <w:divBdr>
        <w:top w:val="none" w:sz="0" w:space="0" w:color="auto"/>
        <w:left w:val="none" w:sz="0" w:space="0" w:color="auto"/>
        <w:bottom w:val="none" w:sz="0" w:space="0" w:color="auto"/>
        <w:right w:val="none" w:sz="0" w:space="0" w:color="auto"/>
      </w:divBdr>
      <w:divsChild>
        <w:div w:id="1162432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05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cch.net/fr/instruments/conventions/full-text/?cid=69" TargetMode="External"/><Relationship Id="rId18" Type="http://schemas.openxmlformats.org/officeDocument/2006/relationships/hyperlink" Target="https://www.hcch.net/fr/publications-and-studies/details4/?pid=6455&amp;dtid=33"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hcch.net/fr/publications-and-studies/details4/?pid=8530&amp;dtid=3" TargetMode="External"/><Relationship Id="rId17" Type="http://schemas.openxmlformats.org/officeDocument/2006/relationships/hyperlink" Target="https://www.hcch.net/fr/publications-and-studies/details4/?pid=6221&amp;dtid=4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hchr.org/fr/instruments-mechanisms/instruments/optional-protocol-convention-rights-child-sale-children-chil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hchr.org/fr/instruments-mechanisms/instruments/convention-rights-child"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hcch.net/fr/publications-and-studies/details4/?pid=6455&amp;dtid=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cch.net/fr/publications-and-studies/details4/?pid=8530&amp;dtid=3"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17" Type="http://schemas.openxmlformats.org/officeDocument/2006/relationships/hyperlink" Target="https://www.commissioneadozioni.it/media/igcou2ud/nuove-linee-guida-2021.pdf" TargetMode="External"/><Relationship Id="rId21" Type="http://schemas.openxmlformats.org/officeDocument/2006/relationships/hyperlink" Target="https://www.ft.dk/samling/20231/almdel/SOU/bilag/97/2815458.pdf" TargetMode="External"/><Relationship Id="rId42" Type="http://schemas.openxmlformats.org/officeDocument/2006/relationships/hyperlink" Target="https://www.regulations.gov/document/USCIS-2007-0008-0056" TargetMode="External"/><Relationship Id="rId63" Type="http://schemas.openxmlformats.org/officeDocument/2006/relationships/hyperlink" Target="https://www.icbf.gov.co/sites/default/files/codigoinfancialey1098.pdf" TargetMode="External"/><Relationship Id="rId84" Type="http://schemas.openxmlformats.org/officeDocument/2006/relationships/hyperlink" Target="https://www.cicig.org/history/index.php?mact=News,cntnt01,detail,0&amp;cntnt01articleid=382&amp;cntnt01returnid=949)" TargetMode="External"/><Relationship Id="rId138" Type="http://schemas.openxmlformats.org/officeDocument/2006/relationships/hyperlink" Target="https://indianexpress.com/article/india/india-others/adoption-agency-at-it-again-now-charges-donations/" TargetMode="External"/><Relationship Id="rId159" Type="http://schemas.openxmlformats.org/officeDocument/2006/relationships/hyperlink" Target="https://www.ohchr.org/sites/default/files/documents/hrbodies/crc/discussions/2021/2022-10-04/13Jun2022-DGD-Outcome-report-and-Recommendations_FR.pdf" TargetMode="External"/><Relationship Id="rId107" Type="http://schemas.openxmlformats.org/officeDocument/2006/relationships/hyperlink" Target="https://www.icaa-cambodia.gov.kh/2017/03/27/fees/" TargetMode="External"/><Relationship Id="rId11" Type="http://schemas.openxmlformats.org/officeDocument/2006/relationships/hyperlink" Target="https://www.bj.admin.ch/dam/bj/it/data/gesellschaft/gesetzgebung/illegale-adoptionen/res-schlussber-expertengruppe-f.pdf.download.pdf/res-schlussber-expertengruppe-f.pdf" TargetMode="External"/><Relationship Id="rId32" Type="http://schemas.openxmlformats.org/officeDocument/2006/relationships/hyperlink" Target="https://www.iss-usa.org/wp-content/uploads/2023/01/Grey-zones-study.pdf" TargetMode="External"/><Relationship Id="rId53" Type="http://schemas.openxmlformats.org/officeDocument/2006/relationships/hyperlink" Target="https://www.franceinfo.fr/sante/biologie-genetique/tests-genetiques/enquete-adoptions-le-business-lucratif-de-la-recherche-des-origines_5904800.html" TargetMode="External"/><Relationship Id="rId74" Type="http://schemas.openxmlformats.org/officeDocument/2006/relationships/hyperlink" Target="https://nacc.gov.ph/RESOURCES/Republic-Act-8043.pdf?_t=1626839249" TargetMode="External"/><Relationship Id="rId128" Type="http://schemas.openxmlformats.org/officeDocument/2006/relationships/hyperlink" Target="https://www.bj.admin.ch/bj/fr/home/gesellschaft/adoption/gebuehren.html" TargetMode="External"/><Relationship Id="rId149" Type="http://schemas.openxmlformats.org/officeDocument/2006/relationships/hyperlink" Target="https://www.icbf.gov.co/programa-adopciones" TargetMode="External"/><Relationship Id="rId5" Type="http://schemas.openxmlformats.org/officeDocument/2006/relationships/hyperlink" Target="https://www.hcch.net/fr/publications-and-studies/details4/?pid=5504" TargetMode="External"/><Relationship Id="rId95" Type="http://schemas.openxmlformats.org/officeDocument/2006/relationships/hyperlink" Target="https://www.lawnet.gov.lk/wp-content/uploads/Law%20Site/4-stats_1956_2006/set6/2006Y0V0C16A.html" TargetMode="External"/><Relationship Id="rId160" Type="http://schemas.openxmlformats.org/officeDocument/2006/relationships/hyperlink" Target="https://www.unicef.org/lac/media/19666/file/beyond-institutional-care.pdf" TargetMode="External"/><Relationship Id="rId22" Type="http://schemas.openxmlformats.org/officeDocument/2006/relationships/hyperlink" Target="https://cms.bufdir.no/siteassets/rapporter/utredning-adopsjon-bufdir-16.01.24.pdf" TargetMode="External"/><Relationship Id="rId43" Type="http://schemas.openxmlformats.org/officeDocument/2006/relationships/hyperlink" Target="https://view.officeapps.live.com/op/view.aspx?src=http%3A%2F%2Fportal.euradopt.org%2Fimages%2Fhague-doc-en.doc&amp;wdOrigin=BROWSELINK" TargetMode="External"/><Relationship Id="rId64" Type="http://schemas.openxmlformats.org/officeDocument/2006/relationships/hyperlink" Target="https://cara.wcd.gov.in/PDF/adoption%20regulations%202022%20english_27.pdf" TargetMode="External"/><Relationship Id="rId118" Type="http://schemas.openxmlformats.org/officeDocument/2006/relationships/hyperlink" Target="https://www.fedlex.admin.ch/eli/cc/2011/505/fr" TargetMode="External"/><Relationship Id="rId139" Type="http://schemas.openxmlformats.org/officeDocument/2006/relationships/hyperlink" Target="https://www.legisquebec.gouv.qc.ca/fr/document/rc/p-34.1,%20r.%203" TargetMode="External"/><Relationship Id="rId85" Type="http://schemas.openxmlformats.org/officeDocument/2006/relationships/hyperlink" Target="https://tbinternet.ohchr.org/_layouts/15/treatybodyexternal/Download.aspx?symbolno=CRC%2FC%2FMDG%2F3-4&amp;Lang=en" TargetMode="External"/><Relationship Id="rId150" Type="http://schemas.openxmlformats.org/officeDocument/2006/relationships/hyperlink" Target="https://www.hcch.net/fr/publications-and-studies/details4/?pid=6455&amp;dtid=33" TargetMode="External"/><Relationship Id="rId12" Type="http://schemas.openxmlformats.org/officeDocument/2006/relationships/hyperlink" Target="https://docs.un.org/fr/A/HRC/34/55" TargetMode="External"/><Relationship Id="rId17" Type="http://schemas.openxmlformats.org/officeDocument/2006/relationships/hyperlink" Target="https://africanchildforum.org/resourcecentre/publications/ladoption-internationale-du-point-de-vue-africain/" TargetMode="External"/><Relationship Id="rId33" Type="http://schemas.openxmlformats.org/officeDocument/2006/relationships/hyperlink" Target="https://www.iss-ssi.org/wp-content/uploads/2023/04/Illegal_Adoption_ISS_Professional_Handbook_FR.pdf" TargetMode="External"/><Relationship Id="rId38" Type="http://schemas.openxmlformats.org/officeDocument/2006/relationships/hyperlink" Target="https://digitallibrary.un.org/record/673583?ln=en&amp;v=pdf" TargetMode="External"/><Relationship Id="rId59" Type="http://schemas.openxmlformats.org/officeDocument/2006/relationships/hyperlink" Target="https://www.bclaws.gov.bc.ca/civix/document/id/complete/statreg/293_96" TargetMode="External"/><Relationship Id="rId103" Type="http://schemas.openxmlformats.org/officeDocument/2006/relationships/hyperlink" Target="https://www.adoptions.bg/wp-content/uploads/2023/02/TABLE-I-cost-paid-in-Bulgaria.pdf" TargetMode="External"/><Relationship Id="rId108" Type="http://schemas.openxmlformats.org/officeDocument/2006/relationships/hyperlink" Target="https://www.diplomatie.gouv.fr/fr/services-aux-francaises-et-aux-francais/adoption-a-l-etranger/role-des-acteurs-de-l-adoption-internationale/les-operateurs-de-l-adoption-internationale/organismes-autorises-pour-l-adoption-oaa/ayuda" TargetMode="External"/><Relationship Id="rId124" Type="http://schemas.openxmlformats.org/officeDocument/2006/relationships/hyperlink" Target="https://www.commissioneadozioni.it/per-una-famiglia-adottiva/portale-adozione-trasparente/" TargetMode="External"/><Relationship Id="rId129" Type="http://schemas.openxmlformats.org/officeDocument/2006/relationships/hyperlink" Target="https://www.icbf.gov.co/programa-adopciones" TargetMode="External"/><Relationship Id="rId54" Type="http://schemas.openxmlformats.org/officeDocument/2006/relationships/hyperlink" Target="https://app.box.com/s/1431254ed2748e6172ee/file/2376417510" TargetMode="External"/><Relationship Id="rId70" Type="http://schemas.openxmlformats.org/officeDocument/2006/relationships/hyperlink" Target="https://www.ecfr.gov/current/title-22/chapter-I/subchapter-J/part-96/subpart-F/subject-group-ECFR0376a9a78aa1eaa/section-96.37" TargetMode="External"/><Relationship Id="rId75" Type="http://schemas.openxmlformats.org/officeDocument/2006/relationships/hyperlink" Target="https://elaw.klri.re.kr/eng_service/lawView.do?hseq=63751&amp;lang=ENG" TargetMode="External"/><Relationship Id="rId91" Type="http://schemas.openxmlformats.org/officeDocument/2006/relationships/hyperlink" Target="https://www.commissioneadozioni.it/media/gnldml5a/title_ii_and_iii_law_no_184_of_4_may_1983_updated_2024.pdf" TargetMode="External"/><Relationship Id="rId96" Type="http://schemas.openxmlformats.org/officeDocument/2006/relationships/hyperlink" Target="https://www.irishstatutebook.ie/eli/2010/si/524/made/en/print" TargetMode="External"/><Relationship Id="rId140" Type="http://schemas.openxmlformats.org/officeDocument/2006/relationships/hyperlink" Target="https://nacc.gov.ph/RESOURCES/Republic-Act-8043.pdf?_t=1626839249" TargetMode="External"/><Relationship Id="rId145" Type="http://schemas.openxmlformats.org/officeDocument/2006/relationships/hyperlink" Target="https://www.nacc.gov.ph/resources/" TargetMode="External"/><Relationship Id="rId161" Type="http://schemas.openxmlformats.org/officeDocument/2006/relationships/hyperlink" Target="https://www.unicef.org/bulgaria/en/media/3161/file/BGR-ending-institutionalization-family-en.pdf.pdf" TargetMode="External"/><Relationship Id="rId166" Type="http://schemas.openxmlformats.org/officeDocument/2006/relationships/hyperlink" Target="https://www.legifrance.gouv.fr/codes/section_lc/LEGITEXT000006074069/LEGISCTA000006196003/%23LEGISCTA000047971725" TargetMode="External"/><Relationship Id="rId1" Type="http://schemas.openxmlformats.org/officeDocument/2006/relationships/hyperlink" Target="http://www.hcch.net" TargetMode="External"/><Relationship Id="rId6" Type="http://schemas.openxmlformats.org/officeDocument/2006/relationships/hyperlink" Target="https://www.hcch.net/fr/publications-and-studies/details4/?pid=2279" TargetMode="External"/><Relationship Id="rId23" Type="http://schemas.openxmlformats.org/officeDocument/2006/relationships/hyperlink" Target="https://files.nettsteder.regjeringen.no/wpuploads01/sites/558/2025/01/Delrapport-om-Ecuador-og-Colombia-22.01.2025.pdf" TargetMode="External"/><Relationship Id="rId28" Type="http://schemas.openxmlformats.org/officeDocument/2006/relationships/hyperlink" Target="https://repub.eur.nl/pub/77403" TargetMode="External"/><Relationship Id="rId49" Type="http://schemas.openxmlformats.org/officeDocument/2006/relationships/hyperlink" Target="https://resourcecentre.savethechildren.net/pdf/5173_0.pdf" TargetMode="External"/><Relationship Id="rId114" Type="http://schemas.openxmlformats.org/officeDocument/2006/relationships/hyperlink" Target="https://www.commissioneadozioni.it/media/dyhjblu0/dpr-108-2007-regulation-reorganising-cai.pdf?atto.dataPubblicazioneGazzetta=2007-07-25&amp;atto.codiceRedazionale=007G0122&amp;elenco30giorni=false" TargetMode="External"/><Relationship Id="rId119" Type="http://schemas.openxmlformats.org/officeDocument/2006/relationships/hyperlink" Target="https://www.legifrance.gouv.fr/jorf/article_jo/JORFARTI000028909843" TargetMode="External"/><Relationship Id="rId44" Type="http://schemas.openxmlformats.org/officeDocument/2006/relationships/hyperlink" Target="https://www.cna.gob.gt/Documentos/Ley_de_Adopciones.pdf" TargetMode="External"/><Relationship Id="rId60" Type="http://schemas.openxmlformats.org/officeDocument/2006/relationships/hyperlink" Target="https://web2.gov.mb.ca/laws/statutes/ccsm/a002.php" TargetMode="External"/><Relationship Id="rId65" Type="http://schemas.openxmlformats.org/officeDocument/2006/relationships/hyperlink" Target="https://congbao.chinhphu.vn/van-ban/luat-so-52-2010-qh12-2961.htm" TargetMode="External"/><Relationship Id="rId81" Type="http://schemas.openxmlformats.org/officeDocument/2006/relationships/hyperlink" Target="https://congbao.chinhphu.vn/van-ban/luat-so-52-2010-qh12-2961.htm" TargetMode="External"/><Relationship Id="rId86" Type="http://schemas.openxmlformats.org/officeDocument/2006/relationships/hyperlink" Target="https://assets.hcch.net/docs/8fe5d2ce-020d-4d54-ab97-d99460c76dc2.pdf" TargetMode="External"/><Relationship Id="rId130" Type="http://schemas.openxmlformats.org/officeDocument/2006/relationships/hyperlink" Target="https://opa.gob.sv/preguntas-frecuentes" TargetMode="External"/><Relationship Id="rId135" Type="http://schemas.openxmlformats.org/officeDocument/2006/relationships/hyperlink" Target="https://www.nacc.gov.ph/faq/" TargetMode="External"/><Relationship Id="rId151" Type="http://schemas.openxmlformats.org/officeDocument/2006/relationships/hyperlink" Target="https://www.icbf.gov.co/programa-adopciones" TargetMode="External"/><Relationship Id="rId156" Type="http://schemas.openxmlformats.org/officeDocument/2006/relationships/hyperlink" Target="https://www.legifrance.gouv.fr/codes/article_lc/LEGIARTI000047971653" TargetMode="External"/><Relationship Id="rId13" Type="http://schemas.openxmlformats.org/officeDocument/2006/relationships/hyperlink" Target="https://assets.hcch.net/upload/2012discpaper33fr.pdf" TargetMode="External"/><Relationship Id="rId18" Type="http://schemas.openxmlformats.org/officeDocument/2006/relationships/hyperlink" Target="https://treaties.un.org/doc/Treaties/2000/05/20000525%2003-16%20AM/Ch_IV_11_cp.pdf" TargetMode="External"/><Relationship Id="rId39" Type="http://schemas.openxmlformats.org/officeDocument/2006/relationships/hyperlink" Target="https://www.boe.es/buscar/act.php?id=BOE-A-2023-15553" TargetMode="External"/><Relationship Id="rId109" Type="http://schemas.openxmlformats.org/officeDocument/2006/relationships/hyperlink" Target="https://adopsjonsforum.no/kostnader" TargetMode="External"/><Relationship Id="rId34" Type="http://schemas.openxmlformats.org/officeDocument/2006/relationships/hyperlink" Target="https://www.pbs.org/independentlens/documentaries/one-child-nation/" TargetMode="External"/><Relationship Id="rId50" Type="http://schemas.openxmlformats.org/officeDocument/2006/relationships/hyperlink" Target="https://www.congress.gov/bill/112th-congress/senate-bill/3331/text" TargetMode="External"/><Relationship Id="rId55" Type="http://schemas.openxmlformats.org/officeDocument/2006/relationships/hyperlink" Target="https://assets.hcch.net/docs/7b91aa3c-a005-4703-bce0-3427101eb896.pdf" TargetMode="External"/><Relationship Id="rId76" Type="http://schemas.openxmlformats.org/officeDocument/2006/relationships/hyperlink" Target="https://pers.opgroeien.be/drie-herkomstlanden-krijgen-groen-licht-voor-verdere-adoptiesamenwerking-na-uitgebreide-screening-2s436t" TargetMode="External"/><Relationship Id="rId97" Type="http://schemas.openxmlformats.org/officeDocument/2006/relationships/hyperlink" Target="https://www.legisquebec.gouv.qc.ca/fr/document/lc/c-25.01" TargetMode="External"/><Relationship Id="rId104" Type="http://schemas.openxmlformats.org/officeDocument/2006/relationships/hyperlink" Target="https://www.sunforkids.org/images/Tables_on_the_costs_Sunshine.pdf" TargetMode="External"/><Relationship Id="rId120" Type="http://schemas.openxmlformats.org/officeDocument/2006/relationships/hyperlink" Target="https://www.intercountryadoption.gov.au/countries-and-considerations/countries/" TargetMode="External"/><Relationship Id="rId125" Type="http://schemas.openxmlformats.org/officeDocument/2006/relationships/hyperlink" Target="https://www.nacc.gov.ph/fees-charges-and-assessment/" TargetMode="External"/><Relationship Id="rId141" Type="http://schemas.openxmlformats.org/officeDocument/2006/relationships/hyperlink" Target="https://www.nacc.gov.ph/fees-charges-and-assessment/" TargetMode="External"/><Relationship Id="rId146" Type="http://schemas.openxmlformats.org/officeDocument/2006/relationships/hyperlink" Target="https://assets.hcch.net/upload/afrsem2010concl_f.pdf" TargetMode="External"/><Relationship Id="rId167" Type="http://schemas.openxmlformats.org/officeDocument/2006/relationships/hyperlink" Target="https://www.mfof.se/download/18.7c267bb719379bee57678bd/1654235125635/Internationell%20adoption%20-%20Handbok%20f%C3%B6r%20socialtj%C3%A4nsten_20220603.pdf" TargetMode="External"/><Relationship Id="rId7" Type="http://schemas.openxmlformats.org/officeDocument/2006/relationships/hyperlink" Target="https://www.opgroeien.be/sites/default/files/documenten/expertenpanel-interlandelijke-adoptie-eindrapport-met-aanbevelingen.pdf" TargetMode="External"/><Relationship Id="rId71" Type="http://schemas.openxmlformats.org/officeDocument/2006/relationships/hyperlink" Target="https://www.legifrance.gouv.fr/jorf/id/JORFTEXT000028909839" TargetMode="External"/><Relationship Id="rId92" Type="http://schemas.openxmlformats.org/officeDocument/2006/relationships/hyperlink" Target="https://www.gacetaoficial.gob.pa/pdfTemp/27332_A/42156.pdf" TargetMode="External"/><Relationship Id="rId162" Type="http://schemas.openxmlformats.org/officeDocument/2006/relationships/hyperlink" Target="https://www.ohchr.org/sites/default/files/documents/hrbodies/crc/discussions/2021/2022-10-04/13Jun2022-DGD-Outcome-report-and-Recommendations_FR.pdf" TargetMode="External"/><Relationship Id="rId2" Type="http://schemas.openxmlformats.org/officeDocument/2006/relationships/hyperlink" Target="https://www.hcch.net/fr/publications-and-studies/details4/?pid=4388" TargetMode="External"/><Relationship Id="rId29" Type="http://schemas.openxmlformats.org/officeDocument/2006/relationships/hyperlink" Target="http://www.skpcambodia.com/storage/uploads/files/Adoption/Inter-country%20Adoption%20Law-2009-Eng.pdf" TargetMode="External"/><Relationship Id="rId24" Type="http://schemas.openxmlformats.org/officeDocument/2006/relationships/hyperlink" Target="https://assets.hcch.net/docs/be4d3e9b-2907-4970-80db-599feaf2f60b.pdf" TargetMode="External"/><Relationship Id="rId40" Type="http://schemas.openxmlformats.org/officeDocument/2006/relationships/hyperlink" Target="https://www.senat.fr/rap/l04-398/l04-398_mono.html" TargetMode="External"/><Relationship Id="rId45" Type="http://schemas.openxmlformats.org/officeDocument/2006/relationships/hyperlink" Target="https://senniaf.gob.pa/wp-content/uploads/2018/04/La-Ley-46-del-17-de-julio-de-2013-Que-dicta-la-Ley-General-de-adopciones-y-otras-disposiciones.pdf" TargetMode="External"/><Relationship Id="rId66" Type="http://schemas.openxmlformats.org/officeDocument/2006/relationships/hyperlink" Target="https://congbao.chinhphu.vn/van-ban/nghi-dinh-so-19-2011-nd-cp-4925.htm" TargetMode="External"/><Relationship Id="rId87" Type="http://schemas.openxmlformats.org/officeDocument/2006/relationships/hyperlink" Target="https://www.legislation.wa.gov.au/legislation/prod/filestore.nsf/FileURL/mrdoc_48294.pdf/$FILE/Adoption%20Act%201994%20-%20%5B05-i0-00%5D.pdf?OpenElement" TargetMode="External"/><Relationship Id="rId110" Type="http://schemas.openxmlformats.org/officeDocument/2006/relationships/hyperlink" Target="https://www.nacc.gov.ph/fees-charges-and-assessment/" TargetMode="External"/><Relationship Id="rId115" Type="http://schemas.openxmlformats.org/officeDocument/2006/relationships/hyperlink" Target="https://adoption.state.gov/content/travel/en/Intercountry-Adoption.html" TargetMode="External"/><Relationship Id="rId131" Type="http://schemas.openxmlformats.org/officeDocument/2006/relationships/hyperlink" Target="https://web2.gov.mb.ca/laws/regs/current/020-99.php?lang=fr&amp;utm=" TargetMode="External"/><Relationship Id="rId136" Type="http://schemas.openxmlformats.org/officeDocument/2006/relationships/hyperlink" Target="https://www.normattiva.it/uri-res/N2Ls?urn:nir:presidente.repubblica:decreto:1972-10-26;633" TargetMode="External"/><Relationship Id="rId157" Type="http://schemas.openxmlformats.org/officeDocument/2006/relationships/hyperlink" Target="https://www.gov.br/participamaisbrasil/fnca" TargetMode="External"/><Relationship Id="rId61" Type="http://schemas.openxmlformats.org/officeDocument/2006/relationships/hyperlink" Target="https://www.canlii.org/en/mb/laws/regu/man-reg-19-99/latest/attachment/99.pdf" TargetMode="External"/><Relationship Id="rId82" Type="http://schemas.openxmlformats.org/officeDocument/2006/relationships/hyperlink" Target="https://assets.hcch.net/upload/wop/adop2010id02f.pdf" TargetMode="External"/><Relationship Id="rId152" Type="http://schemas.openxmlformats.org/officeDocument/2006/relationships/hyperlink" Target="https://adoption.cfwb.be/procedures-dadoption/adopter-un-enfant-inconnu-en-belgique-ou-a-letranger-adoption-extrafamiliale/cout-de-la-procedure/" TargetMode="External"/><Relationship Id="rId19" Type="http://schemas.openxmlformats.org/officeDocument/2006/relationships/hyperlink" Target="https://view.officeapps.live.com/op/view.aspx?src=http%3A%2F%2Fportal.euradopt.org%2Fimages%2Fhague-doc-en.doc&amp;wdOrigin=BROWSELINK" TargetMode="External"/><Relationship Id="rId14" Type="http://schemas.openxmlformats.org/officeDocument/2006/relationships/hyperlink" Target="https://www.hcch.net/fr/publications-and-studies/details4/?pid=8530&amp;dtid=3" TargetMode="External"/><Relationship Id="rId30" Type="http://schemas.openxmlformats.org/officeDocument/2006/relationships/hyperlink" Target="https://guatemala.justia.com/nacionales/decretos/decreto-no-77-2007-dec-11-2007/gdoc/" TargetMode="External"/><Relationship Id="rId35" Type="http://schemas.openxmlformats.org/officeDocument/2006/relationships/hyperlink" Target="https://view.officeapps.live.com/op/view.aspx?src=http%3A%2F%2Fportal.euradopt.org%2Fimages%2Fhague-doc-en.doc&amp;wdOrigin=BROWSELINK" TargetMode="External"/><Relationship Id="rId56" Type="http://schemas.openxmlformats.org/officeDocument/2006/relationships/hyperlink" Target="https://content.legislation.vic.gov.au/sites/default/files/cae0eca2-e1fe-3fd8-8629-b8ebf15e0f80_84-10150aa071%20authorised.pdf" TargetMode="External"/><Relationship Id="rId77" Type="http://schemas.openxmlformats.org/officeDocument/2006/relationships/hyperlink" Target="https://www.opgroeien.be/over-opgroeien/nieuws-en-pers/resultaten-tweede-screeningsronde-van-herkomstlanden-voor-adoptie" TargetMode="External"/><Relationship Id="rId100" Type="http://schemas.openxmlformats.org/officeDocument/2006/relationships/hyperlink" Target="https://www.hcch.net/fr/publications-and-studies/details4/?pid=6455&amp;dtid=33" TargetMode="External"/><Relationship Id="rId105" Type="http://schemas.openxmlformats.org/officeDocument/2006/relationships/hyperlink" Target="https://www.fedlex.admin.ch/eli/cc/2011/505/fr" TargetMode="External"/><Relationship Id="rId126" Type="http://schemas.openxmlformats.org/officeDocument/2006/relationships/hyperlink" Target="https://www.mygov.scot/adopting-a-child/adopt-from-abroad" TargetMode="External"/><Relationship Id="rId147" Type="http://schemas.openxmlformats.org/officeDocument/2006/relationships/hyperlink" Target="https://www.hcch.net/fr/publications-and-studies/details4/?pid=6455&amp;dtid=33" TargetMode="External"/><Relationship Id="rId8" Type="http://schemas.openxmlformats.org/officeDocument/2006/relationships/hyperlink" Target="https://www.justice.gouv.fr/sites/default/files/2024-11/rapport_pratiques_illicites_adoption_internationale_France.pdf" TargetMode="External"/><Relationship Id="rId51" Type="http://schemas.openxmlformats.org/officeDocument/2006/relationships/hyperlink" Target="https://assembly.coe.int/nw/xml/XRef/Xref-XML2HTML-en.asp?fileid=16775&amp;lang=fr" TargetMode="External"/><Relationship Id="rId72" Type="http://schemas.openxmlformats.org/officeDocument/2006/relationships/hyperlink" Target="https://www.commissioneadozioni.it/media/gnldml5a/title_ii_and_iii_law_no_184_of_4_may_1983_updated_2024.pdf" TargetMode="External"/><Relationship Id="rId93" Type="http://schemas.openxmlformats.org/officeDocument/2006/relationships/hyperlink" Target="https://e-seimas.lrs.lt/portal/legalAct/lt/TAD/28b18041843311e89188e16a6495e98c?jfwid=199cfecws9" TargetMode="External"/><Relationship Id="rId98" Type="http://schemas.openxmlformats.org/officeDocument/2006/relationships/hyperlink" Target="https://www.interpol.int./" TargetMode="External"/><Relationship Id="rId121" Type="http://schemas.openxmlformats.org/officeDocument/2006/relationships/hyperlink" Target="https://adoption.cfwb.be/procedures-dadoption/adopter-un-enfant-connu-a-letranger-adoption-intrafamiliale-internationale/cout-de-la-procedure/" TargetMode="External"/><Relationship Id="rId142" Type="http://schemas.openxmlformats.org/officeDocument/2006/relationships/hyperlink" Target="https://view.officeapps.live.com/op/view.aspx?src=http%3A%2F%2Fportal.euradopt.org%2Fimages%2Fhague-doc-en.doc&amp;wdOrigin=BROWSELINK" TargetMode="External"/><Relationship Id="rId163" Type="http://schemas.openxmlformats.org/officeDocument/2006/relationships/hyperlink" Target="https://iss-ssi.org/storage/2023/04/VIETNAM-FRA.pdf" TargetMode="External"/><Relationship Id="rId3" Type="http://schemas.openxmlformats.org/officeDocument/2006/relationships/hyperlink" Target="https://web.archive.org/web/20200810030413/http:/www.businessdictionary.com/definition/cost.html" TargetMode="External"/><Relationship Id="rId25" Type="http://schemas.openxmlformats.org/officeDocument/2006/relationships/hyperlink" Target="https://cdm21069.contentdm.oclc.org/digital/collection/ppl1/id/508384" TargetMode="External"/><Relationship Id="rId46" Type="http://schemas.openxmlformats.org/officeDocument/2006/relationships/hyperlink" Target="https://legislation.nsw.gov.au/view/html/inforce/2023-10-30/act-2000-075?query=VersionSeriesId%3D%229e33db02-8689-4125-a944-9afadd5e41bf%22+AND+VersionDescId%3D%221718b508-b034-48bc-8708-c2a367b71cd2%22+AND+PrintType%3D%22act.reprint%22+AND+(VersionDescId%3D%221718b508-b034-48bc-8708-c2a367b71cd2%22+AND+VersionSeriesId%3D%229e33db02-8689-4125-a944-9afadd5e41bf%22+AND+PrintType%3D%22act.reprint%22+AND+Content%3D(%22adoption+arrangements%22))&amp;dQuery=Document+Types%3D%22%3Cspan+class%3D%27dq-highlight%27%3EActs%3C%2Fspan%3E%2C+%3Cspan+class%3D%27dq-highlight%27%3ERegulations%3C%2Fspan%3E%2C+%3Cspan+class%3D%27dq-highlight%27%3EEPIs%3C%2Fspan%3E%22%2C+Search+In%3D%22%3Cspan+class%3D%27dq-highlight%27%3EAll+Content%3C%2Fspan%3E%22%2C+Exact+Phrase%3D%22%3Cspan+class%3D%27dq-highlight%27%3Eadoption+arrangements%3C%2Fspan%3E%22%2C+Point+In+Time%3D%22%3Cspan+class%3D%27dq-highlight%27%3E30%2F10%2F2023%3C%2Fspan%3E%22" TargetMode="External"/><Relationship Id="rId67" Type="http://schemas.openxmlformats.org/officeDocument/2006/relationships/hyperlink" Target="https://congbao.chinhphu.vn/van-ban/nghi-dinh-so-114-2016-nd-cp-20467.htm" TargetMode="External"/><Relationship Id="rId116" Type="http://schemas.openxmlformats.org/officeDocument/2006/relationships/hyperlink" Target="https://www.commissioneadozioni.it/media/dr4flcxi/del-n-13_2008_sg.pdf" TargetMode="External"/><Relationship Id="rId137" Type="http://schemas.openxmlformats.org/officeDocument/2006/relationships/hyperlink" Target="https://research-china.weebly.com/adoption-from-china-is-a-politically-sensitive-issue.html" TargetMode="External"/><Relationship Id="rId158" Type="http://schemas.openxmlformats.org/officeDocument/2006/relationships/hyperlink" Target="https://deinstitutionalisationdotcom.wordpress.com/" TargetMode="External"/><Relationship Id="rId20" Type="http://schemas.openxmlformats.org/officeDocument/2006/relationships/hyperlink" Target="https://app.box.com/s/6allj6vzhf56mqkuf3dh1k3p9sldrha2" TargetMode="External"/><Relationship Id="rId41" Type="http://schemas.openxmlformats.org/officeDocument/2006/relationships/hyperlink" Target="https://assets.hcch.net/upload/wop/adop2010id01f.pdf" TargetMode="External"/><Relationship Id="rId62" Type="http://schemas.openxmlformats.org/officeDocument/2006/relationships/hyperlink" Target="https://www.ejustice.just.fgov.be/cgi/article.pl?language=fr&amp;sum_date=2025-10-02&amp;pd_search=2013-05-06&amp;numac_search=2013035398&amp;page=1&amp;lg_txt=F&amp;caller=list&amp;2013035398=0&amp;view_numac=&amp;numac=2013035398&amp;choix1=et&amp;choix2=et&amp;fr=f&amp;nl=n&amp;du=d&amp;trier=promulgation" TargetMode="External"/><Relationship Id="rId83" Type="http://schemas.openxmlformats.org/officeDocument/2006/relationships/hyperlink" Target="https://2009-2017.state.gov/r/pa/prs/ps/2010/08/145767.htm" TargetMode="External"/><Relationship Id="rId88" Type="http://schemas.openxmlformats.org/officeDocument/2006/relationships/hyperlink" Target="https://legilux.public.lu/eli/etat/leg/code/penal/20250804" TargetMode="External"/><Relationship Id="rId111" Type="http://schemas.openxmlformats.org/officeDocument/2006/relationships/hyperlink" Target="https://justice.sec.gouv.sn/wp-content/uploads/2022/04/GUIDE-DE-LADOPTION-INTERNATIONALE.pdf" TargetMode="External"/><Relationship Id="rId132" Type="http://schemas.openxmlformats.org/officeDocument/2006/relationships/hyperlink" Target="https://www.legisquebec.gouv.qc.ca/fr/document/rc/p-34.1,%20r.%203" TargetMode="External"/><Relationship Id="rId153" Type="http://schemas.openxmlformats.org/officeDocument/2006/relationships/hyperlink" Target="https://web2.gov.mb.ca/laws/regs/current/019-99.php" TargetMode="External"/><Relationship Id="rId15" Type="http://schemas.openxmlformats.org/officeDocument/2006/relationships/hyperlink" Target="https://www.iss-ssi.org/storage/2023/05/47.Aspect-materiel_eng-1.pdf" TargetMode="External"/><Relationship Id="rId36" Type="http://schemas.openxmlformats.org/officeDocument/2006/relationships/hyperlink" Target="https://democracyjournal.org/magazine/17/the-baby-business/" TargetMode="External"/><Relationship Id="rId57" Type="http://schemas.openxmlformats.org/officeDocument/2006/relationships/hyperlink" Target="https://content.legislation.vic.gov.au/sites/default/files/60c8d641-b8c4-3cf1-b77a-eb0d0ad8bcc4_05-130sr.pdf" TargetMode="External"/><Relationship Id="rId106" Type="http://schemas.openxmlformats.org/officeDocument/2006/relationships/hyperlink" Target="https://www.e-doc.admin.ch/dam/e-doc/fr/data/bj/adoption-zentralbehoerden/laenderinformationen/handbuch-vorgehen-bfa-f.pdf.download.pdf/handbuch-vorgehen-bfa-f.pdf" TargetMode="External"/><Relationship Id="rId127" Type="http://schemas.openxmlformats.org/officeDocument/2006/relationships/hyperlink" Target="https://www.bj.admin.ch/bj/fr/home/gesellschaft/adoption.html" TargetMode="External"/><Relationship Id="rId10" Type="http://schemas.openxmlformats.org/officeDocument/2006/relationships/hyperlink" Target="https://www.regeringen.se/contentassets/10be526020b543d0b8ad20b7b8c3ac52/sveriges-internationella-adoptionsverksamhet-sou-202561-vol-1.pdf" TargetMode="External"/><Relationship Id="rId31" Type="http://schemas.openxmlformats.org/officeDocument/2006/relationships/hyperlink" Target="https://ier.gov.ro/wp-content/uploads/legislatie/L273-2004EN_IER.pdf" TargetMode="External"/><Relationship Id="rId52" Type="http://schemas.openxmlformats.org/officeDocument/2006/relationships/hyperlink" Target="https://www.radiofrance.fr/franceinter/comment-des-enfants-adoptes-a-l-etranger-se-font-pieger-par-des-pseudo-detectives-8574268" TargetMode="External"/><Relationship Id="rId73" Type="http://schemas.openxmlformats.org/officeDocument/2006/relationships/hyperlink" Target="https://lawphil.net/statutes/repacts/ra2022/ra_11642_2022.html" TargetMode="External"/><Relationship Id="rId78" Type="http://schemas.openxmlformats.org/officeDocument/2006/relationships/hyperlink" Target="https://www.legisquebec.gouv.qc.ca/fr/document/cs/P-34.1" TargetMode="External"/><Relationship Id="rId94" Type="http://schemas.openxmlformats.org/officeDocument/2006/relationships/hyperlink" Target="https://www.fedlex.admin.ch/eli/cc/2002/639/fr" TargetMode="External"/><Relationship Id="rId99" Type="http://schemas.openxmlformats.org/officeDocument/2006/relationships/hyperlink" Target="https://www.agence-adoption.fr/wp-content/uploads/2013/12/CahierPsy_12_-_L_argent_dans_l_adoption_internationale.pdf" TargetMode="External"/><Relationship Id="rId101" Type="http://schemas.openxmlformats.org/officeDocument/2006/relationships/hyperlink" Target="https://dcj.nsw.gov.au/documents/children-and-families/adoption/Adoption_Fees_and_Costs_Fact_Sheet.pdf" TargetMode="External"/><Relationship Id="rId122" Type="http://schemas.openxmlformats.org/officeDocument/2006/relationships/hyperlink" Target="https://www.diplomatie.gouv.fr/fr/adopter-a-l-etranger/les-acteurs-de-l-adoption-internationale/les-operateurs-de-l-adoption-internationale/organismes-autorises-pour-l-adoption-oaa/" TargetMode="External"/><Relationship Id="rId143" Type="http://schemas.openxmlformats.org/officeDocument/2006/relationships/hyperlink" Target="https://travel.state.gov/content/dam/NEWadoptionassets/FY%202023%20Annual%20Report%20on%20Intercountry%20Adoption.pdf" TargetMode="External"/><Relationship Id="rId148" Type="http://schemas.openxmlformats.org/officeDocument/2006/relationships/hyperlink" Target="https://www.hcch.net/fr/publications-and-studies/details4/?pid=6455&amp;dtid=33" TargetMode="External"/><Relationship Id="rId164" Type="http://schemas.openxmlformats.org/officeDocument/2006/relationships/hyperlink" Target="https://www.commissioneadozioni.it/notizie/" TargetMode="External"/><Relationship Id="rId4" Type="http://schemas.openxmlformats.org/officeDocument/2006/relationships/hyperlink" Target="http://www.oxfordlearnersdictionaries.com" TargetMode="External"/><Relationship Id="rId9" Type="http://schemas.openxmlformats.org/officeDocument/2006/relationships/hyperlink" Target="https://open.overheid.nl/documenten/ronl-8cc003fa-eadc-4d7a-8b49-9ea6e661bb94/pdf" TargetMode="External"/><Relationship Id="rId26" Type="http://schemas.openxmlformats.org/officeDocument/2006/relationships/hyperlink" Target="https://defenceforchildren.nl/media/1945/the-sale-of-children-and-illegal-adoption.pdf" TargetMode="External"/><Relationship Id="rId47" Type="http://schemas.openxmlformats.org/officeDocument/2006/relationships/hyperlink" Target="https://www.legifrance.gouv.fr/jorf/id/JORFTEXT000045197698" TargetMode="External"/><Relationship Id="rId68" Type="http://schemas.openxmlformats.org/officeDocument/2006/relationships/hyperlink" Target="https://thuvienphapluat.vn/van-ban/EN/Tai-chinh-nha-nuoc/Circular-267-2016-TT-BTC-operating-licences-for-foreign-adoption-service-providers-in-Vietnam/566368/tieng-anh.aspx" TargetMode="External"/><Relationship Id="rId89" Type="http://schemas.openxmlformats.org/officeDocument/2006/relationships/hyperlink" Target="https://www.congress.gov/bill/106th-congress/house-bill/2909/text" TargetMode="External"/><Relationship Id="rId112" Type="http://schemas.openxmlformats.org/officeDocument/2006/relationships/hyperlink" Target="https://www.bj.admin.ch/bj/fr/home/gesellschaft/adoption/gebuehren.html" TargetMode="External"/><Relationship Id="rId133" Type="http://schemas.openxmlformats.org/officeDocument/2006/relationships/hyperlink" Target="https://www.legifrance.gouv.fr/codes/article_lc/LEGIARTI000047971653" TargetMode="External"/><Relationship Id="rId154" Type="http://schemas.openxmlformats.org/officeDocument/2006/relationships/hyperlink" Target="https://iss-ssi.org/wp-content/uploads/2023/04/ISS_FinancialSupportGuide_FR.pdf" TargetMode="External"/><Relationship Id="rId16" Type="http://schemas.openxmlformats.org/officeDocument/2006/relationships/hyperlink" Target="https://rm.coe.int/adoption-and-children-a-human-rights-perspective-issue-paper-commissio/16806dac00" TargetMode="External"/><Relationship Id="rId37" Type="http://schemas.openxmlformats.org/officeDocument/2006/relationships/hyperlink" Target="https://bettercarenetwork.org/sites/default/files/Adopting%20Better%20Care%20-%20Improving%20Adoption%20Services%20Around%20the%20World.pdf" TargetMode="External"/><Relationship Id="rId58" Type="http://schemas.openxmlformats.org/officeDocument/2006/relationships/hyperlink" Target="https://www.bclaws.gov.bc.ca/civix/document/id/complete/statreg/96005_01" TargetMode="External"/><Relationship Id="rId79" Type="http://schemas.openxmlformats.org/officeDocument/2006/relationships/hyperlink" Target="https://www.legifrance.gouv.fr/jorf/id/JORFTEXT000045197698" TargetMode="External"/><Relationship Id="rId102" Type="http://schemas.openxmlformats.org/officeDocument/2006/relationships/hyperlink" Target="https://www.intercountryadoption.gov.au/countries-and-considerations/countries/" TargetMode="External"/><Relationship Id="rId123" Type="http://schemas.openxmlformats.org/officeDocument/2006/relationships/hyperlink" Target="https://www.commissioneadozioni.it/attori-istituzionali/enti-autorizzati/i-costi-delladozione/" TargetMode="External"/><Relationship Id="rId144" Type="http://schemas.openxmlformats.org/officeDocument/2006/relationships/hyperlink" Target="https://travel.state.gov/content/travel/en/News/Intercountry-Adoption-News/understanding-your-rights---reporting-concerns-and-complaints-in.html" TargetMode="External"/><Relationship Id="rId90" Type="http://schemas.openxmlformats.org/officeDocument/2006/relationships/hyperlink" Target="https://www.legisquebec.gouv.qc.ca/fr/document/lc/p-34.1" TargetMode="External"/><Relationship Id="rId165" Type="http://schemas.openxmlformats.org/officeDocument/2006/relationships/hyperlink" Target="https://lawphil.net/statutes/repacts/ra2009/ra_9523_2009.html" TargetMode="External"/><Relationship Id="rId27" Type="http://schemas.openxmlformats.org/officeDocument/2006/relationships/hyperlink" Target="https://iss-ssi.org/wp-content/uploads/2023/04/ISS_FinancialSupportGuide_FR.pdf" TargetMode="External"/><Relationship Id="rId48" Type="http://schemas.openxmlformats.org/officeDocument/2006/relationships/hyperlink" Target="https://www.regjeringen.no/en/dokumenter/ACT-OF-28-FEBRUARY-1986-NO-8-RELATING-TO/id443477/" TargetMode="External"/><Relationship Id="rId69" Type="http://schemas.openxmlformats.org/officeDocument/2006/relationships/hyperlink" Target="https://congbao.chinhphu.vn/van-ban/thong-tu-so-267-2016-tt-btc-22114.htm" TargetMode="External"/><Relationship Id="rId113" Type="http://schemas.openxmlformats.org/officeDocument/2006/relationships/hyperlink" Target="https://www.bclaws.gov.bc.ca/civix/document/id/complete/statreg/292_96" TargetMode="External"/><Relationship Id="rId134" Type="http://schemas.openxmlformats.org/officeDocument/2006/relationships/hyperlink" Target="https://www.nacc.gov.ph/fees-charges-and-assessment/" TargetMode="External"/><Relationship Id="rId80" Type="http://schemas.openxmlformats.org/officeDocument/2006/relationships/hyperlink" Target="https://www.commissioneadozioni.it/attori-istituzionali/enti-autorizzati/albo-degli-enti-autorizzati/" TargetMode="External"/><Relationship Id="rId155" Type="http://schemas.openxmlformats.org/officeDocument/2006/relationships/hyperlink" Target="https://www.legifrance.gouv.fr/jorf/id/JORFTEXT00004519769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3F1AEBCF945C7BB440E10792FD251"/>
        <w:category>
          <w:name w:val="General"/>
          <w:gallery w:val="placeholder"/>
        </w:category>
        <w:types>
          <w:type w:val="bbPlcHdr"/>
        </w:types>
        <w:behaviors>
          <w:behavior w:val="content"/>
        </w:behaviors>
        <w:guid w:val="{11CBB816-E409-4765-9EF9-6143726E9B23}"/>
      </w:docPartPr>
      <w:docPartBody>
        <w:p w:rsidR="004F0F54" w:rsidRPr="00734733" w:rsidRDefault="004F0F54">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9A3261" w:rsidRDefault="004F0F54" w:rsidP="004F0F54">
          <w:pPr>
            <w:pStyle w:val="66D3F1AEBCF945C7BB440E10792FD251"/>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769239FEEFAA4B178E225B13633C3396"/>
        <w:category>
          <w:name w:val="General"/>
          <w:gallery w:val="placeholder"/>
        </w:category>
        <w:types>
          <w:type w:val="bbPlcHdr"/>
        </w:types>
        <w:behaviors>
          <w:behavior w:val="content"/>
        </w:behaviors>
        <w:guid w:val="{FAAFE925-E790-4B6D-97CE-DE57BFC3BD50}"/>
      </w:docPartPr>
      <w:docPartBody>
        <w:p w:rsidR="009A3261" w:rsidRDefault="004F0F54" w:rsidP="004F0F54">
          <w:pPr>
            <w:pStyle w:val="769239FEEFAA4B178E225B13633C3396"/>
          </w:pPr>
          <w:r>
            <w:rPr>
              <w:rStyle w:val="PlaceholderText"/>
            </w:rPr>
            <w:t>Explain the objective of the document. Please be as clear and succinct as possible</w:t>
          </w:r>
          <w:r w:rsidRPr="001C7DEC">
            <w:rPr>
              <w:rStyle w:val="PlaceholderText"/>
            </w:rPr>
            <w:t>.</w:t>
          </w:r>
        </w:p>
      </w:docPartBody>
    </w:docPart>
    <w:docPart>
      <w:docPartPr>
        <w:name w:val="CFDDDB246B8B4E9EBE18F08609AD1EE0"/>
        <w:category>
          <w:name w:val="General"/>
          <w:gallery w:val="placeholder"/>
        </w:category>
        <w:types>
          <w:type w:val="bbPlcHdr"/>
        </w:types>
        <w:behaviors>
          <w:behavior w:val="content"/>
        </w:behaviors>
        <w:guid w:val="{1024D458-FBC8-4489-8766-58CA62B161A0}"/>
      </w:docPartPr>
      <w:docPartBody>
        <w:p w:rsidR="004F0F54" w:rsidRPr="00734733" w:rsidRDefault="004F0F54">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9A3261" w:rsidRDefault="004F0F54" w:rsidP="004F0F54">
          <w:pPr>
            <w:pStyle w:val="CFDDDB246B8B4E9EBE18F08609AD1EE0"/>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auto"/>
    <w:pitch w:val="variable"/>
    <w:sig w:usb0="A00002FF" w:usb1="5000205B"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SemiBold">
    <w:altName w:val="Trebuchet MS"/>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Pro">
    <w:charset w:val="00"/>
    <w:family w:val="swiss"/>
    <w:pitch w:val="variable"/>
    <w:sig w:usb0="80000287" w:usb1="00000043"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F54"/>
    <w:rsid w:val="0000432C"/>
    <w:rsid w:val="00012FDD"/>
    <w:rsid w:val="00014122"/>
    <w:rsid w:val="000220C4"/>
    <w:rsid w:val="0002645A"/>
    <w:rsid w:val="00033C1B"/>
    <w:rsid w:val="0003509F"/>
    <w:rsid w:val="00036B0B"/>
    <w:rsid w:val="000770A6"/>
    <w:rsid w:val="00077D13"/>
    <w:rsid w:val="00081A06"/>
    <w:rsid w:val="000840E8"/>
    <w:rsid w:val="00090497"/>
    <w:rsid w:val="00090E43"/>
    <w:rsid w:val="00094874"/>
    <w:rsid w:val="000952D2"/>
    <w:rsid w:val="00095CF2"/>
    <w:rsid w:val="000A50FE"/>
    <w:rsid w:val="000B2854"/>
    <w:rsid w:val="000B3D0C"/>
    <w:rsid w:val="000B7498"/>
    <w:rsid w:val="000C47C3"/>
    <w:rsid w:val="000D41D4"/>
    <w:rsid w:val="000D5CF2"/>
    <w:rsid w:val="000D6069"/>
    <w:rsid w:val="000D69B4"/>
    <w:rsid w:val="001010CD"/>
    <w:rsid w:val="0010409A"/>
    <w:rsid w:val="00115D91"/>
    <w:rsid w:val="00122D57"/>
    <w:rsid w:val="00123016"/>
    <w:rsid w:val="001235C6"/>
    <w:rsid w:val="00130D3E"/>
    <w:rsid w:val="0013146D"/>
    <w:rsid w:val="0013512E"/>
    <w:rsid w:val="00147049"/>
    <w:rsid w:val="00147FA1"/>
    <w:rsid w:val="00154C82"/>
    <w:rsid w:val="00163580"/>
    <w:rsid w:val="00165044"/>
    <w:rsid w:val="00172995"/>
    <w:rsid w:val="00176CD9"/>
    <w:rsid w:val="001803A9"/>
    <w:rsid w:val="00194DD8"/>
    <w:rsid w:val="001A2620"/>
    <w:rsid w:val="001B546E"/>
    <w:rsid w:val="001D54CB"/>
    <w:rsid w:val="001D6850"/>
    <w:rsid w:val="001D6C40"/>
    <w:rsid w:val="001E2130"/>
    <w:rsid w:val="001E4B80"/>
    <w:rsid w:val="001F6C54"/>
    <w:rsid w:val="002010B9"/>
    <w:rsid w:val="002055F8"/>
    <w:rsid w:val="00206B72"/>
    <w:rsid w:val="00216624"/>
    <w:rsid w:val="002169D8"/>
    <w:rsid w:val="002215F3"/>
    <w:rsid w:val="00224B7A"/>
    <w:rsid w:val="00231150"/>
    <w:rsid w:val="00233752"/>
    <w:rsid w:val="002374FA"/>
    <w:rsid w:val="00244AC3"/>
    <w:rsid w:val="00257E06"/>
    <w:rsid w:val="00281BFA"/>
    <w:rsid w:val="00283118"/>
    <w:rsid w:val="00283A1D"/>
    <w:rsid w:val="00295F84"/>
    <w:rsid w:val="00296DDD"/>
    <w:rsid w:val="002A7C28"/>
    <w:rsid w:val="002A7DB0"/>
    <w:rsid w:val="002B4EA5"/>
    <w:rsid w:val="002B7AA2"/>
    <w:rsid w:val="002C063D"/>
    <w:rsid w:val="002C31B5"/>
    <w:rsid w:val="002C55E5"/>
    <w:rsid w:val="002C7FDD"/>
    <w:rsid w:val="002E6C2D"/>
    <w:rsid w:val="002F2B3F"/>
    <w:rsid w:val="002F71CA"/>
    <w:rsid w:val="00304E61"/>
    <w:rsid w:val="003104E2"/>
    <w:rsid w:val="00314EA6"/>
    <w:rsid w:val="00316F36"/>
    <w:rsid w:val="00321DE5"/>
    <w:rsid w:val="00327970"/>
    <w:rsid w:val="003436CD"/>
    <w:rsid w:val="003528AC"/>
    <w:rsid w:val="003565D1"/>
    <w:rsid w:val="00370C5F"/>
    <w:rsid w:val="00377885"/>
    <w:rsid w:val="00380C4F"/>
    <w:rsid w:val="00392851"/>
    <w:rsid w:val="0039326F"/>
    <w:rsid w:val="003B030E"/>
    <w:rsid w:val="003B6914"/>
    <w:rsid w:val="003C3394"/>
    <w:rsid w:val="003D1659"/>
    <w:rsid w:val="003D5FB0"/>
    <w:rsid w:val="003E542B"/>
    <w:rsid w:val="003F2BAA"/>
    <w:rsid w:val="00401171"/>
    <w:rsid w:val="0040571C"/>
    <w:rsid w:val="004068B9"/>
    <w:rsid w:val="00436791"/>
    <w:rsid w:val="0044042A"/>
    <w:rsid w:val="00454FAF"/>
    <w:rsid w:val="0047435A"/>
    <w:rsid w:val="00477E71"/>
    <w:rsid w:val="004866A5"/>
    <w:rsid w:val="00496D41"/>
    <w:rsid w:val="004A2A7B"/>
    <w:rsid w:val="004B085C"/>
    <w:rsid w:val="004B592F"/>
    <w:rsid w:val="004B7452"/>
    <w:rsid w:val="004B7CD0"/>
    <w:rsid w:val="004C74A3"/>
    <w:rsid w:val="004E1C6A"/>
    <w:rsid w:val="004E7011"/>
    <w:rsid w:val="004F0F54"/>
    <w:rsid w:val="004F2C20"/>
    <w:rsid w:val="004F2D5C"/>
    <w:rsid w:val="004F6689"/>
    <w:rsid w:val="004F73E6"/>
    <w:rsid w:val="00502605"/>
    <w:rsid w:val="00503B8F"/>
    <w:rsid w:val="00506C34"/>
    <w:rsid w:val="00511C17"/>
    <w:rsid w:val="00520D74"/>
    <w:rsid w:val="005219CE"/>
    <w:rsid w:val="00531527"/>
    <w:rsid w:val="005317C2"/>
    <w:rsid w:val="00531824"/>
    <w:rsid w:val="00533A86"/>
    <w:rsid w:val="005532C3"/>
    <w:rsid w:val="0055612A"/>
    <w:rsid w:val="00556576"/>
    <w:rsid w:val="00563A4A"/>
    <w:rsid w:val="00573E90"/>
    <w:rsid w:val="00576AC8"/>
    <w:rsid w:val="00585309"/>
    <w:rsid w:val="00590A46"/>
    <w:rsid w:val="00590EFD"/>
    <w:rsid w:val="005A0191"/>
    <w:rsid w:val="005B231C"/>
    <w:rsid w:val="005B3953"/>
    <w:rsid w:val="005B6BC4"/>
    <w:rsid w:val="005C2BE7"/>
    <w:rsid w:val="005D6EC7"/>
    <w:rsid w:val="005E7DB5"/>
    <w:rsid w:val="005F01A9"/>
    <w:rsid w:val="005F1508"/>
    <w:rsid w:val="00601121"/>
    <w:rsid w:val="00603E25"/>
    <w:rsid w:val="00605DDC"/>
    <w:rsid w:val="00606C42"/>
    <w:rsid w:val="00612E1C"/>
    <w:rsid w:val="00620C56"/>
    <w:rsid w:val="00621C56"/>
    <w:rsid w:val="00624A2A"/>
    <w:rsid w:val="006269A9"/>
    <w:rsid w:val="006312A8"/>
    <w:rsid w:val="00632E74"/>
    <w:rsid w:val="006405A6"/>
    <w:rsid w:val="00640682"/>
    <w:rsid w:val="006458EC"/>
    <w:rsid w:val="0065442B"/>
    <w:rsid w:val="00656FD2"/>
    <w:rsid w:val="00662D03"/>
    <w:rsid w:val="006705EB"/>
    <w:rsid w:val="006902D7"/>
    <w:rsid w:val="00696293"/>
    <w:rsid w:val="00696C02"/>
    <w:rsid w:val="006B4595"/>
    <w:rsid w:val="006C1AE8"/>
    <w:rsid w:val="006C6FE1"/>
    <w:rsid w:val="006D6D8F"/>
    <w:rsid w:val="006E735A"/>
    <w:rsid w:val="007051A2"/>
    <w:rsid w:val="0071046D"/>
    <w:rsid w:val="00717CE5"/>
    <w:rsid w:val="00724F1D"/>
    <w:rsid w:val="007408F8"/>
    <w:rsid w:val="007534CE"/>
    <w:rsid w:val="00755F16"/>
    <w:rsid w:val="0076280D"/>
    <w:rsid w:val="00763D69"/>
    <w:rsid w:val="0076767D"/>
    <w:rsid w:val="007724AD"/>
    <w:rsid w:val="0077293F"/>
    <w:rsid w:val="007773FA"/>
    <w:rsid w:val="00777ADC"/>
    <w:rsid w:val="0078215F"/>
    <w:rsid w:val="00792E3E"/>
    <w:rsid w:val="00792F5B"/>
    <w:rsid w:val="00796882"/>
    <w:rsid w:val="007A13BB"/>
    <w:rsid w:val="007A153D"/>
    <w:rsid w:val="007B7027"/>
    <w:rsid w:val="007B796B"/>
    <w:rsid w:val="007C2183"/>
    <w:rsid w:val="007C48E6"/>
    <w:rsid w:val="007C6C95"/>
    <w:rsid w:val="007D4B34"/>
    <w:rsid w:val="007D4BCC"/>
    <w:rsid w:val="007F5064"/>
    <w:rsid w:val="0081050F"/>
    <w:rsid w:val="00821F6E"/>
    <w:rsid w:val="0082498E"/>
    <w:rsid w:val="00830C46"/>
    <w:rsid w:val="00834938"/>
    <w:rsid w:val="00845ADD"/>
    <w:rsid w:val="008563FA"/>
    <w:rsid w:val="00863B7A"/>
    <w:rsid w:val="0087635C"/>
    <w:rsid w:val="008830AC"/>
    <w:rsid w:val="0089057F"/>
    <w:rsid w:val="00892BA3"/>
    <w:rsid w:val="008938E1"/>
    <w:rsid w:val="00895904"/>
    <w:rsid w:val="008A3EA8"/>
    <w:rsid w:val="008A4323"/>
    <w:rsid w:val="008A6451"/>
    <w:rsid w:val="008A66D4"/>
    <w:rsid w:val="008B24C5"/>
    <w:rsid w:val="008C2C58"/>
    <w:rsid w:val="008D15EB"/>
    <w:rsid w:val="008F0232"/>
    <w:rsid w:val="008F033F"/>
    <w:rsid w:val="008F3E24"/>
    <w:rsid w:val="008F6F24"/>
    <w:rsid w:val="00902BCA"/>
    <w:rsid w:val="009070C9"/>
    <w:rsid w:val="00915246"/>
    <w:rsid w:val="00917926"/>
    <w:rsid w:val="00924CA5"/>
    <w:rsid w:val="009351C1"/>
    <w:rsid w:val="00942D51"/>
    <w:rsid w:val="009554C0"/>
    <w:rsid w:val="00966665"/>
    <w:rsid w:val="00967CBA"/>
    <w:rsid w:val="009829E2"/>
    <w:rsid w:val="009838E1"/>
    <w:rsid w:val="0098491A"/>
    <w:rsid w:val="009942E6"/>
    <w:rsid w:val="009A3261"/>
    <w:rsid w:val="009B0F9C"/>
    <w:rsid w:val="009B1BBF"/>
    <w:rsid w:val="009B6401"/>
    <w:rsid w:val="009C07C6"/>
    <w:rsid w:val="009C0FDE"/>
    <w:rsid w:val="009D1327"/>
    <w:rsid w:val="009D2C68"/>
    <w:rsid w:val="009D47B4"/>
    <w:rsid w:val="009E0B74"/>
    <w:rsid w:val="009E65BE"/>
    <w:rsid w:val="009F1464"/>
    <w:rsid w:val="009F3947"/>
    <w:rsid w:val="00A50CC3"/>
    <w:rsid w:val="00A722F5"/>
    <w:rsid w:val="00A72771"/>
    <w:rsid w:val="00A92B43"/>
    <w:rsid w:val="00AB2768"/>
    <w:rsid w:val="00AC26D9"/>
    <w:rsid w:val="00AC4156"/>
    <w:rsid w:val="00AC55C7"/>
    <w:rsid w:val="00AE09CE"/>
    <w:rsid w:val="00AE1D42"/>
    <w:rsid w:val="00AE29F7"/>
    <w:rsid w:val="00AE7EBD"/>
    <w:rsid w:val="00AF4FA3"/>
    <w:rsid w:val="00AF7ABD"/>
    <w:rsid w:val="00B01EE2"/>
    <w:rsid w:val="00B10DBB"/>
    <w:rsid w:val="00B16027"/>
    <w:rsid w:val="00B26CAF"/>
    <w:rsid w:val="00B304BA"/>
    <w:rsid w:val="00B33E74"/>
    <w:rsid w:val="00B554E1"/>
    <w:rsid w:val="00B95DD0"/>
    <w:rsid w:val="00BA763C"/>
    <w:rsid w:val="00BB18A2"/>
    <w:rsid w:val="00BC28C5"/>
    <w:rsid w:val="00BC6831"/>
    <w:rsid w:val="00BD78A0"/>
    <w:rsid w:val="00BE1173"/>
    <w:rsid w:val="00BE12F3"/>
    <w:rsid w:val="00BF1FD8"/>
    <w:rsid w:val="00BF4FFF"/>
    <w:rsid w:val="00C04599"/>
    <w:rsid w:val="00C04BDD"/>
    <w:rsid w:val="00C14704"/>
    <w:rsid w:val="00C30D0F"/>
    <w:rsid w:val="00C313DF"/>
    <w:rsid w:val="00C40299"/>
    <w:rsid w:val="00C40892"/>
    <w:rsid w:val="00C500D1"/>
    <w:rsid w:val="00C5138B"/>
    <w:rsid w:val="00C620B5"/>
    <w:rsid w:val="00C6465B"/>
    <w:rsid w:val="00C70ED6"/>
    <w:rsid w:val="00C72250"/>
    <w:rsid w:val="00C73586"/>
    <w:rsid w:val="00C76848"/>
    <w:rsid w:val="00C83E39"/>
    <w:rsid w:val="00C852BF"/>
    <w:rsid w:val="00CA0150"/>
    <w:rsid w:val="00CA686E"/>
    <w:rsid w:val="00CB2CDC"/>
    <w:rsid w:val="00CB5977"/>
    <w:rsid w:val="00CC2D3B"/>
    <w:rsid w:val="00CC6993"/>
    <w:rsid w:val="00CC6CB3"/>
    <w:rsid w:val="00CD0F8F"/>
    <w:rsid w:val="00CD70F1"/>
    <w:rsid w:val="00CE3B0C"/>
    <w:rsid w:val="00CF08CF"/>
    <w:rsid w:val="00CF1AEC"/>
    <w:rsid w:val="00CF6720"/>
    <w:rsid w:val="00CF68AD"/>
    <w:rsid w:val="00D02650"/>
    <w:rsid w:val="00D1283C"/>
    <w:rsid w:val="00D40D0D"/>
    <w:rsid w:val="00D447A3"/>
    <w:rsid w:val="00D46AF7"/>
    <w:rsid w:val="00D56104"/>
    <w:rsid w:val="00D567F0"/>
    <w:rsid w:val="00D612DA"/>
    <w:rsid w:val="00D83E8C"/>
    <w:rsid w:val="00D85574"/>
    <w:rsid w:val="00DA4B1C"/>
    <w:rsid w:val="00DB2BF5"/>
    <w:rsid w:val="00DC41EC"/>
    <w:rsid w:val="00DE0514"/>
    <w:rsid w:val="00DE2839"/>
    <w:rsid w:val="00DE31DC"/>
    <w:rsid w:val="00DE6076"/>
    <w:rsid w:val="00DE68D7"/>
    <w:rsid w:val="00DF3049"/>
    <w:rsid w:val="00DF4848"/>
    <w:rsid w:val="00E03F1A"/>
    <w:rsid w:val="00E05228"/>
    <w:rsid w:val="00E20E9F"/>
    <w:rsid w:val="00E37E11"/>
    <w:rsid w:val="00E476DC"/>
    <w:rsid w:val="00E62CB2"/>
    <w:rsid w:val="00E633F0"/>
    <w:rsid w:val="00E6408F"/>
    <w:rsid w:val="00E64317"/>
    <w:rsid w:val="00E74029"/>
    <w:rsid w:val="00E75EEB"/>
    <w:rsid w:val="00E76261"/>
    <w:rsid w:val="00E90BF4"/>
    <w:rsid w:val="00E91CD4"/>
    <w:rsid w:val="00EA320C"/>
    <w:rsid w:val="00EA78B3"/>
    <w:rsid w:val="00EB7621"/>
    <w:rsid w:val="00ED6F6C"/>
    <w:rsid w:val="00EF7294"/>
    <w:rsid w:val="00F135E8"/>
    <w:rsid w:val="00F14576"/>
    <w:rsid w:val="00F16ECC"/>
    <w:rsid w:val="00F23442"/>
    <w:rsid w:val="00F27BAA"/>
    <w:rsid w:val="00F3422A"/>
    <w:rsid w:val="00F34B54"/>
    <w:rsid w:val="00F46A8E"/>
    <w:rsid w:val="00F64F10"/>
    <w:rsid w:val="00F65F66"/>
    <w:rsid w:val="00F714E1"/>
    <w:rsid w:val="00F71FAA"/>
    <w:rsid w:val="00F77AF9"/>
    <w:rsid w:val="00F807FF"/>
    <w:rsid w:val="00F84B77"/>
    <w:rsid w:val="00F9313A"/>
    <w:rsid w:val="00FA23BE"/>
    <w:rsid w:val="00FA596D"/>
    <w:rsid w:val="00FB3DFA"/>
    <w:rsid w:val="00FB60E9"/>
    <w:rsid w:val="00FC1F88"/>
    <w:rsid w:val="00FC41B3"/>
    <w:rsid w:val="00FC49BC"/>
    <w:rsid w:val="00FE1A1E"/>
    <w:rsid w:val="00FE5BE8"/>
    <w:rsid w:val="00FF0A9D"/>
    <w:rsid w:val="00FF0E5C"/>
    <w:rsid w:val="00FF17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F54"/>
    <w:rPr>
      <w:color w:val="808080"/>
    </w:rPr>
  </w:style>
  <w:style w:type="paragraph" w:customStyle="1" w:styleId="66D3F1AEBCF945C7BB440E10792FD251">
    <w:name w:val="66D3F1AEBCF945C7BB440E10792FD251"/>
    <w:rsid w:val="004F0F54"/>
  </w:style>
  <w:style w:type="paragraph" w:customStyle="1" w:styleId="769239FEEFAA4B178E225B13633C3396">
    <w:name w:val="769239FEEFAA4B178E225B13633C3396"/>
    <w:rsid w:val="004F0F54"/>
  </w:style>
  <w:style w:type="paragraph" w:customStyle="1" w:styleId="CFDDDB246B8B4E9EBE18F08609AD1EE0">
    <w:name w:val="CFDDDB246B8B4E9EBE18F08609AD1EE0"/>
    <w:rsid w:val="004F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652c5c8-06da-49d8-9279-6cb6c545cc53">
      <UserInfo>
        <DisplayName/>
        <AccountId xsi:nil="true"/>
        <AccountType/>
      </UserInfo>
    </SharedWithUsers>
    <lcf76f155ced4ddcb4097134ff3c332f xmlns="bd0217c9-950a-4e41-bf50-cb4941fbe92a">
      <Terms xmlns="http://schemas.microsoft.com/office/infopath/2007/PartnerControls"/>
    </lcf76f155ced4ddcb4097134ff3c332f>
    <TaxCatchAll xmlns="6652c5c8-06da-49d8-9279-6cb6c545cc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AC388-C277-4281-8303-D23B4844F270}">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2.xml><?xml version="1.0" encoding="utf-8"?>
<ds:datastoreItem xmlns:ds="http://schemas.openxmlformats.org/officeDocument/2006/customXml" ds:itemID="{C2A525A7-8CF0-4C34-B163-4CF0817F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FE1B0-446E-4E5F-B0A4-BB596BE75488}">
  <ds:schemaRefs>
    <ds:schemaRef ds:uri="http://schemas.openxmlformats.org/officeDocument/2006/bibliography"/>
  </ds:schemaRefs>
</ds:datastoreItem>
</file>

<file path=customXml/itemProps4.xml><?xml version="1.0" encoding="utf-8"?>
<ds:datastoreItem xmlns:ds="http://schemas.openxmlformats.org/officeDocument/2006/customXml" ds:itemID="{20EE4CB8-926D-469F-B53C-624F46D2E3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65</Pages>
  <Words>31479</Words>
  <Characters>179434</Characters>
  <Application>Microsoft Office Word</Application>
  <DocSecurity>0</DocSecurity>
  <Lines>1495</Lines>
  <Paragraphs>420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Rosalia, Carine L</dc:creator>
  <cp:keywords/>
  <dc:description/>
  <cp:lastModifiedBy>Laura Martinez-Mora</cp:lastModifiedBy>
  <cp:revision>775</cp:revision>
  <cp:lastPrinted>2026-07-27T05:25:00Z</cp:lastPrinted>
  <dcterms:created xsi:type="dcterms:W3CDTF">2026-05-04T20:55:00Z</dcterms:created>
  <dcterms:modified xsi:type="dcterms:W3CDTF">2026-07-28T09:46:00Z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0x010100C40B9FF1D7EAB9469FAABE6A5EC319E0</vt:lpwstr>
  </property>
  <property fmtid="{D5CDD505-2E9C-101B-9397-08002B2CF9AE}" pid="4" name="MSIP_Label_1665d9ee-429a-4d5f-97cc-cfb56e044a6e_Enabled">
    <vt:lpwstr>true</vt:lpwstr>
  </property>
  <property fmtid="{D5CDD505-2E9C-101B-9397-08002B2CF9AE}" pid="5" name="MSIP_Label_1665d9ee-429a-4d5f-97cc-cfb56e044a6e_SetDate">
    <vt:lpwstr>2025-12-03T15:51:56Z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9a27dbd7-683a-4f1d-bdf4-6c26202c7631</vt:lpwstr>
  </property>
  <property fmtid="{D5CDD505-2E9C-101B-9397-08002B2CF9AE}" pid="10" name="MSIP_Label_1665d9ee-429a-4d5f-97cc-cfb56e044a6e_ContentBits">
    <vt:lpwstr>0</vt:lpwstr>
  </property>
  <property fmtid="{D5CDD505-2E9C-101B-9397-08002B2CF9AE}" pid="11" name="MSIP_Label_1665d9ee-429a-4d5f-97cc-cfb56e044a6e_Tag">
    <vt:lpwstr>10, 0, 1, 1</vt:lpwstr>
  </property>
</Properties>
</file>