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B51106">
        <w:rPr>
          <w:color w:val="0000FF"/>
          <w:sz w:val="20"/>
          <w:szCs w:val="20"/>
        </w:rPr>
        <w:t>NOTE</w:t>
      </w:r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758" w:type="pct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1"/>
        <w:gridCol w:w="2296"/>
        <w:gridCol w:w="2119"/>
        <w:gridCol w:w="1403"/>
        <w:gridCol w:w="3357"/>
      </w:tblGrid>
      <w:tr w:rsidR="005E6FF1" w:rsidRPr="00892147" w:rsidTr="00E27704">
        <w:trPr>
          <w:tblHeader/>
        </w:trPr>
        <w:tc>
          <w:tcPr>
            <w:tcW w:w="467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805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933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861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570" w:type="pct"/>
            <w:shd w:val="clear" w:color="auto" w:fill="C0C0C0"/>
          </w:tcPr>
          <w:p w:rsidR="009B66F6" w:rsidRPr="00C40EA6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365" w:type="pct"/>
            <w:shd w:val="clear" w:color="auto" w:fill="C0C0C0"/>
          </w:tcPr>
          <w:p w:rsidR="009B66F6" w:rsidRPr="00C40EA6" w:rsidRDefault="009B66F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E27704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933" w:type="pct"/>
          </w:tcPr>
          <w:p w:rsidR="00DB773D" w:rsidRPr="00C221B5" w:rsidRDefault="00DB773D" w:rsidP="00E27704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Access 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NOTE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by entering 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NOTE </w:t>
            </w:r>
            <w:r w:rsidR="00E27704">
              <w:rPr>
                <w:rFonts w:asciiTheme="minorHAnsi" w:hAnsiTheme="minorHAnsi"/>
                <w:sz w:val="20"/>
                <w:szCs w:val="20"/>
              </w:rPr>
              <w:t>i</w:t>
            </w:r>
            <w:r w:rsidR="00486F34">
              <w:rPr>
                <w:rFonts w:asciiTheme="minorHAnsi" w:hAnsiTheme="minorHAnsi"/>
                <w:sz w:val="20"/>
                <w:szCs w:val="20"/>
              </w:rPr>
              <w:t>n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Quick Navigation field from any screen or by selecting </w:t>
            </w:r>
            <w:r w:rsidR="00486F34">
              <w:rPr>
                <w:rFonts w:asciiTheme="minorHAnsi" w:hAnsiTheme="minorHAnsi"/>
                <w:sz w:val="20"/>
                <w:szCs w:val="20"/>
              </w:rPr>
              <w:t>NOTE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menu.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(Case &amp; Actor tabs)</w:t>
            </w:r>
          </w:p>
        </w:tc>
        <w:tc>
          <w:tcPr>
            <w:tcW w:w="861" w:type="pct"/>
          </w:tcPr>
          <w:p w:rsidR="00DB773D" w:rsidRPr="00C221B5" w:rsidRDefault="009027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NOTE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screen will appear with the cursor in </w:t>
            </w: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Case 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field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B773D" w:rsidRPr="00C221B5" w:rsidRDefault="00DB773D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>navigati</w:t>
            </w:r>
            <w:r w:rsidR="00902792">
              <w:rPr>
                <w:rFonts w:asciiTheme="minorHAnsi" w:hAnsiTheme="minorHAnsi"/>
                <w:sz w:val="20"/>
                <w:szCs w:val="20"/>
              </w:rPr>
              <w:t>ng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486F34">
              <w:rPr>
                <w:rFonts w:asciiTheme="minorHAnsi" w:hAnsiTheme="minorHAnsi"/>
                <w:sz w:val="20"/>
                <w:szCs w:val="20"/>
              </w:rPr>
              <w:t>NOTE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from another </w:t>
            </w:r>
            <w:r w:rsidR="00902792">
              <w:rPr>
                <w:rFonts w:asciiTheme="minorHAnsi" w:hAnsiTheme="minorHAnsi"/>
                <w:sz w:val="20"/>
                <w:szCs w:val="20"/>
              </w:rPr>
              <w:t>Case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level screen  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the ID will carry over as sticky data. 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The View Update all Notes screen function is selected. </w:t>
            </w:r>
          </w:p>
        </w:tc>
        <w:tc>
          <w:tcPr>
            <w:tcW w:w="570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65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E27704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933" w:type="pct"/>
          </w:tcPr>
          <w:p w:rsidR="00DB773D" w:rsidRPr="00C221B5" w:rsidRDefault="00486F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valid Case ID, press enter or click Find. </w:t>
            </w:r>
          </w:p>
        </w:tc>
        <w:tc>
          <w:tcPr>
            <w:tcW w:w="861" w:type="pct"/>
          </w:tcPr>
          <w:p w:rsidR="00DB773D" w:rsidRPr="00C221B5" w:rsidRDefault="00486F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screen will be populated with information for the case entered.</w:t>
            </w:r>
            <w:r w:rsidR="00DC0BF4">
              <w:rPr>
                <w:rFonts w:asciiTheme="minorHAnsi" w:hAnsiTheme="minorHAnsi"/>
                <w:sz w:val="20"/>
                <w:szCs w:val="20"/>
              </w:rPr>
              <w:t xml:space="preserve"> The grid</w:t>
            </w:r>
            <w:r w:rsidR="00ED3C84">
              <w:rPr>
                <w:rFonts w:asciiTheme="minorHAnsi" w:hAnsiTheme="minorHAnsi"/>
                <w:sz w:val="20"/>
                <w:szCs w:val="20"/>
              </w:rPr>
              <w:t xml:space="preserve"> will display all notes in chronological order. </w:t>
            </w:r>
            <w:r w:rsidR="00D70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40C76" w:rsidTr="00E27704">
        <w:tc>
          <w:tcPr>
            <w:tcW w:w="467" w:type="pct"/>
          </w:tcPr>
          <w:p w:rsidR="00F40C76" w:rsidRPr="00C221B5" w:rsidRDefault="00F40C7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F40C76" w:rsidRPr="00C221B5" w:rsidDel="00ED3C84" w:rsidRDefault="00F40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933" w:type="pct"/>
          </w:tcPr>
          <w:p w:rsidR="00F40C76" w:rsidRDefault="00F4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a valid Case ID, use the various options in the header section to filter the notes displayed in the grid</w:t>
            </w:r>
            <w:r w:rsidR="00E2770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</w:tcPr>
          <w:p w:rsidR="00F40C76" w:rsidRDefault="00F4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Only the notes meeting the criteria entered will be displayed. </w:t>
            </w:r>
          </w:p>
        </w:tc>
        <w:tc>
          <w:tcPr>
            <w:tcW w:w="570" w:type="pct"/>
          </w:tcPr>
          <w:p w:rsidR="00F40C76" w:rsidRPr="00C221B5" w:rsidRDefault="00F40C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F40C76" w:rsidRPr="00C221B5" w:rsidRDefault="00F40C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E27704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ED3C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B773D" w:rsidRPr="00C221B5" w:rsidRDefault="00ED3C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NOTE screen and select the Screen Function </w:t>
            </w:r>
            <w:r w:rsidR="00DC0BF4">
              <w:rPr>
                <w:rFonts w:asciiTheme="minorHAnsi" w:hAnsiTheme="minorHAnsi"/>
                <w:sz w:val="20"/>
                <w:szCs w:val="20"/>
              </w:rPr>
              <w:t>Create Note to File.</w:t>
            </w:r>
          </w:p>
        </w:tc>
        <w:tc>
          <w:tcPr>
            <w:tcW w:w="861" w:type="pct"/>
          </w:tcPr>
          <w:p w:rsidR="00DB773D" w:rsidRPr="00C221B5" w:rsidRDefault="00DC0B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displays with the cursor in the Case Number field. The Post Notes field is required. </w:t>
            </w:r>
            <w:r w:rsidR="00D70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0B56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5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B56" w:rsidTr="00E27704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DC0B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70B56" w:rsidRPr="00C221B5" w:rsidRDefault="00DC0B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Enter a note on the screen, then click the Add icon.</w:t>
            </w:r>
          </w:p>
        </w:tc>
        <w:tc>
          <w:tcPr>
            <w:tcW w:w="861" w:type="pct"/>
          </w:tcPr>
          <w:p w:rsidR="00D70B56" w:rsidRPr="00C221B5" w:rsidRDefault="00DC0BF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Note will be added and the message “Add Successful’ is displayed.</w:t>
            </w:r>
            <w:r w:rsidR="00D70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0B56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Return to the View</w:t>
            </w:r>
            <w:r w:rsidR="00E72E2E">
              <w:rPr>
                <w:rFonts w:asciiTheme="minorHAnsi" w:hAnsiTheme="minorHAnsi"/>
                <w:sz w:val="20"/>
                <w:szCs w:val="20"/>
              </w:rPr>
              <w:t>/Update All Notes to see Note.</w:t>
            </w:r>
          </w:p>
        </w:tc>
        <w:tc>
          <w:tcPr>
            <w:tcW w:w="570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E27704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E72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70B56" w:rsidRPr="00C221B5" w:rsidRDefault="00E72E2E" w:rsidP="00E277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Return to the Create Note to File</w:t>
            </w:r>
            <w:r w:rsidR="00E27704">
              <w:rPr>
                <w:rFonts w:asciiTheme="minorHAnsi" w:hAnsiTheme="minorHAnsi"/>
                <w:sz w:val="20"/>
                <w:szCs w:val="20"/>
              </w:rPr>
              <w:t xml:space="preserve"> Screen Function, enter a note. Th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E277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Forward to Worker ID radio button is selected by default.  Select a worker from the lookup to forward the note.  Click the Add icon  </w:t>
            </w:r>
          </w:p>
        </w:tc>
        <w:tc>
          <w:tcPr>
            <w:tcW w:w="861" w:type="pct"/>
          </w:tcPr>
          <w:p w:rsidR="00D70B56" w:rsidRPr="00C221B5" w:rsidRDefault="00E72E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 is forwarded to the worker selected. The worker is notified on WRKL that a note has been forwarded to them.  The status of the note is Assigned.  To test this, forward notes to another worker in your office, or use worker 0001. </w:t>
            </w:r>
          </w:p>
        </w:tc>
        <w:tc>
          <w:tcPr>
            <w:tcW w:w="570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E27704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E72E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70B56" w:rsidRPr="00C221B5" w:rsidRDefault="00E72E2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Again, go to the Create Note to File Screen Function</w:t>
            </w:r>
            <w:r w:rsidR="000D153E">
              <w:rPr>
                <w:rFonts w:asciiTheme="minorHAnsi" w:hAnsiTheme="minorHAnsi"/>
                <w:sz w:val="20"/>
                <w:szCs w:val="20"/>
              </w:rPr>
              <w:t xml:space="preserve">. Enter a note, </w:t>
            </w:r>
            <w:proofErr w:type="gramStart"/>
            <w:r w:rsidR="000D153E">
              <w:rPr>
                <w:rFonts w:asciiTheme="minorHAnsi" w:hAnsiTheme="minorHAnsi"/>
                <w:sz w:val="20"/>
                <w:szCs w:val="20"/>
              </w:rPr>
              <w:t>click  the</w:t>
            </w:r>
            <w:proofErr w:type="gramEnd"/>
            <w:r w:rsidR="000D153E">
              <w:rPr>
                <w:rFonts w:asciiTheme="minorHAnsi" w:hAnsiTheme="minorHAnsi"/>
                <w:sz w:val="20"/>
                <w:szCs w:val="20"/>
              </w:rPr>
              <w:t xml:space="preserve"> Role radio button and select a Role from the lookup, click Add. </w:t>
            </w:r>
          </w:p>
        </w:tc>
        <w:tc>
          <w:tcPr>
            <w:tcW w:w="861" w:type="pct"/>
          </w:tcPr>
          <w:p w:rsidR="00D70B56" w:rsidRPr="00C221B5" w:rsidRDefault="000D15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 will be forwarded to all workers assigned the selected role. </w:t>
            </w:r>
          </w:p>
        </w:tc>
        <w:tc>
          <w:tcPr>
            <w:tcW w:w="570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E27704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0D15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B773D" w:rsidRPr="00C221B5" w:rsidRDefault="000D15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Return to the Create Note to File Screen Function.  Enter a note, click the State radio button and click the Add icon </w:t>
            </w:r>
          </w:p>
        </w:tc>
        <w:tc>
          <w:tcPr>
            <w:tcW w:w="861" w:type="pct"/>
          </w:tcPr>
          <w:p w:rsidR="00DB773D" w:rsidRPr="00C221B5" w:rsidRDefault="000D153E" w:rsidP="00E277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the State radio button is selected the system will</w:t>
            </w:r>
            <w:r w:rsidR="00BD5F7B">
              <w:rPr>
                <w:rFonts w:asciiTheme="minorHAnsi" w:hAnsiTheme="minorHAnsi"/>
                <w:sz w:val="20"/>
                <w:szCs w:val="20"/>
              </w:rPr>
              <w:t xml:space="preserve"> automatically enter the other State</w:t>
            </w:r>
            <w:r w:rsidR="00E27704">
              <w:rPr>
                <w:rFonts w:asciiTheme="minorHAnsi" w:hAnsiTheme="minorHAnsi"/>
                <w:sz w:val="20"/>
                <w:szCs w:val="20"/>
              </w:rPr>
              <w:t xml:space="preserve"> associated with the case.  The note is added to the case. </w:t>
            </w:r>
            <w:r w:rsidR="00BD5F7B">
              <w:rPr>
                <w:rFonts w:asciiTheme="minorHAnsi" w:hAnsiTheme="minorHAnsi"/>
                <w:sz w:val="20"/>
                <w:szCs w:val="20"/>
              </w:rPr>
              <w:t xml:space="preserve"> Go to ICOR to view the </w:t>
            </w:r>
            <w:r w:rsidR="00E2770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Note. </w:t>
            </w:r>
            <w:r w:rsidR="00BD5F7B">
              <w:rPr>
                <w:rFonts w:asciiTheme="minorHAnsi" w:hAnsiTheme="minorHAnsi"/>
                <w:sz w:val="20"/>
                <w:szCs w:val="20"/>
              </w:rPr>
              <w:t xml:space="preserve">  It will be pending to the other state. </w:t>
            </w:r>
            <w:r w:rsidR="00D70B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70B56" w:rsidTr="00E27704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BD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70B56" w:rsidRPr="00C221B5" w:rsidDel="00D70B56" w:rsidRDefault="00BD5F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Return to the Create Note to File Screen Function enter Case Number with a Creditor who has multiple cases. Enter the Note and click the Add Notes for All Open Cases—Creditor. Click the Add icon </w:t>
            </w:r>
          </w:p>
        </w:tc>
        <w:tc>
          <w:tcPr>
            <w:tcW w:w="861" w:type="pct"/>
          </w:tcPr>
          <w:p w:rsidR="00D70B56" w:rsidRPr="00C221B5" w:rsidDel="00D70B56" w:rsidRDefault="00BD5F7B" w:rsidP="00E277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notes entered will be added to other cases involving the same creditor. </w:t>
            </w:r>
          </w:p>
        </w:tc>
        <w:tc>
          <w:tcPr>
            <w:tcW w:w="570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70B56" w:rsidTr="00E27704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BD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70B56" w:rsidRDefault="00BD5F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Repeat the above step for the Debtor. </w:t>
            </w:r>
          </w:p>
        </w:tc>
        <w:tc>
          <w:tcPr>
            <w:tcW w:w="861" w:type="pct"/>
          </w:tcPr>
          <w:p w:rsidR="00D70B56" w:rsidRDefault="00BD5F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 will be added to all cases involving the same debtor. </w:t>
            </w:r>
          </w:p>
        </w:tc>
        <w:tc>
          <w:tcPr>
            <w:tcW w:w="570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01A49" w:rsidTr="00E27704">
        <w:tc>
          <w:tcPr>
            <w:tcW w:w="467" w:type="pct"/>
          </w:tcPr>
          <w:p w:rsidR="00201A49" w:rsidRPr="00C221B5" w:rsidRDefault="00201A4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201A49" w:rsidRDefault="00BD5F7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</w:t>
            </w:r>
          </w:p>
        </w:tc>
        <w:tc>
          <w:tcPr>
            <w:tcW w:w="933" w:type="pct"/>
          </w:tcPr>
          <w:p w:rsidR="00201A49" w:rsidRDefault="00BD5F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on the View/ Update All Notes Screen Function for a case for which the status is ‘Assigned’.  (You can assign yourself a note to test this function).  Select the row of the assigned note and click reply</w:t>
            </w:r>
          </w:p>
        </w:tc>
        <w:tc>
          <w:tcPr>
            <w:tcW w:w="861" w:type="pct"/>
          </w:tcPr>
          <w:p w:rsidR="00201A49" w:rsidRDefault="00F4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Post Notes box will appear. </w:t>
            </w:r>
          </w:p>
        </w:tc>
        <w:tc>
          <w:tcPr>
            <w:tcW w:w="570" w:type="pct"/>
          </w:tcPr>
          <w:p w:rsidR="00201A49" w:rsidRPr="00C221B5" w:rsidRDefault="00201A4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201A49" w:rsidRPr="00C221B5" w:rsidRDefault="00201A4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01A49" w:rsidTr="00E27704">
        <w:tc>
          <w:tcPr>
            <w:tcW w:w="467" w:type="pct"/>
          </w:tcPr>
          <w:p w:rsidR="00201A49" w:rsidRPr="00C221B5" w:rsidRDefault="00201A4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201A49" w:rsidRDefault="00F40C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</w:t>
            </w:r>
          </w:p>
        </w:tc>
        <w:tc>
          <w:tcPr>
            <w:tcW w:w="933" w:type="pct"/>
          </w:tcPr>
          <w:p w:rsidR="00201A49" w:rsidRDefault="00F4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reply in the Post Notes section, select a Status from the dropdown and click Save.  </w:t>
            </w:r>
          </w:p>
        </w:tc>
        <w:tc>
          <w:tcPr>
            <w:tcW w:w="861" w:type="pct"/>
          </w:tcPr>
          <w:p w:rsidR="00201A49" w:rsidRDefault="00F4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reply is saved as part 2 of the previous note.  When selecting the row from the grid both the original note and</w:t>
            </w:r>
            <w:r w:rsidR="007F0897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reply are displayed in the Previous Notes box.  </w:t>
            </w:r>
          </w:p>
        </w:tc>
        <w:tc>
          <w:tcPr>
            <w:tcW w:w="570" w:type="pct"/>
          </w:tcPr>
          <w:p w:rsidR="00201A49" w:rsidRPr="00C221B5" w:rsidRDefault="00201A4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201A49" w:rsidRPr="00C221B5" w:rsidRDefault="00201A4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E27704">
        <w:tc>
          <w:tcPr>
            <w:tcW w:w="467" w:type="pct"/>
          </w:tcPr>
          <w:p w:rsidR="00E2715B" w:rsidRPr="00C221B5" w:rsidRDefault="00E2715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E2715B" w:rsidRDefault="00F40C76" w:rsidP="00E27704">
            <w:pPr>
              <w:tabs>
                <w:tab w:val="left" w:pos="571"/>
                <w:tab w:val="center" w:pos="88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E2715B" w:rsidRDefault="00F40C7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on the Create Financial Note  option in</w:t>
            </w:r>
            <w:r w:rsidR="007F0897">
              <w:rPr>
                <w:rFonts w:asciiTheme="minorHAnsi" w:hAnsiTheme="minorHAnsi"/>
                <w:sz w:val="20"/>
                <w:szCs w:val="20"/>
              </w:rPr>
              <w:t xml:space="preserve"> Screen Function</w:t>
            </w:r>
          </w:p>
        </w:tc>
        <w:tc>
          <w:tcPr>
            <w:tcW w:w="861" w:type="pct"/>
          </w:tcPr>
          <w:p w:rsidR="00E2715B" w:rsidRDefault="007F08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screen will display the Post Notes box as required. Assigned To will default to Worker.</w:t>
            </w:r>
          </w:p>
        </w:tc>
        <w:tc>
          <w:tcPr>
            <w:tcW w:w="570" w:type="pct"/>
          </w:tcPr>
          <w:p w:rsidR="00E2715B" w:rsidRPr="00C221B5" w:rsidRDefault="00E2715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E2715B" w:rsidRPr="00C221B5" w:rsidRDefault="00E2715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E2715B" w:rsidTr="00E27704">
        <w:tc>
          <w:tcPr>
            <w:tcW w:w="467" w:type="pct"/>
          </w:tcPr>
          <w:p w:rsidR="00E2715B" w:rsidRPr="00C221B5" w:rsidRDefault="00E2715B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E2715B" w:rsidRDefault="007F08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E2715B" w:rsidRDefault="007F08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Enter a message in </w:t>
            </w:r>
            <w:r w:rsidR="00A37C03">
              <w:rPr>
                <w:rFonts w:asciiTheme="minorHAnsi" w:hAnsiTheme="minorHAnsi"/>
                <w:sz w:val="20"/>
                <w:szCs w:val="20"/>
              </w:rPr>
              <w:t>the 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Notes section</w:t>
            </w:r>
            <w:r w:rsidR="006F0C19">
              <w:rPr>
                <w:rFonts w:asciiTheme="minorHAnsi" w:hAnsiTheme="minorHAnsi"/>
                <w:sz w:val="20"/>
                <w:szCs w:val="20"/>
              </w:rPr>
              <w:t xml:space="preserve">, select the worker or </w:t>
            </w:r>
            <w:r w:rsidR="00A37C03">
              <w:rPr>
                <w:rFonts w:asciiTheme="minorHAnsi" w:hAnsiTheme="minorHAnsi"/>
                <w:sz w:val="20"/>
                <w:szCs w:val="20"/>
              </w:rPr>
              <w:t>role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click Add. </w:t>
            </w:r>
          </w:p>
        </w:tc>
        <w:tc>
          <w:tcPr>
            <w:tcW w:w="861" w:type="pct"/>
          </w:tcPr>
          <w:p w:rsidR="00E2715B" w:rsidRDefault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 will be added to the record and an action alert generated to the worker/role entered. </w:t>
            </w:r>
          </w:p>
        </w:tc>
        <w:tc>
          <w:tcPr>
            <w:tcW w:w="570" w:type="pct"/>
          </w:tcPr>
          <w:p w:rsidR="00E2715B" w:rsidRPr="00C221B5" w:rsidRDefault="00E2715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E2715B" w:rsidRPr="00C221B5" w:rsidRDefault="00E2715B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6F0C19" w:rsidTr="00E27704">
        <w:tc>
          <w:tcPr>
            <w:tcW w:w="467" w:type="pct"/>
          </w:tcPr>
          <w:p w:rsidR="006F0C19" w:rsidRPr="00C221B5" w:rsidRDefault="006F0C1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6F0C19" w:rsidRDefault="006F0C19" w:rsidP="006F0C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Add </w:t>
            </w:r>
          </w:p>
          <w:p w:rsidR="006F0C19" w:rsidRPr="006F0C19" w:rsidRDefault="006F0C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" w:type="pct"/>
          </w:tcPr>
          <w:p w:rsidR="006F0C19" w:rsidRDefault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Return to the Create Note to File Screen Function enter Case Number with a Creditor who has multiple cases. Enter the Note and click the Add Notes for All Open Cases—Creditor. Click the Add icon </w:t>
            </w:r>
          </w:p>
        </w:tc>
        <w:tc>
          <w:tcPr>
            <w:tcW w:w="861" w:type="pct"/>
          </w:tcPr>
          <w:p w:rsidR="006F0C19" w:rsidRDefault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notes entered will also be added to other cases involving the same creditor. </w:t>
            </w:r>
          </w:p>
        </w:tc>
        <w:tc>
          <w:tcPr>
            <w:tcW w:w="570" w:type="pct"/>
          </w:tcPr>
          <w:p w:rsidR="006F0C19" w:rsidRPr="00C221B5" w:rsidRDefault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6F0C19" w:rsidRPr="00C221B5" w:rsidRDefault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6F0C19" w:rsidTr="00E27704">
        <w:tc>
          <w:tcPr>
            <w:tcW w:w="467" w:type="pct"/>
          </w:tcPr>
          <w:p w:rsidR="006F0C19" w:rsidRPr="00C221B5" w:rsidRDefault="006F0C1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6F0C19" w:rsidRDefault="006F0C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6F0C19" w:rsidRDefault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Repeat the above step for the Debtor. </w:t>
            </w:r>
          </w:p>
        </w:tc>
        <w:tc>
          <w:tcPr>
            <w:tcW w:w="861" w:type="pct"/>
          </w:tcPr>
          <w:p w:rsidR="006F0C19" w:rsidRDefault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note will be added to all cases involving the same debtor. </w:t>
            </w:r>
          </w:p>
        </w:tc>
        <w:tc>
          <w:tcPr>
            <w:tcW w:w="570" w:type="pct"/>
          </w:tcPr>
          <w:p w:rsidR="006F0C19" w:rsidRPr="00C221B5" w:rsidRDefault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6F0C19" w:rsidRPr="00C221B5" w:rsidRDefault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6F0C19" w:rsidTr="00E27704">
        <w:tc>
          <w:tcPr>
            <w:tcW w:w="467" w:type="pct"/>
          </w:tcPr>
          <w:p w:rsidR="006F0C19" w:rsidRPr="00C221B5" w:rsidRDefault="006F0C19" w:rsidP="006F0C1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6F0C19" w:rsidRDefault="006F0C19" w:rsidP="006F0C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</w:t>
            </w:r>
          </w:p>
        </w:tc>
        <w:tc>
          <w:tcPr>
            <w:tcW w:w="933" w:type="pct"/>
          </w:tcPr>
          <w:p w:rsidR="006F0C19" w:rsidRDefault="006F0C19" w:rsidP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Return to the View/Update All Notes function, select a note that was entered today, then click the Delete icon </w:t>
            </w:r>
          </w:p>
        </w:tc>
        <w:tc>
          <w:tcPr>
            <w:tcW w:w="861" w:type="pct"/>
          </w:tcPr>
          <w:p w:rsidR="006F0C19" w:rsidRDefault="006F0C19" w:rsidP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dialog box will appear to confirm the delete action</w:t>
            </w:r>
            <w:r w:rsidR="00A37C03">
              <w:rPr>
                <w:rFonts w:asciiTheme="minorHAnsi" w:hAnsiTheme="minorHAnsi"/>
                <w:sz w:val="20"/>
                <w:szCs w:val="20"/>
              </w:rPr>
              <w:t xml:space="preserve">.  Click Ok to continue with the delete. The message “Delete Successful” is displayed.  </w:t>
            </w:r>
          </w:p>
        </w:tc>
        <w:tc>
          <w:tcPr>
            <w:tcW w:w="570" w:type="pct"/>
          </w:tcPr>
          <w:p w:rsidR="006F0C19" w:rsidRPr="00C221B5" w:rsidRDefault="006F0C19" w:rsidP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6F0C19" w:rsidRPr="00C221B5" w:rsidRDefault="006F0C19" w:rsidP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A37C03" w:rsidTr="00E27704">
        <w:tc>
          <w:tcPr>
            <w:tcW w:w="467" w:type="pct"/>
          </w:tcPr>
          <w:p w:rsidR="00A37C03" w:rsidRPr="00C221B5" w:rsidRDefault="00A37C03" w:rsidP="006F0C19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A37C03" w:rsidRDefault="00A37C03" w:rsidP="006F0C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</w:t>
            </w:r>
          </w:p>
        </w:tc>
        <w:tc>
          <w:tcPr>
            <w:tcW w:w="933" w:type="pct"/>
          </w:tcPr>
          <w:p w:rsidR="00A37C03" w:rsidRDefault="00A37C03" w:rsidP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previously entered note and click delete. </w:t>
            </w:r>
          </w:p>
        </w:tc>
        <w:tc>
          <w:tcPr>
            <w:tcW w:w="861" w:type="pct"/>
          </w:tcPr>
          <w:p w:rsidR="00A37C03" w:rsidRDefault="00A37C03" w:rsidP="006F0C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message “Record Cannot be Deleted” is displayed. </w:t>
            </w:r>
          </w:p>
        </w:tc>
        <w:tc>
          <w:tcPr>
            <w:tcW w:w="570" w:type="pct"/>
          </w:tcPr>
          <w:p w:rsidR="00A37C03" w:rsidRPr="00C221B5" w:rsidRDefault="00A37C03" w:rsidP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5" w:type="pct"/>
          </w:tcPr>
          <w:p w:rsidR="00A37C03" w:rsidRPr="00C221B5" w:rsidRDefault="00A37C03" w:rsidP="006F0C19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F40C76" w:rsidP="00775A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03" w:rsidRDefault="00A37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A37C03">
      <w:tab/>
    </w:r>
    <w:r w:rsidR="00A37C03">
      <w:tab/>
    </w:r>
    <w:r w:rsidR="00A37C03">
      <w:tab/>
    </w:r>
    <w:r w:rsidR="00A37C03">
      <w:tab/>
    </w:r>
    <w:r w:rsidR="00A37C03">
      <w:tab/>
      <w:t>November 18, 2015</w:t>
    </w:r>
  </w:p>
  <w:p w:rsidR="00212922" w:rsidRDefault="0021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03" w:rsidRDefault="00A37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03" w:rsidRDefault="00A37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DE2B9B" w:rsidP="00DE2B9B">
    <w:pPr>
      <w:pStyle w:val="Header"/>
      <w:jc w:val="both"/>
    </w:pPr>
    <w:r>
      <w:tab/>
    </w:r>
    <w:r>
      <w:tab/>
    </w:r>
    <w:r>
      <w:tab/>
    </w:r>
  </w:p>
  <w:p w:rsidR="00DE2B9B" w:rsidRDefault="00F40C76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 xml:space="preserve">NOTE—Notes Screen </w:t>
    </w:r>
    <w:r w:rsidR="00DE2B9B">
      <w:tab/>
    </w:r>
    <w:r w:rsidR="00DE2B9B">
      <w:tab/>
    </w:r>
    <w:r w:rsidR="00DE2B9B">
      <w:tab/>
    </w:r>
    <w:r w:rsidR="000725C4">
      <w:rPr>
        <w:noProof/>
      </w:rPr>
      <w:t xml:space="preserve">          </w:t>
    </w:r>
    <w:r w:rsidR="000725C4">
      <w:rPr>
        <w:noProof/>
        <w:lang w:val="en-GB" w:eastAsia="en-GB"/>
      </w:rPr>
      <w:drawing>
        <wp:inline distT="0" distB="0" distL="0" distR="0" wp14:anchorId="48719D63" wp14:editId="49AFBFFF">
          <wp:extent cx="1670685" cy="4387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FF482E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03" w:rsidRDefault="00A37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725C4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5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1A49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1A80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040A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6F34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C80"/>
    <w:rsid w:val="0067088D"/>
    <w:rsid w:val="00674FCE"/>
    <w:rsid w:val="006776E4"/>
    <w:rsid w:val="00681857"/>
    <w:rsid w:val="00682CA3"/>
    <w:rsid w:val="00687F1A"/>
    <w:rsid w:val="006908E0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0C19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2349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897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19C"/>
    <w:rsid w:val="008E31CB"/>
    <w:rsid w:val="008E5A42"/>
    <w:rsid w:val="008E5DF9"/>
    <w:rsid w:val="008F4979"/>
    <w:rsid w:val="008F4C27"/>
    <w:rsid w:val="008F517F"/>
    <w:rsid w:val="00902792"/>
    <w:rsid w:val="009037AF"/>
    <w:rsid w:val="00903D39"/>
    <w:rsid w:val="009061C9"/>
    <w:rsid w:val="00907670"/>
    <w:rsid w:val="00907B15"/>
    <w:rsid w:val="009150BB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3B7"/>
    <w:rsid w:val="009A0CDA"/>
    <w:rsid w:val="009A0FBF"/>
    <w:rsid w:val="009A3358"/>
    <w:rsid w:val="009A4401"/>
    <w:rsid w:val="009A4C0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37C03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106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D5F7B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0B56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0BF4"/>
    <w:rsid w:val="00DC16AA"/>
    <w:rsid w:val="00DC1F6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15B"/>
    <w:rsid w:val="00E27704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2E2E"/>
    <w:rsid w:val="00E75339"/>
    <w:rsid w:val="00E7758C"/>
    <w:rsid w:val="00E823A5"/>
    <w:rsid w:val="00E84834"/>
    <w:rsid w:val="00E84A33"/>
    <w:rsid w:val="00E863D9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3C84"/>
    <w:rsid w:val="00ED7494"/>
    <w:rsid w:val="00ED7574"/>
    <w:rsid w:val="00EE0AD1"/>
    <w:rsid w:val="00EE1905"/>
    <w:rsid w:val="00EE79AE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0C76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B73"/>
    <w:rsid w:val="00F66020"/>
    <w:rsid w:val="00F722DA"/>
    <w:rsid w:val="00F7395F"/>
    <w:rsid w:val="00F7727C"/>
    <w:rsid w:val="00F80FC1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077F861-A87B-4995-919C-BC56DC6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E35D-0889-46EE-A211-B076B3F4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202C9C64</Template>
  <TotalTime>0</TotalTime>
  <Pages>5</Pages>
  <Words>768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Marie Vautravers</cp:lastModifiedBy>
  <cp:revision>2</cp:revision>
  <dcterms:created xsi:type="dcterms:W3CDTF">2015-11-20T13:22:00Z</dcterms:created>
  <dcterms:modified xsi:type="dcterms:W3CDTF">2015-11-20T13:22:00Z</dcterms:modified>
</cp:coreProperties>
</file>