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4857B7">
        <w:rPr>
          <w:color w:val="0000FF"/>
          <w:sz w:val="20"/>
          <w:szCs w:val="20"/>
        </w:rPr>
        <w:t>USEM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5A7342" w:rsidRDefault="00B104A8" w:rsidP="00F435C2">
            <w:pPr>
              <w:rPr>
                <w:rFonts w:asciiTheme="minorHAnsi" w:hAnsiTheme="minorHAnsi"/>
                <w:sz w:val="20"/>
                <w:szCs w:val="20"/>
              </w:rPr>
            </w:pPr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4857B7" w:rsidRPr="005A7342">
              <w:rPr>
                <w:rFonts w:asciiTheme="minorHAnsi" w:hAnsiTheme="minorHAnsi" w:cs="Arial"/>
                <w:sz w:val="20"/>
                <w:szCs w:val="20"/>
              </w:rPr>
              <w:t>USEM</w:t>
            </w:r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 screen by entering </w:t>
            </w:r>
            <w:r w:rsidR="004857B7" w:rsidRPr="005A7342">
              <w:rPr>
                <w:rFonts w:asciiTheme="minorHAnsi" w:hAnsiTheme="minorHAnsi" w:cs="Arial"/>
                <w:sz w:val="20"/>
                <w:szCs w:val="20"/>
              </w:rPr>
              <w:t>USEM</w:t>
            </w:r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57B7" w:rsidRPr="005A7342">
              <w:rPr>
                <w:rFonts w:asciiTheme="minorHAnsi" w:hAnsiTheme="minorHAnsi" w:cs="Arial"/>
                <w:sz w:val="20"/>
                <w:szCs w:val="20"/>
              </w:rPr>
              <w:t xml:space="preserve">using Quick Navigation </w:t>
            </w:r>
            <w:proofErr w:type="gramStart"/>
            <w:r w:rsidR="004857B7" w:rsidRPr="005A7342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 any</w:t>
            </w:r>
            <w:proofErr w:type="gramEnd"/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 screen, </w:t>
            </w:r>
            <w:r w:rsidR="005A7342" w:rsidRPr="005A7342">
              <w:rPr>
                <w:rFonts w:asciiTheme="minorHAnsi" w:hAnsiTheme="minorHAnsi" w:cs="Arial"/>
                <w:sz w:val="20"/>
                <w:szCs w:val="20"/>
              </w:rPr>
              <w:t xml:space="preserve"> or by </w:t>
            </w:r>
            <w:r w:rsidRPr="005A7342">
              <w:rPr>
                <w:rFonts w:asciiTheme="minorHAnsi" w:hAnsiTheme="minorHAnsi" w:cs="Arial"/>
                <w:sz w:val="20"/>
                <w:szCs w:val="20"/>
              </w:rPr>
              <w:t xml:space="preserve">selecting ACTV from the Menu Bar.  (Only the System Administrator and authorized users will have access to </w:t>
            </w:r>
            <w:r w:rsidR="00F435C2">
              <w:rPr>
                <w:rFonts w:asciiTheme="minorHAnsi" w:hAnsiTheme="minorHAnsi" w:cs="Arial"/>
                <w:sz w:val="20"/>
                <w:szCs w:val="20"/>
              </w:rPr>
              <w:t>USEM</w:t>
            </w:r>
            <w:r w:rsidRPr="005A7342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781" w:type="pct"/>
          </w:tcPr>
          <w:p w:rsidR="00DB773D" w:rsidRPr="005A7342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 w:rsidRPr="005A7342">
              <w:rPr>
                <w:rFonts w:asciiTheme="minorHAnsi" w:hAnsiTheme="minorHAnsi"/>
                <w:sz w:val="20"/>
                <w:szCs w:val="20"/>
              </w:rPr>
              <w:t xml:space="preserve">A blank USEM screen </w:t>
            </w:r>
            <w:r w:rsidR="005A7342" w:rsidRPr="005A7342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5A7342">
              <w:rPr>
                <w:rFonts w:asciiTheme="minorHAnsi" w:hAnsiTheme="minorHAnsi"/>
                <w:sz w:val="20"/>
                <w:szCs w:val="20"/>
              </w:rPr>
              <w:t xml:space="preserve">displayed with the cursor in the User ID field. </w:t>
            </w:r>
          </w:p>
        </w:tc>
        <w:tc>
          <w:tcPr>
            <w:tcW w:w="982" w:type="pct"/>
          </w:tcPr>
          <w:p w:rsidR="00DB773D" w:rsidRPr="005A7342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4857B7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valid User ID, </w:t>
            </w:r>
          </w:p>
          <w:p w:rsidR="00DB773D" w:rsidRPr="00C221B5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(worker0001)</w:t>
            </w:r>
          </w:p>
        </w:tc>
        <w:tc>
          <w:tcPr>
            <w:tcW w:w="781" w:type="pct"/>
          </w:tcPr>
          <w:p w:rsidR="00DB773D" w:rsidRPr="00C221B5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the information associated with the entered User ID will be displayed.  The Primary Information tab is displayed by default.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4857B7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enter another user ID, select a value from the Office lookup field.  Click find or press enter.</w:t>
            </w:r>
          </w:p>
        </w:tc>
        <w:tc>
          <w:tcPr>
            <w:tcW w:w="781" w:type="pct"/>
          </w:tcPr>
          <w:p w:rsidR="00DB773D" w:rsidRPr="00C221B5" w:rsidRDefault="004857B7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popup will be displayed listing all the user ID’s associated with the selected office.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B10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4857B7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user ID from the popup. </w:t>
            </w:r>
            <w:r w:rsidR="00B10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4857B7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 w:rsidRPr="005A7342">
              <w:rPr>
                <w:rFonts w:asciiTheme="minorHAnsi" w:hAnsiTheme="minorHAnsi" w:cs="Arial"/>
                <w:sz w:val="20"/>
                <w:szCs w:val="20"/>
              </w:rPr>
              <w:t>The screen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will be populated with the information about the selected user.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485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A15813" w:rsidRPr="00C221B5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USEM screen and select Add a User Profile from the screen functions. </w:t>
            </w:r>
          </w:p>
        </w:tc>
        <w:tc>
          <w:tcPr>
            <w:tcW w:w="781" w:type="pct"/>
          </w:tcPr>
          <w:p w:rsidR="00A15813" w:rsidRPr="00C221B5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USEM screen is displayed. The required fields are tan, the optional fields white and </w:t>
            </w:r>
            <w:r w:rsidR="00DC4F26">
              <w:rPr>
                <w:rFonts w:asciiTheme="minorHAnsi" w:hAnsiTheme="minorHAnsi"/>
                <w:sz w:val="20"/>
                <w:szCs w:val="20"/>
              </w:rPr>
              <w:t xml:space="preserve">non-editable are gray.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DC4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9D134D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valid values in all the required fields, click the Add icon</w:t>
            </w:r>
          </w:p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pct"/>
          </w:tcPr>
          <w:p w:rsidR="00FF25A0" w:rsidRPr="00C221B5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user information is added and the message “Add Successful” is displayed</w:t>
            </w:r>
            <w:r w:rsidR="005A73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DC4F26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F25A0" w:rsidRPr="00C221B5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Next, click on the Profile tab. </w:t>
            </w:r>
          </w:p>
        </w:tc>
        <w:tc>
          <w:tcPr>
            <w:tcW w:w="781" w:type="pct"/>
          </w:tcPr>
          <w:p w:rsidR="00FF25A0" w:rsidRPr="00C221B5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will populate with the User name only and no other information.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A7342" w:rsidTr="005E6FF1">
        <w:trPr>
          <w:jc w:val="center"/>
        </w:trPr>
        <w:tc>
          <w:tcPr>
            <w:tcW w:w="423" w:type="pct"/>
          </w:tcPr>
          <w:p w:rsidR="005A7342" w:rsidRPr="00C221B5" w:rsidRDefault="005A7342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A7342" w:rsidRPr="00C221B5" w:rsidDel="005428E4" w:rsidRDefault="005A7342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5A7342" w:rsidRDefault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the required fields on the Profile tab, click the Add icon.</w:t>
            </w:r>
          </w:p>
        </w:tc>
        <w:tc>
          <w:tcPr>
            <w:tcW w:w="781" w:type="pct"/>
          </w:tcPr>
          <w:p w:rsidR="005A7342" w:rsidRDefault="005A7342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user profile is added and the message “Add Successful” is displayed.</w:t>
            </w:r>
          </w:p>
        </w:tc>
        <w:tc>
          <w:tcPr>
            <w:tcW w:w="982" w:type="pct"/>
          </w:tcPr>
          <w:p w:rsidR="005A7342" w:rsidRPr="00C221B5" w:rsidRDefault="005A7342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5A7342" w:rsidRPr="00C221B5" w:rsidRDefault="005A7342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5A7342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5A7342" w:rsidDel="005428E4" w:rsidRDefault="00927CB4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342"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F25A0" w:rsidRPr="00C221B5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USEM screen and select Modify a User Profile from the Screen Functions. </w:t>
            </w:r>
          </w:p>
        </w:tc>
        <w:tc>
          <w:tcPr>
            <w:tcW w:w="781" w:type="pct"/>
          </w:tcPr>
          <w:p w:rsidR="00FF25A0" w:rsidRPr="00C221B5" w:rsidDel="005428E4" w:rsidRDefault="00DC4F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USEM screen is displayed with the cursor in the User ID field.  </w:t>
            </w:r>
            <w:r w:rsidR="00927C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DC4F26" w:rsidP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valid User ID</w:t>
            </w:r>
            <w:r w:rsidR="009277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F65957" w:rsidRDefault="002A7E71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user information </w:t>
            </w:r>
            <w:r w:rsidR="005A7342">
              <w:rPr>
                <w:rFonts w:asciiTheme="minorHAnsi" w:hAnsiTheme="minorHAnsi"/>
                <w:sz w:val="20"/>
                <w:szCs w:val="20"/>
              </w:rPr>
              <w:t>is displayed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both the Primary Information and Profiles tab. 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2A7E71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any of the information and click the </w:t>
            </w:r>
            <w:r w:rsidR="005A7342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ave icon</w:t>
            </w:r>
            <w:r w:rsidR="009277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65957" w:rsidRDefault="002A7E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user information is updated and the message “Update Successful” is displayed. </w:t>
            </w:r>
            <w:r w:rsidR="009277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FA5E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  <w:r w:rsidR="002A5D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</w:tcPr>
          <w:p w:rsidR="00F65957" w:rsidRDefault="009277E0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5A7342">
              <w:rPr>
                <w:rFonts w:asciiTheme="minorHAnsi" w:hAnsiTheme="minorHAnsi"/>
                <w:sz w:val="20"/>
                <w:szCs w:val="20"/>
              </w:rPr>
              <w:t xml:space="preserve">USEM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screen and select the </w:t>
            </w:r>
            <w:r w:rsidR="002A7E71">
              <w:rPr>
                <w:rFonts w:asciiTheme="minorHAnsi" w:hAnsiTheme="minorHAnsi"/>
                <w:sz w:val="20"/>
                <w:szCs w:val="20"/>
              </w:rPr>
              <w:t xml:space="preserve">View Users Associated with </w:t>
            </w:r>
            <w:proofErr w:type="spellStart"/>
            <w:r w:rsidR="002A7E71">
              <w:rPr>
                <w:rFonts w:asciiTheme="minorHAnsi" w:hAnsiTheme="minorHAnsi"/>
                <w:sz w:val="20"/>
                <w:szCs w:val="20"/>
              </w:rPr>
              <w:t>Supr</w:t>
            </w:r>
            <w:proofErr w:type="spellEnd"/>
            <w:r w:rsidR="002A7E71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2A7E71">
              <w:rPr>
                <w:rFonts w:asciiTheme="minorHAnsi" w:hAnsiTheme="minorHAnsi"/>
                <w:sz w:val="20"/>
                <w:szCs w:val="20"/>
              </w:rPr>
              <w:t>Mngr</w:t>
            </w:r>
            <w:proofErr w:type="spellEnd"/>
            <w:r w:rsidR="002A7E71">
              <w:rPr>
                <w:rFonts w:asciiTheme="minorHAnsi" w:hAnsiTheme="minorHAnsi"/>
                <w:sz w:val="20"/>
                <w:szCs w:val="20"/>
              </w:rPr>
              <w:t xml:space="preserve"> from the Screen Functions.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F65957" w:rsidRDefault="002A7E71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screen </w:t>
            </w:r>
            <w:r w:rsidR="005A7342">
              <w:rPr>
                <w:rFonts w:asciiTheme="minorHAnsi" w:hAnsiTheme="minorHAnsi"/>
                <w:sz w:val="20"/>
                <w:szCs w:val="20"/>
              </w:rPr>
              <w:t>is displayed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the cursor in the Office field.  The Office and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Role are required fields for this screen.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7E71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2A5316" w:rsidRDefault="002A5D92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7E71">
              <w:rPr>
                <w:rFonts w:asciiTheme="minorHAnsi" w:hAnsiTheme="minorHAnsi"/>
                <w:sz w:val="20"/>
                <w:szCs w:val="20"/>
              </w:rPr>
              <w:t xml:space="preserve">Select an Office and Role using the lookup.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7E71">
              <w:rPr>
                <w:rFonts w:asciiTheme="minorHAnsi" w:hAnsiTheme="minorHAnsi"/>
                <w:sz w:val="20"/>
                <w:szCs w:val="20"/>
              </w:rPr>
              <w:t>Press enter or click Find</w:t>
            </w:r>
          </w:p>
        </w:tc>
        <w:tc>
          <w:tcPr>
            <w:tcW w:w="781" w:type="pct"/>
          </w:tcPr>
          <w:p w:rsidR="002A5316" w:rsidRDefault="002A7E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the workers and supervisors associated with the selected Office and Role will be displayed in the grid.</w:t>
            </w:r>
          </w:p>
        </w:tc>
        <w:tc>
          <w:tcPr>
            <w:tcW w:w="982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77E0" w:rsidTr="005E6FF1">
        <w:trPr>
          <w:jc w:val="center"/>
        </w:trPr>
        <w:tc>
          <w:tcPr>
            <w:tcW w:w="423" w:type="pct"/>
          </w:tcPr>
          <w:p w:rsidR="009277E0" w:rsidRPr="00C221B5" w:rsidRDefault="009277E0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277E0" w:rsidRDefault="002A7E71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9277E0" w:rsidRDefault="002A7E71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the New icon to begin a different search.  Next, select an </w:t>
            </w:r>
            <w:r w:rsidR="00A72D18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ffice and Role then select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Mngr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using the lookup. Press enter or click Find. </w:t>
            </w:r>
          </w:p>
        </w:tc>
        <w:tc>
          <w:tcPr>
            <w:tcW w:w="781" w:type="pct"/>
          </w:tcPr>
          <w:p w:rsidR="009277E0" w:rsidRDefault="002A7E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will display the workers associated with the selected Office, Role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/Mngr. </w:t>
            </w:r>
          </w:p>
        </w:tc>
        <w:tc>
          <w:tcPr>
            <w:tcW w:w="982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77E0" w:rsidTr="005E6FF1">
        <w:trPr>
          <w:jc w:val="center"/>
        </w:trPr>
        <w:tc>
          <w:tcPr>
            <w:tcW w:w="423" w:type="pct"/>
          </w:tcPr>
          <w:p w:rsidR="009277E0" w:rsidRPr="00C221B5" w:rsidRDefault="009277E0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277E0" w:rsidRDefault="002A7E71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9277E0" w:rsidRDefault="002A7E71" w:rsidP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USEM screen and select Reassign User Ass</w:t>
            </w:r>
            <w:r w:rsidR="00A72D18">
              <w:rPr>
                <w:rFonts w:asciiTheme="minorHAnsi" w:hAnsiTheme="minorHAnsi"/>
                <w:sz w:val="20"/>
                <w:szCs w:val="20"/>
              </w:rPr>
              <w:t xml:space="preserve">ociated with </w:t>
            </w:r>
            <w:proofErr w:type="spellStart"/>
            <w:r w:rsidR="00A72D18">
              <w:rPr>
                <w:rFonts w:asciiTheme="minorHAnsi" w:hAnsiTheme="minorHAnsi"/>
                <w:sz w:val="20"/>
                <w:szCs w:val="20"/>
              </w:rPr>
              <w:t>Supv</w:t>
            </w:r>
            <w:proofErr w:type="spellEnd"/>
            <w:r w:rsidR="00A72D18">
              <w:rPr>
                <w:rFonts w:asciiTheme="minorHAnsi" w:hAnsiTheme="minorHAnsi"/>
                <w:sz w:val="20"/>
                <w:szCs w:val="20"/>
              </w:rPr>
              <w:t>/Mngr</w:t>
            </w:r>
            <w:r w:rsidR="005A73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9277E0" w:rsidRDefault="00A72D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screen is displayed, the Office and Role fields are required. </w:t>
            </w:r>
          </w:p>
        </w:tc>
        <w:tc>
          <w:tcPr>
            <w:tcW w:w="982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77E0" w:rsidTr="005E6FF1">
        <w:trPr>
          <w:jc w:val="center"/>
        </w:trPr>
        <w:tc>
          <w:tcPr>
            <w:tcW w:w="423" w:type="pct"/>
          </w:tcPr>
          <w:p w:rsidR="009277E0" w:rsidRPr="00C221B5" w:rsidRDefault="009277E0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277E0" w:rsidRDefault="00A72D18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9277E0" w:rsidRDefault="00A72D18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an Office and Role using the lookup, press enter or click on Find.</w:t>
            </w:r>
          </w:p>
        </w:tc>
        <w:tc>
          <w:tcPr>
            <w:tcW w:w="781" w:type="pct"/>
          </w:tcPr>
          <w:p w:rsidR="009277E0" w:rsidRDefault="00A72D18" w:rsidP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the users associated with the office and role selected will be displayed.  The first column in the grid is Reassign. </w:t>
            </w:r>
          </w:p>
        </w:tc>
        <w:tc>
          <w:tcPr>
            <w:tcW w:w="982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72D18" w:rsidTr="005E6FF1">
        <w:trPr>
          <w:jc w:val="center"/>
        </w:trPr>
        <w:tc>
          <w:tcPr>
            <w:tcW w:w="423" w:type="pct"/>
          </w:tcPr>
          <w:p w:rsidR="00A72D18" w:rsidRPr="00C221B5" w:rsidRDefault="00A72D18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72D18" w:rsidRDefault="00A72D18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A72D18" w:rsidRDefault="00A72D18" w:rsidP="00A72D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in the grid, and click the box in the Reassign column. </w:t>
            </w:r>
          </w:p>
        </w:tc>
        <w:tc>
          <w:tcPr>
            <w:tcW w:w="781" w:type="pct"/>
          </w:tcPr>
          <w:p w:rsidR="00A72D18" w:rsidRDefault="00A72D18" w:rsidP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Reassigned to New Supervisor/Manager field is displayed. </w:t>
            </w:r>
          </w:p>
        </w:tc>
        <w:tc>
          <w:tcPr>
            <w:tcW w:w="982" w:type="pct"/>
          </w:tcPr>
          <w:p w:rsidR="00A72D18" w:rsidRPr="00C221B5" w:rsidRDefault="00A72D18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A72D18" w:rsidRPr="00C221B5" w:rsidRDefault="00A72D18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72D18" w:rsidTr="005E6FF1">
        <w:trPr>
          <w:jc w:val="center"/>
        </w:trPr>
        <w:tc>
          <w:tcPr>
            <w:tcW w:w="423" w:type="pct"/>
          </w:tcPr>
          <w:p w:rsidR="00A72D18" w:rsidRPr="00C221B5" w:rsidRDefault="00A72D18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72D18" w:rsidRDefault="00A72D18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A72D18" w:rsidRDefault="00A72D18" w:rsidP="005A7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value from the lookup and click the Save icon </w:t>
            </w:r>
          </w:p>
        </w:tc>
        <w:tc>
          <w:tcPr>
            <w:tcW w:w="781" w:type="pct"/>
          </w:tcPr>
          <w:p w:rsidR="00A72D18" w:rsidRDefault="00A72D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worker selected is not reassigned to the selected supervisor/manager and the message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“Update Successful” is displayed.  </w:t>
            </w:r>
          </w:p>
        </w:tc>
        <w:tc>
          <w:tcPr>
            <w:tcW w:w="982" w:type="pct"/>
          </w:tcPr>
          <w:p w:rsidR="00A72D18" w:rsidRPr="00C221B5" w:rsidRDefault="00A72D18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A72D18" w:rsidRPr="00C221B5" w:rsidRDefault="00A72D18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>November 10,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5A7342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63A21" wp14:editId="0EF0ED31">
          <wp:simplePos x="0" y="0"/>
          <wp:positionH relativeFrom="margin">
            <wp:align>right</wp:align>
          </wp:positionH>
          <wp:positionV relativeFrom="paragraph">
            <wp:posOffset>-31672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4857B7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USEM</w:t>
    </w:r>
    <w:r w:rsidR="00B104A8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User Maintenance</w:t>
    </w:r>
    <w:r w:rsidR="00B104A8">
      <w:rPr>
        <w:rFonts w:asciiTheme="minorHAnsi" w:hAnsiTheme="minorHAnsi"/>
        <w:b/>
        <w:i/>
        <w:sz w:val="18"/>
        <w:szCs w:val="18"/>
      </w:rPr>
      <w:t xml:space="preserve"> 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A7E71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57B7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342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2D18"/>
    <w:rsid w:val="00A7328D"/>
    <w:rsid w:val="00A74894"/>
    <w:rsid w:val="00A768D7"/>
    <w:rsid w:val="00A77808"/>
    <w:rsid w:val="00A80ECE"/>
    <w:rsid w:val="00A810A5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C4F26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5C2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A5EA6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505-3D5E-4920-AD53-E8ED2DC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5</cp:revision>
  <dcterms:created xsi:type="dcterms:W3CDTF">2015-11-11T17:07:00Z</dcterms:created>
  <dcterms:modified xsi:type="dcterms:W3CDTF">2015-11-12T19:50:00Z</dcterms:modified>
</cp:coreProperties>
</file>